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Form 10-K</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14" w:lineRule="exact"/>
        <w:rPr>
          <w:sz w:val="24"/>
          <w:szCs w:val="24"/>
          <w:color w:val="auto"/>
        </w:rPr>
      </w:pPr>
    </w:p>
    <w:p>
      <w:pPr>
        <w:ind w:left="3940" w:right="3140" w:hanging="794"/>
        <w:spacing w:after="0" w:line="261" w:lineRule="auto"/>
        <w:tabs>
          <w:tab w:leader="none" w:pos="32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ANNUAL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31, 2014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OR</w:t>
      </w:r>
    </w:p>
    <w:p>
      <w:pPr>
        <w:spacing w:after="0" w:line="220" w:lineRule="exact"/>
        <w:rPr>
          <w:sz w:val="24"/>
          <w:szCs w:val="24"/>
          <w:color w:val="auto"/>
        </w:rPr>
      </w:pPr>
    </w:p>
    <w:p>
      <w:pPr>
        <w:ind w:left="3940" w:right="3020" w:hanging="911"/>
        <w:spacing w:after="0" w:line="282" w:lineRule="auto"/>
        <w:tabs>
          <w:tab w:leader="none" w:pos="317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w:t>
      </w:r>
    </w:p>
    <w:p>
      <w:pPr>
        <w:spacing w:after="0" w:line="15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For the transition period from _____ to 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0-18761</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MONSTER BEVERAGE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420"/>
          </w:cols>
          <w:pgMar w:left="240" w:top="229" w:right="239" w:bottom="0" w:gutter="0" w:footer="0" w:header="0"/>
        </w:sectPr>
      </w:pPr>
    </w:p>
    <w:p>
      <w:pPr>
        <w:spacing w:after="0" w:line="192"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39-1679918</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5840" w:space="720"/>
            <w:col w:w="4860"/>
          </w:cols>
          <w:pgMar w:left="240" w:top="229" w:right="239" w:bottom="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1 Monster Way</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Corona, California 92879</w:t>
      </w:r>
    </w:p>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 (Zip Code)</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(951) 739 - 6200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6000" w:type="dxa"/>
            <w:vAlign w:val="bottom"/>
            <w:gridSpan w:val="3"/>
          </w:tcPr>
          <w:p>
            <w:pPr>
              <w:jc w:val="center"/>
              <w:ind w:right="2980"/>
              <w:spacing w:after="0"/>
              <w:rPr>
                <w:sz w:val="20"/>
                <w:szCs w:val="20"/>
                <w:color w:val="auto"/>
              </w:rPr>
            </w:pPr>
            <w:r>
              <w:rPr>
                <w:rFonts w:ascii="Times New Roman" w:cs="Times New Roman" w:eastAsia="Times New Roman" w:hAnsi="Times New Roman"/>
                <w:sz w:val="18"/>
                <w:szCs w:val="18"/>
                <w:color w:val="auto"/>
                <w:w w:val="99"/>
              </w:rPr>
              <w:t>Common Stock, $.005 par value per share</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04"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Noo</w:t>
      </w:r>
    </w:p>
    <w:p>
      <w:pPr>
        <w:spacing w:after="0" w:line="221"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Exchange Act. Yeso No</w:t>
      </w:r>
      <w:r>
        <w:rPr>
          <w:rFonts w:ascii="MS PGothic" w:cs="MS PGothic" w:eastAsia="MS PGothic" w:hAnsi="MS PGothic"/>
          <w:sz w:val="16"/>
          <w:szCs w:val="16"/>
          <w:color w:val="auto"/>
        </w:rPr>
        <w:t>☑</w:t>
      </w:r>
    </w:p>
    <w:p>
      <w:pPr>
        <w:spacing w:after="0" w:line="247" w:lineRule="exact"/>
        <w:rPr>
          <w:sz w:val="24"/>
          <w:szCs w:val="24"/>
          <w:color w:val="auto"/>
        </w:rPr>
      </w:pPr>
    </w:p>
    <w:p>
      <w:pPr>
        <w:jc w:val="both"/>
        <w:ind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o</w:t>
      </w:r>
    </w:p>
    <w:p>
      <w:pPr>
        <w:spacing w:after="0" w:line="178" w:lineRule="exact"/>
        <w:rPr>
          <w:sz w:val="24"/>
          <w:szCs w:val="24"/>
          <w:color w:val="auto"/>
        </w:rPr>
      </w:pPr>
    </w:p>
    <w:p>
      <w:pPr>
        <w:jc w:val="both"/>
        <w:ind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No o</w:t>
      </w:r>
    </w:p>
    <w:p>
      <w:pPr>
        <w:spacing w:after="0" w:line="178" w:lineRule="exact"/>
        <w:rPr>
          <w:sz w:val="24"/>
          <w:szCs w:val="24"/>
          <w:color w:val="auto"/>
        </w:rPr>
      </w:pPr>
    </w:p>
    <w:p>
      <w:pPr>
        <w:jc w:val="both"/>
        <w:ind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77" w:lineRule="exact"/>
        <w:rPr>
          <w:sz w:val="24"/>
          <w:szCs w:val="24"/>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9" w:right="239" w:bottom="0" w:gutter="0" w:footer="0" w:header="0"/>
          <w:type w:val="continuous"/>
        </w:sectPr>
      </w:pPr>
    </w:p>
    <w:p>
      <w:pPr>
        <w:spacing w:after="0" w:line="17"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6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Non-accelerated filer o</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 o</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 o</w:t>
      </w:r>
    </w:p>
    <w:p>
      <w:pPr>
        <w:spacing w:after="0" w:line="389" w:lineRule="exact"/>
        <w:rPr>
          <w:sz w:val="24"/>
          <w:szCs w:val="24"/>
          <w:color w:val="auto"/>
        </w:rPr>
      </w:pPr>
    </w:p>
    <w:p>
      <w:pPr>
        <w:sectPr>
          <w:pgSz w:w="11900" w:h="16838" w:orient="portrait"/>
          <w:cols w:equalWidth="0" w:num="2">
            <w:col w:w="5060" w:space="720"/>
            <w:col w:w="5640"/>
          </w:cols>
          <w:pgMar w:left="240" w:top="229" w:right="239" w:bottom="0" w:gutter="0" w:footer="0" w:header="0"/>
          <w:type w:val="continuous"/>
        </w:sect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Exchange Act.) Yes o No </w:t>
      </w:r>
      <w:r>
        <w:rPr>
          <w:rFonts w:ascii="MS PGothic" w:cs="MS PGothic" w:eastAsia="MS PGothic" w:hAnsi="MS PGothic"/>
          <w:sz w:val="16"/>
          <w:szCs w:val="16"/>
          <w:color w:val="auto"/>
        </w:rPr>
        <w:t>☑</w:t>
      </w:r>
    </w:p>
    <w:p>
      <w:pPr>
        <w:spacing w:after="0" w:line="247" w:lineRule="exact"/>
        <w:rPr>
          <w:sz w:val="24"/>
          <w:szCs w:val="24"/>
          <w:color w:val="auto"/>
        </w:rPr>
      </w:pPr>
    </w:p>
    <w:p>
      <w:pPr>
        <w:jc w:val="both"/>
        <w:ind w:firstLine="648"/>
        <w:spacing w:after="0" w:line="295"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was $10,745,367,329 computed by reference to the closing sale price for such stock on the NASDAQ Global Select Market on June 30, 2014, the last business day of the registrant’s most recently completed second fiscal quarter.</w:t>
      </w:r>
    </w:p>
    <w:p>
      <w:pPr>
        <w:spacing w:after="0" w:line="358" w:lineRule="exact"/>
        <w:rPr>
          <w:sz w:val="24"/>
          <w:szCs w:val="24"/>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The number of shares of the registrant’s common stock, $0.005 par value per share (being the only class of common stock of the registrant), outstanding on February 17, 2015 was 170,016,322 shares.</w:t>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DOCUMENTS INCORPORATED BY REFERENCE:</w:t>
      </w:r>
    </w:p>
    <w:p>
      <w:pPr>
        <w:sectPr>
          <w:pgSz w:w="11900" w:h="16838" w:orient="portrait"/>
          <w:cols w:equalWidth="0" w:num="1">
            <w:col w:w="11420"/>
          </w:cols>
          <w:pgMar w:left="240" w:top="229" w:right="239" w:bottom="0" w:gutter="0" w:footer="0" w:header="0"/>
          <w:type w:val="continuous"/>
        </w:sectPr>
      </w:pPr>
    </w:p>
    <w:bookmarkStart w:id="1" w:name="page2"/>
    <w:bookmarkEnd w:id="1"/>
    <w:p>
      <w:pPr>
        <w:jc w:val="both"/>
        <w:ind w:right="40" w:firstLine="441"/>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subsequent to the date hereof with the Commission pursuant to Regulation 14A in connection with the registrant’s 2015 Annual Meeting of Stockholders are incorporated by reference into Part III of this Report. Such Definitive Proxy Statement will be filed with the Securities and Exchange Commission no later than 120 days after the conclusion of the registrant’s fiscal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1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2"/>
        </w:trPr>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60" w:type="dxa"/>
            <w:vAlign w:val="bottom"/>
            <w:gridSpan w:val="5"/>
          </w:tcPr>
          <w:p>
            <w:pPr>
              <w:jc w:val="center"/>
              <w:ind w:right="3360"/>
              <w:spacing w:after="0"/>
              <w:rPr>
                <w:sz w:val="20"/>
                <w:szCs w:val="20"/>
                <w:color w:val="auto"/>
              </w:rPr>
            </w:pPr>
            <w:r>
              <w:rPr>
                <w:rFonts w:ascii="Times New Roman" w:cs="Times New Roman" w:eastAsia="Times New Roman" w:hAnsi="Times New Roman"/>
                <w:sz w:val="20"/>
                <w:szCs w:val="20"/>
                <w:b w:val="1"/>
                <w:bCs w:val="1"/>
                <w:color w:val="auto"/>
                <w:w w:val="98"/>
              </w:rPr>
              <w:t>MONSTER BEVERAGE CORPORATION</w:t>
            </w:r>
          </w:p>
        </w:tc>
        <w:tc>
          <w:tcPr>
            <w:tcW w:w="0" w:type="dxa"/>
            <w:vAlign w:val="bottom"/>
          </w:tcPr>
          <w:p>
            <w:pPr>
              <w:spacing w:after="0"/>
              <w:rPr>
                <w:sz w:val="1"/>
                <w:szCs w:val="1"/>
                <w:color w:val="auto"/>
              </w:rPr>
            </w:pPr>
          </w:p>
        </w:tc>
      </w:tr>
      <w:tr>
        <w:trPr>
          <w:trHeight w:val="459"/>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60" w:type="dxa"/>
            <w:vAlign w:val="bottom"/>
            <w:gridSpan w:val="5"/>
          </w:tcPr>
          <w:p>
            <w:pPr>
              <w:jc w:val="center"/>
              <w:ind w:right="3340"/>
              <w:spacing w:after="0"/>
              <w:rPr>
                <w:sz w:val="20"/>
                <w:szCs w:val="20"/>
                <w:color w:val="auto"/>
              </w:rPr>
            </w:pPr>
            <w:r>
              <w:rPr>
                <w:rFonts w:ascii="Times New Roman" w:cs="Times New Roman" w:eastAsia="Times New Roman" w:hAnsi="Times New Roman"/>
                <w:sz w:val="20"/>
                <w:szCs w:val="20"/>
                <w:b w:val="1"/>
                <w:bCs w:val="1"/>
                <w:color w:val="auto"/>
                <w:w w:val="99"/>
              </w:rPr>
              <w:t>FORM 10-K</w:t>
            </w:r>
          </w:p>
        </w:tc>
        <w:tc>
          <w:tcPr>
            <w:tcW w:w="0" w:type="dxa"/>
            <w:vAlign w:val="bottom"/>
          </w:tcPr>
          <w:p>
            <w:pPr>
              <w:spacing w:after="0"/>
              <w:rPr>
                <w:sz w:val="1"/>
                <w:szCs w:val="1"/>
                <w:color w:val="auto"/>
              </w:rPr>
            </w:pPr>
          </w:p>
        </w:tc>
      </w:tr>
      <w:tr>
        <w:trPr>
          <w:trHeight w:val="459"/>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60" w:type="dxa"/>
            <w:vAlign w:val="bottom"/>
            <w:gridSpan w:val="5"/>
          </w:tcPr>
          <w:p>
            <w:pPr>
              <w:jc w:val="center"/>
              <w:ind w:right="334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0" w:type="dxa"/>
            <w:vAlign w:val="bottom"/>
          </w:tcPr>
          <w:p>
            <w:pPr>
              <w:spacing w:after="0"/>
              <w:rPr>
                <w:sz w:val="1"/>
                <w:szCs w:val="1"/>
                <w:color w:val="auto"/>
              </w:rPr>
            </w:pPr>
          </w:p>
        </w:tc>
      </w:tr>
      <w:tr>
        <w:trPr>
          <w:trHeight w:val="413"/>
        </w:trPr>
        <w:tc>
          <w:tcPr>
            <w:tcW w:w="116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w w:val="98"/>
              </w:rPr>
              <w:t>Item Number</w:t>
            </w:r>
          </w:p>
        </w:tc>
        <w:tc>
          <w:tcPr>
            <w:tcW w:w="2400" w:type="dxa"/>
            <w:vAlign w:val="bottom"/>
            <w:gridSpan w:val="8"/>
          </w:tcPr>
          <w:p>
            <w:pPr>
              <w:spacing w:after="0"/>
              <w:rPr>
                <w:sz w:val="24"/>
                <w:szCs w:val="24"/>
                <w:color w:val="auto"/>
              </w:rPr>
            </w:pP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80" w:type="dxa"/>
            <w:vAlign w:val="bottom"/>
            <w:gridSpan w:val="3"/>
          </w:tcPr>
          <w:p>
            <w:pPr>
              <w:ind w:left="4020"/>
              <w:spacing w:after="0"/>
              <w:rPr>
                <w:sz w:val="20"/>
                <w:szCs w:val="20"/>
                <w:color w:val="auto"/>
              </w:rPr>
            </w:pPr>
            <w:r>
              <w:rPr>
                <w:rFonts w:ascii="Times New Roman" w:cs="Times New Roman" w:eastAsia="Times New Roman" w:hAnsi="Times New Roman"/>
                <w:sz w:val="20"/>
                <w:szCs w:val="20"/>
                <w:b w:val="1"/>
                <w:bCs w:val="1"/>
                <w:color w:val="auto"/>
                <w:w w:val="97"/>
              </w:rPr>
              <w:t>Page Number</w:t>
            </w:r>
          </w:p>
        </w:tc>
        <w:tc>
          <w:tcPr>
            <w:tcW w:w="0" w:type="dxa"/>
            <w:vAlign w:val="bottom"/>
          </w:tcPr>
          <w:p>
            <w:pPr>
              <w:spacing w:after="0"/>
              <w:rPr>
                <w:sz w:val="1"/>
                <w:szCs w:val="1"/>
                <w:color w:val="auto"/>
              </w:rPr>
            </w:pPr>
          </w:p>
        </w:tc>
      </w:tr>
      <w:tr>
        <w:trPr>
          <w:trHeight w:val="210"/>
        </w:trPr>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gridSpan w:val="3"/>
          </w:tcPr>
          <w:p>
            <w:pPr>
              <w:jc w:val="center"/>
              <w:ind w:right="2081"/>
              <w:spacing w:after="0" w:line="209" w:lineRule="exact"/>
              <w:rPr>
                <w:rFonts w:ascii="Times New Roman" w:cs="Times New Roman" w:eastAsia="Times New Roman" w:hAnsi="Times New Roman"/>
                <w:sz w:val="20"/>
                <w:szCs w:val="20"/>
                <w:b w:val="1"/>
                <w:bCs w:val="1"/>
                <w:color w:val="0000EE"/>
                <w:w w:val="95"/>
              </w:rPr>
            </w:pPr>
            <w:hyperlink w:anchor="page2">
              <w:r>
                <w:rPr>
                  <w:rFonts w:ascii="Times New Roman" w:cs="Times New Roman" w:eastAsia="Times New Roman" w:hAnsi="Times New Roman"/>
                  <w:sz w:val="20"/>
                  <w:szCs w:val="20"/>
                  <w:b w:val="1"/>
                  <w:bCs w:val="1"/>
                  <w:color w:val="0000EE"/>
                  <w:w w:val="95"/>
                </w:rPr>
                <w:t>PART I</w:t>
              </w:r>
            </w:hyperlink>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0" w:type="dxa"/>
            <w:vAlign w:val="bottom"/>
            <w:gridSpan w:val="3"/>
          </w:tcPr>
          <w:p>
            <w:pPr>
              <w:spacing w:after="0"/>
              <w:rPr>
                <w:sz w:val="24"/>
                <w:szCs w:val="24"/>
                <w:color w:val="auto"/>
              </w:rPr>
            </w:pPr>
          </w:p>
        </w:tc>
        <w:tc>
          <w:tcPr>
            <w:tcW w:w="160" w:type="dxa"/>
            <w:vAlign w:val="bottom"/>
          </w:tcPr>
          <w:p>
            <w:pPr>
              <w:jc w:val="right"/>
              <w:spacing w:after="0"/>
              <w:rPr>
                <w:rFonts w:ascii="Times New Roman" w:cs="Times New Roman" w:eastAsia="Times New Roman" w:hAnsi="Times New Roman"/>
                <w:sz w:val="20"/>
                <w:szCs w:val="20"/>
                <w:color w:val="0000EE"/>
                <w:w w:val="92"/>
              </w:rPr>
            </w:pPr>
            <w:hyperlink w:anchor="page2">
              <w:r>
                <w:rPr>
                  <w:rFonts w:ascii="Times New Roman" w:cs="Times New Roman" w:eastAsia="Times New Roman" w:hAnsi="Times New Roman"/>
                  <w:sz w:val="20"/>
                  <w:szCs w:val="20"/>
                  <w:color w:val="0000EE"/>
                  <w:w w:val="92"/>
                </w:rPr>
                <w:t>1.</w:t>
              </w:r>
            </w:hyperlink>
          </w:p>
        </w:tc>
        <w:tc>
          <w:tcPr>
            <w:tcW w:w="320" w:type="dxa"/>
            <w:vAlign w:val="bottom"/>
          </w:tcPr>
          <w:p>
            <w:pPr>
              <w:spacing w:after="0"/>
              <w:rPr>
                <w:sz w:val="24"/>
                <w:szCs w:val="24"/>
                <w:color w:val="auto"/>
              </w:rPr>
            </w:pPr>
          </w:p>
        </w:tc>
        <w:tc>
          <w:tcPr>
            <w:tcW w:w="2540" w:type="dxa"/>
            <w:vAlign w:val="bottom"/>
            <w:gridSpan w:val="9"/>
          </w:tcPr>
          <w:p>
            <w:pPr>
              <w:spacing w:after="0"/>
              <w:rPr>
                <w:rFonts w:ascii="Times New Roman" w:cs="Times New Roman" w:eastAsia="Times New Roman" w:hAnsi="Times New Roman"/>
                <w:sz w:val="20"/>
                <w:szCs w:val="20"/>
                <w:color w:val="0000EE"/>
              </w:rPr>
            </w:pPr>
            <w:hyperlink w:anchor="page2">
              <w:r>
                <w:rPr>
                  <w:rFonts w:ascii="Times New Roman" w:cs="Times New Roman" w:eastAsia="Times New Roman" w:hAnsi="Times New Roman"/>
                  <w:sz w:val="20"/>
                  <w:szCs w:val="20"/>
                  <w:color w:val="0000EE"/>
                </w:rPr>
                <w:t>Business</w:t>
              </w:r>
            </w:hyperlink>
          </w:p>
        </w:tc>
        <w:tc>
          <w:tcPr>
            <w:tcW w:w="18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160" w:type="dxa"/>
            <w:vAlign w:val="bottom"/>
            <w:gridSpan w:val="2"/>
          </w:tcPr>
          <w:p>
            <w:pPr>
              <w:jc w:val="center"/>
              <w:ind w:left="3921"/>
              <w:spacing w:after="0"/>
              <w:rPr>
                <w:sz w:val="20"/>
                <w:szCs w:val="20"/>
                <w:color w:val="auto"/>
              </w:rPr>
            </w:pPr>
            <w:r>
              <w:rPr>
                <w:rFonts w:ascii="Times New Roman" w:cs="Times New Roman" w:eastAsia="Times New Roman" w:hAnsi="Times New Roman"/>
                <w:sz w:val="20"/>
                <w:szCs w:val="20"/>
                <w:color w:val="auto"/>
                <w:w w:val="99"/>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40" w:type="dxa"/>
            <w:vAlign w:val="bottom"/>
            <w:gridSpan w:val="4"/>
            <w:vMerge w:val="restart"/>
          </w:tcPr>
          <w:p>
            <w:pPr>
              <w:jc w:val="center"/>
              <w:ind w:left="6401"/>
              <w:spacing w:after="0"/>
              <w:rPr>
                <w:sz w:val="20"/>
                <w:szCs w:val="20"/>
                <w:color w:val="auto"/>
              </w:rPr>
            </w:pPr>
            <w:r>
              <w:rPr>
                <w:rFonts w:ascii="Times New Roman" w:cs="Times New Roman" w:eastAsia="Times New Roman" w:hAnsi="Times New Roman"/>
                <w:sz w:val="20"/>
                <w:szCs w:val="20"/>
                <w:color w:val="auto"/>
                <w:w w:val="89"/>
              </w:rPr>
              <w:t>21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300" w:type="dxa"/>
            <w:vAlign w:val="bottom"/>
            <w:tcBorders>
              <w:bottom w:val="single" w:sz="8" w:color="0000EE"/>
            </w:tcBorders>
            <w:gridSpan w:val="3"/>
          </w:tcPr>
          <w:p>
            <w:pPr>
              <w:jc w:val="right"/>
              <w:spacing w:after="0" w:line="209" w:lineRule="exact"/>
              <w:rPr>
                <w:rFonts w:ascii="Times New Roman" w:cs="Times New Roman" w:eastAsia="Times New Roman" w:hAnsi="Times New Roman"/>
                <w:sz w:val="20"/>
                <w:szCs w:val="20"/>
                <w:color w:val="0000EE"/>
                <w:w w:val="94"/>
              </w:rPr>
            </w:pPr>
            <w:hyperlink w:anchor="page14">
              <w:r>
                <w:rPr>
                  <w:rFonts w:ascii="Times New Roman" w:cs="Times New Roman" w:eastAsia="Times New Roman" w:hAnsi="Times New Roman"/>
                  <w:sz w:val="20"/>
                  <w:szCs w:val="20"/>
                  <w:color w:val="0000EE"/>
                  <w:w w:val="94"/>
                </w:rPr>
                <w:t>1A.</w:t>
              </w:r>
            </w:hyperlink>
          </w:p>
        </w:tc>
        <w:tc>
          <w:tcPr>
            <w:tcW w:w="320" w:type="dxa"/>
            <w:vAlign w:val="bottom"/>
          </w:tcPr>
          <w:p>
            <w:pPr>
              <w:spacing w:after="0"/>
              <w:rPr>
                <w:sz w:val="18"/>
                <w:szCs w:val="18"/>
                <w:color w:val="auto"/>
              </w:rPr>
            </w:pPr>
          </w:p>
        </w:tc>
        <w:tc>
          <w:tcPr>
            <w:tcW w:w="1000" w:type="dxa"/>
            <w:vAlign w:val="bottom"/>
            <w:tcBorders>
              <w:bottom w:val="single" w:sz="8" w:color="0000EE"/>
            </w:tcBorders>
            <w:gridSpan w:val="5"/>
          </w:tcPr>
          <w:p>
            <w:pPr>
              <w:spacing w:after="0" w:line="209" w:lineRule="exact"/>
              <w:rPr>
                <w:rFonts w:ascii="Times New Roman" w:cs="Times New Roman" w:eastAsia="Times New Roman" w:hAnsi="Times New Roman"/>
                <w:sz w:val="20"/>
                <w:szCs w:val="20"/>
                <w:color w:val="0000EE"/>
                <w:w w:val="97"/>
              </w:rPr>
            </w:pPr>
            <w:hyperlink w:anchor="page14">
              <w:r>
                <w:rPr>
                  <w:rFonts w:ascii="Times New Roman" w:cs="Times New Roman" w:eastAsia="Times New Roman" w:hAnsi="Times New Roman"/>
                  <w:sz w:val="20"/>
                  <w:szCs w:val="20"/>
                  <w:color w:val="0000EE"/>
                  <w:w w:val="97"/>
                </w:rPr>
                <w:t>Risk Factors</w:t>
              </w:r>
            </w:hyperlink>
          </w:p>
        </w:tc>
        <w:tc>
          <w:tcPr>
            <w:tcW w:w="1540" w:type="dxa"/>
            <w:vAlign w:val="bottom"/>
            <w:gridSpan w:val="4"/>
          </w:tcPr>
          <w:p>
            <w:pPr>
              <w:spacing w:after="0"/>
              <w:rPr>
                <w:sz w:val="18"/>
                <w:szCs w:val="18"/>
                <w:color w:val="auto"/>
              </w:rPr>
            </w:pPr>
          </w:p>
        </w:tc>
        <w:tc>
          <w:tcPr>
            <w:tcW w:w="764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0000EE"/>
            </w:tcBorders>
            <w:gridSpan w:val="2"/>
          </w:tcPr>
          <w:p>
            <w:pPr>
              <w:jc w:val="right"/>
              <w:spacing w:after="0" w:line="209" w:lineRule="exact"/>
              <w:rPr>
                <w:rFonts w:ascii="Times New Roman" w:cs="Times New Roman" w:eastAsia="Times New Roman" w:hAnsi="Times New Roman"/>
                <w:sz w:val="20"/>
                <w:szCs w:val="20"/>
                <w:color w:val="0000EE"/>
                <w:w w:val="91"/>
              </w:rPr>
            </w:pPr>
            <w:hyperlink w:anchor="page21">
              <w:r>
                <w:rPr>
                  <w:rFonts w:ascii="Times New Roman" w:cs="Times New Roman" w:eastAsia="Times New Roman" w:hAnsi="Times New Roman"/>
                  <w:sz w:val="20"/>
                  <w:szCs w:val="20"/>
                  <w:color w:val="0000EE"/>
                  <w:w w:val="91"/>
                </w:rPr>
                <w:t>1B.</w:t>
              </w:r>
            </w:hyperlink>
          </w:p>
        </w:tc>
        <w:tc>
          <w:tcPr>
            <w:tcW w:w="320" w:type="dxa"/>
            <w:vAlign w:val="bottom"/>
          </w:tcPr>
          <w:p>
            <w:pPr>
              <w:spacing w:after="0"/>
              <w:rPr>
                <w:sz w:val="18"/>
                <w:szCs w:val="18"/>
                <w:color w:val="auto"/>
              </w:rPr>
            </w:pPr>
          </w:p>
        </w:tc>
        <w:tc>
          <w:tcPr>
            <w:tcW w:w="2260" w:type="dxa"/>
            <w:vAlign w:val="bottom"/>
            <w:tcBorders>
              <w:bottom w:val="single" w:sz="8" w:color="0000EE"/>
            </w:tcBorders>
            <w:gridSpan w:val="8"/>
          </w:tcPr>
          <w:p>
            <w:pPr>
              <w:spacing w:after="0" w:line="209" w:lineRule="exact"/>
              <w:rPr>
                <w:rFonts w:ascii="Times New Roman" w:cs="Times New Roman" w:eastAsia="Times New Roman" w:hAnsi="Times New Roman"/>
                <w:sz w:val="20"/>
                <w:szCs w:val="20"/>
                <w:color w:val="0000EE"/>
                <w:w w:val="98"/>
              </w:rPr>
            </w:pPr>
            <w:hyperlink w:anchor="page21">
              <w:r>
                <w:rPr>
                  <w:rFonts w:ascii="Times New Roman" w:cs="Times New Roman" w:eastAsia="Times New Roman" w:hAnsi="Times New Roman"/>
                  <w:sz w:val="20"/>
                  <w:szCs w:val="20"/>
                  <w:color w:val="0000EE"/>
                  <w:w w:val="98"/>
                </w:rPr>
                <w:t>Unresolved Staff Comments</w:t>
              </w:r>
            </w:hyperlink>
          </w:p>
        </w:tc>
        <w:tc>
          <w:tcPr>
            <w:tcW w:w="280" w:type="dxa"/>
            <w:vAlign w:val="bottom"/>
          </w:tcPr>
          <w:p>
            <w:pPr>
              <w:spacing w:after="0"/>
              <w:rPr>
                <w:sz w:val="18"/>
                <w:szCs w:val="18"/>
                <w:color w:val="auto"/>
              </w:rPr>
            </w:pPr>
          </w:p>
        </w:tc>
        <w:tc>
          <w:tcPr>
            <w:tcW w:w="7640" w:type="dxa"/>
            <w:vAlign w:val="bottom"/>
            <w:gridSpan w:val="4"/>
          </w:tcPr>
          <w:p>
            <w:pPr>
              <w:jc w:val="center"/>
              <w:ind w:left="6401"/>
              <w:spacing w:after="0" w:line="209" w:lineRule="exact"/>
              <w:rPr>
                <w:sz w:val="20"/>
                <w:szCs w:val="20"/>
                <w:color w:val="auto"/>
              </w:rPr>
            </w:pPr>
            <w:r>
              <w:rPr>
                <w:rFonts w:ascii="Times New Roman" w:cs="Times New Roman" w:eastAsia="Times New Roman" w:hAnsi="Times New Roman"/>
                <w:sz w:val="20"/>
                <w:szCs w:val="20"/>
                <w:color w:val="auto"/>
                <w:w w:val="89"/>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gridSpan w:val="3"/>
          </w:tcPr>
          <w:p>
            <w:pPr>
              <w:spacing w:after="0"/>
              <w:rPr>
                <w:sz w:val="18"/>
                <w:szCs w:val="18"/>
                <w:color w:val="auto"/>
              </w:rPr>
            </w:pPr>
          </w:p>
        </w:tc>
        <w:tc>
          <w:tcPr>
            <w:tcW w:w="160" w:type="dxa"/>
            <w:vAlign w:val="bottom"/>
          </w:tcPr>
          <w:p>
            <w:pPr>
              <w:jc w:val="right"/>
              <w:spacing w:after="0" w:line="209" w:lineRule="exact"/>
              <w:rPr>
                <w:rFonts w:ascii="Times New Roman" w:cs="Times New Roman" w:eastAsia="Times New Roman" w:hAnsi="Times New Roman"/>
                <w:sz w:val="20"/>
                <w:szCs w:val="20"/>
                <w:color w:val="0000EE"/>
                <w:w w:val="92"/>
              </w:rPr>
            </w:pPr>
            <w:hyperlink w:anchor="page22">
              <w:r>
                <w:rPr>
                  <w:rFonts w:ascii="Times New Roman" w:cs="Times New Roman" w:eastAsia="Times New Roman" w:hAnsi="Times New Roman"/>
                  <w:sz w:val="20"/>
                  <w:szCs w:val="20"/>
                  <w:color w:val="0000EE"/>
                  <w:w w:val="92"/>
                </w:rPr>
                <w:t>2.</w:t>
              </w:r>
            </w:hyperlink>
          </w:p>
        </w:tc>
        <w:tc>
          <w:tcPr>
            <w:tcW w:w="320" w:type="dxa"/>
            <w:vAlign w:val="bottom"/>
          </w:tcPr>
          <w:p>
            <w:pPr>
              <w:spacing w:after="0"/>
              <w:rPr>
                <w:sz w:val="18"/>
                <w:szCs w:val="18"/>
                <w:color w:val="auto"/>
              </w:rPr>
            </w:pPr>
          </w:p>
        </w:tc>
        <w:tc>
          <w:tcPr>
            <w:tcW w:w="2540" w:type="dxa"/>
            <w:vAlign w:val="bottom"/>
            <w:gridSpan w:val="9"/>
          </w:tcPr>
          <w:p>
            <w:pPr>
              <w:spacing w:after="0" w:line="209" w:lineRule="exact"/>
              <w:rPr>
                <w:rFonts w:ascii="Times New Roman" w:cs="Times New Roman" w:eastAsia="Times New Roman" w:hAnsi="Times New Roman"/>
                <w:sz w:val="20"/>
                <w:szCs w:val="20"/>
                <w:color w:val="0000EE"/>
              </w:rPr>
            </w:pPr>
            <w:hyperlink w:anchor="page22">
              <w:r>
                <w:rPr>
                  <w:rFonts w:ascii="Times New Roman" w:cs="Times New Roman" w:eastAsia="Times New Roman" w:hAnsi="Times New Roman"/>
                  <w:sz w:val="20"/>
                  <w:szCs w:val="20"/>
                  <w:color w:val="0000EE"/>
                </w:rPr>
                <w:t>Properties</w:t>
              </w:r>
            </w:hyperlink>
          </w:p>
        </w:tc>
        <w:tc>
          <w:tcPr>
            <w:tcW w:w="7640" w:type="dxa"/>
            <w:vAlign w:val="bottom"/>
            <w:gridSpan w:val="4"/>
          </w:tcPr>
          <w:p>
            <w:pPr>
              <w:jc w:val="center"/>
              <w:ind w:left="6401"/>
              <w:spacing w:after="0" w:line="209" w:lineRule="exact"/>
              <w:rPr>
                <w:sz w:val="20"/>
                <w:szCs w:val="20"/>
                <w:color w:val="auto"/>
              </w:rPr>
            </w:pPr>
            <w:r>
              <w:rPr>
                <w:rFonts w:ascii="Times New Roman" w:cs="Times New Roman" w:eastAsia="Times New Roman" w:hAnsi="Times New Roman"/>
                <w:sz w:val="20"/>
                <w:szCs w:val="20"/>
                <w:color w:val="auto"/>
                <w:w w:val="89"/>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40" w:type="dxa"/>
            <w:vAlign w:val="bottom"/>
            <w:gridSpan w:val="4"/>
            <w:vMerge w:val="restart"/>
          </w:tcPr>
          <w:p>
            <w:pPr>
              <w:jc w:val="center"/>
              <w:ind w:left="6401"/>
              <w:spacing w:after="0"/>
              <w:rPr>
                <w:sz w:val="20"/>
                <w:szCs w:val="20"/>
                <w:color w:val="auto"/>
              </w:rPr>
            </w:pPr>
            <w:r>
              <w:rPr>
                <w:rFonts w:ascii="Times New Roman" w:cs="Times New Roman" w:eastAsia="Times New Roman" w:hAnsi="Times New Roman"/>
                <w:sz w:val="20"/>
                <w:szCs w:val="20"/>
                <w:color w:val="auto"/>
                <w:w w:val="89"/>
              </w:rPr>
              <w:t>33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3"/>
          </w:tcPr>
          <w:p>
            <w:pPr>
              <w:spacing w:after="0"/>
              <w:rPr>
                <w:sz w:val="18"/>
                <w:szCs w:val="18"/>
                <w:color w:val="auto"/>
              </w:rPr>
            </w:pPr>
          </w:p>
        </w:tc>
        <w:tc>
          <w:tcPr>
            <w:tcW w:w="160" w:type="dxa"/>
            <w:vAlign w:val="bottom"/>
          </w:tcPr>
          <w:p>
            <w:pPr>
              <w:jc w:val="right"/>
              <w:spacing w:after="0" w:line="209" w:lineRule="exact"/>
              <w:rPr>
                <w:rFonts w:ascii="Times New Roman" w:cs="Times New Roman" w:eastAsia="Times New Roman" w:hAnsi="Times New Roman"/>
                <w:sz w:val="20"/>
                <w:szCs w:val="20"/>
                <w:color w:val="0000EE"/>
                <w:w w:val="92"/>
              </w:rPr>
            </w:pPr>
            <w:hyperlink w:anchor="page22">
              <w:r>
                <w:rPr>
                  <w:rFonts w:ascii="Times New Roman" w:cs="Times New Roman" w:eastAsia="Times New Roman" w:hAnsi="Times New Roman"/>
                  <w:sz w:val="20"/>
                  <w:szCs w:val="20"/>
                  <w:color w:val="0000EE"/>
                  <w:w w:val="92"/>
                </w:rPr>
                <w:t>3.</w:t>
              </w:r>
            </w:hyperlink>
          </w:p>
        </w:tc>
        <w:tc>
          <w:tcPr>
            <w:tcW w:w="320" w:type="dxa"/>
            <w:vAlign w:val="bottom"/>
          </w:tcPr>
          <w:p>
            <w:pPr>
              <w:spacing w:after="0"/>
              <w:rPr>
                <w:sz w:val="18"/>
                <w:szCs w:val="18"/>
                <w:color w:val="auto"/>
              </w:rPr>
            </w:pPr>
          </w:p>
        </w:tc>
        <w:tc>
          <w:tcPr>
            <w:tcW w:w="2540" w:type="dxa"/>
            <w:vAlign w:val="bottom"/>
            <w:gridSpan w:val="9"/>
          </w:tcPr>
          <w:p>
            <w:pPr>
              <w:spacing w:after="0" w:line="209" w:lineRule="exact"/>
              <w:rPr>
                <w:rFonts w:ascii="Times New Roman" w:cs="Times New Roman" w:eastAsia="Times New Roman" w:hAnsi="Times New Roman"/>
                <w:sz w:val="20"/>
                <w:szCs w:val="20"/>
                <w:color w:val="0000EE"/>
              </w:rPr>
            </w:pPr>
            <w:hyperlink w:anchor="page22">
              <w:r>
                <w:rPr>
                  <w:rFonts w:ascii="Times New Roman" w:cs="Times New Roman" w:eastAsia="Times New Roman" w:hAnsi="Times New Roman"/>
                  <w:sz w:val="20"/>
                  <w:szCs w:val="20"/>
                  <w:color w:val="0000EE"/>
                </w:rPr>
                <w:t>Legal Proceedings</w:t>
              </w:r>
            </w:hyperlink>
          </w:p>
        </w:tc>
        <w:tc>
          <w:tcPr>
            <w:tcW w:w="764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40" w:type="dxa"/>
            <w:vAlign w:val="bottom"/>
            <w:gridSpan w:val="4"/>
            <w:vMerge w:val="restart"/>
          </w:tcPr>
          <w:p>
            <w:pPr>
              <w:jc w:val="center"/>
              <w:ind w:left="6401"/>
              <w:spacing w:after="0"/>
              <w:rPr>
                <w:sz w:val="20"/>
                <w:szCs w:val="20"/>
                <w:color w:val="auto"/>
              </w:rPr>
            </w:pPr>
            <w:r>
              <w:rPr>
                <w:rFonts w:ascii="Times New Roman" w:cs="Times New Roman" w:eastAsia="Times New Roman" w:hAnsi="Times New Roman"/>
                <w:sz w:val="20"/>
                <w:szCs w:val="20"/>
                <w:color w:val="auto"/>
                <w:w w:val="89"/>
              </w:rPr>
              <w:t>37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3"/>
          </w:tcPr>
          <w:p>
            <w:pPr>
              <w:spacing w:after="0"/>
              <w:rPr>
                <w:sz w:val="18"/>
                <w:szCs w:val="18"/>
                <w:color w:val="auto"/>
              </w:rPr>
            </w:pPr>
          </w:p>
        </w:tc>
        <w:tc>
          <w:tcPr>
            <w:tcW w:w="160" w:type="dxa"/>
            <w:vAlign w:val="bottom"/>
          </w:tcPr>
          <w:p>
            <w:pPr>
              <w:jc w:val="right"/>
              <w:spacing w:after="0" w:line="209" w:lineRule="exact"/>
              <w:rPr>
                <w:rFonts w:ascii="Times New Roman" w:cs="Times New Roman" w:eastAsia="Times New Roman" w:hAnsi="Times New Roman"/>
                <w:sz w:val="20"/>
                <w:szCs w:val="20"/>
                <w:color w:val="0000EE"/>
                <w:w w:val="92"/>
              </w:rPr>
            </w:pPr>
            <w:hyperlink w:anchor="page24">
              <w:r>
                <w:rPr>
                  <w:rFonts w:ascii="Times New Roman" w:cs="Times New Roman" w:eastAsia="Times New Roman" w:hAnsi="Times New Roman"/>
                  <w:sz w:val="20"/>
                  <w:szCs w:val="20"/>
                  <w:color w:val="0000EE"/>
                  <w:w w:val="92"/>
                </w:rPr>
                <w:t>4.</w:t>
              </w:r>
            </w:hyperlink>
          </w:p>
        </w:tc>
        <w:tc>
          <w:tcPr>
            <w:tcW w:w="320" w:type="dxa"/>
            <w:vAlign w:val="bottom"/>
          </w:tcPr>
          <w:p>
            <w:pPr>
              <w:spacing w:after="0"/>
              <w:rPr>
                <w:sz w:val="18"/>
                <w:szCs w:val="18"/>
                <w:color w:val="auto"/>
              </w:rPr>
            </w:pPr>
          </w:p>
        </w:tc>
        <w:tc>
          <w:tcPr>
            <w:tcW w:w="2540" w:type="dxa"/>
            <w:vAlign w:val="bottom"/>
            <w:gridSpan w:val="9"/>
          </w:tcPr>
          <w:p>
            <w:pPr>
              <w:spacing w:after="0" w:line="209" w:lineRule="exact"/>
              <w:rPr>
                <w:rFonts w:ascii="Times New Roman" w:cs="Times New Roman" w:eastAsia="Times New Roman" w:hAnsi="Times New Roman"/>
                <w:sz w:val="20"/>
                <w:szCs w:val="20"/>
                <w:color w:val="0000EE"/>
              </w:rPr>
            </w:pPr>
            <w:hyperlink w:anchor="page24">
              <w:r>
                <w:rPr>
                  <w:rFonts w:ascii="Times New Roman" w:cs="Times New Roman" w:eastAsia="Times New Roman" w:hAnsi="Times New Roman"/>
                  <w:sz w:val="20"/>
                  <w:szCs w:val="20"/>
                  <w:color w:val="0000EE"/>
                </w:rPr>
                <w:t>Mine Safety Disclosures</w:t>
              </w:r>
            </w:hyperlink>
          </w:p>
        </w:tc>
        <w:tc>
          <w:tcPr>
            <w:tcW w:w="764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center"/>
        <w:ind w:right="40"/>
        <w:spacing w:after="0"/>
        <w:rPr>
          <w:rFonts w:ascii="Times New Roman" w:cs="Times New Roman" w:eastAsia="Times New Roman" w:hAnsi="Times New Roman"/>
          <w:sz w:val="20"/>
          <w:szCs w:val="20"/>
          <w:b w:val="1"/>
          <w:bCs w:val="1"/>
          <w:u w:val="single" w:color="auto"/>
          <w:color w:val="0000EE"/>
        </w:rPr>
      </w:pPr>
      <w:hyperlink w:anchor="page24">
        <w:r>
          <w:rPr>
            <w:rFonts w:ascii="Times New Roman" w:cs="Times New Roman" w:eastAsia="Times New Roman" w:hAnsi="Times New Roman"/>
            <w:sz w:val="20"/>
            <w:szCs w:val="20"/>
            <w:b w:val="1"/>
            <w:bCs w:val="1"/>
            <w:u w:val="single" w:color="auto"/>
            <w:color w:val="0000EE"/>
          </w:rPr>
          <w:t>PART II</w:t>
        </w:r>
      </w:hyperlink>
    </w:p>
    <w:p>
      <w:pPr>
        <w:spacing w:after="0" w:line="233" w:lineRule="exact"/>
        <w:rPr>
          <w:sz w:val="20"/>
          <w:szCs w:val="20"/>
          <w:color w:val="auto"/>
        </w:rPr>
      </w:pPr>
    </w:p>
    <w:p>
      <w:pPr>
        <w:ind w:left="1020" w:hanging="472"/>
        <w:spacing w:after="0"/>
        <w:tabs>
          <w:tab w:leader="none" w:pos="1020" w:val="left"/>
        </w:tabs>
        <w:numPr>
          <w:ilvl w:val="0"/>
          <w:numId w:val="3"/>
        </w:numPr>
        <w:rPr>
          <w:rFonts w:ascii="Times New Roman" w:cs="Times New Roman" w:eastAsia="Times New Roman" w:hAnsi="Times New Roman"/>
          <w:sz w:val="20"/>
          <w:szCs w:val="20"/>
          <w:u w:val="single" w:color="auto"/>
          <w:color w:val="0000EE"/>
        </w:rPr>
      </w:pPr>
      <w:hyperlink w:anchor="page24">
        <w:r>
          <w:rPr>
            <w:rFonts w:ascii="Times New Roman" w:cs="Times New Roman" w:eastAsia="Times New Roman" w:hAnsi="Times New Roman"/>
            <w:sz w:val="20"/>
            <w:szCs w:val="20"/>
            <w:u w:val="single" w:color="auto"/>
            <w:color w:val="0000EE"/>
          </w:rPr>
          <w:t>Market for the Registrant’s Common Equity, Related Stockholder Matters and Issuer Purchases of Equity</w:t>
        </w:r>
      </w:hyperlink>
    </w:p>
    <w:tbl>
      <w:tblPr>
        <w:tblLayout w:type="fixed"/>
        <w:tblInd w:w="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00" w:type="dxa"/>
            <w:vAlign w:val="bottom"/>
            <w:gridSpan w:val="20"/>
          </w:tcPr>
          <w:p>
            <w:pPr>
              <w:spacing w:after="0" w:line="211" w:lineRule="exact"/>
              <w:rPr>
                <w:rFonts w:ascii="Times New Roman" w:cs="Times New Roman" w:eastAsia="Times New Roman" w:hAnsi="Times New Roman"/>
                <w:sz w:val="20"/>
                <w:szCs w:val="20"/>
                <w:color w:val="0000EE"/>
              </w:rPr>
            </w:pPr>
            <w:hyperlink w:anchor="page24">
              <w:r>
                <w:rPr>
                  <w:rFonts w:ascii="Times New Roman" w:cs="Times New Roman" w:eastAsia="Times New Roman" w:hAnsi="Times New Roman"/>
                  <w:sz w:val="20"/>
                  <w:szCs w:val="20"/>
                  <w:color w:val="0000EE"/>
                </w:rPr>
                <w:t>Securities</w:t>
              </w:r>
            </w:hyperlink>
          </w:p>
        </w:tc>
        <w:tc>
          <w:tcPr>
            <w:tcW w:w="1680" w:type="dxa"/>
            <w:vAlign w:val="bottom"/>
          </w:tcPr>
          <w:p>
            <w:pPr>
              <w:jc w:val="right"/>
              <w:ind w:right="641"/>
              <w:spacing w:after="0" w:line="211" w:lineRule="exact"/>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0"/>
        </w:trPr>
        <w:tc>
          <w:tcPr>
            <w:tcW w:w="540" w:type="dxa"/>
            <w:vAlign w:val="bottom"/>
            <w:gridSpan w:val="5"/>
            <w:vMerge w:val="restart"/>
          </w:tcPr>
          <w:p>
            <w:pPr>
              <w:spacing w:after="0" w:line="20" w:lineRule="exact"/>
              <w:rPr>
                <w:sz w:val="1"/>
                <w:szCs w:val="1"/>
                <w:color w:val="auto"/>
              </w:rPr>
            </w:pPr>
          </w:p>
        </w:tc>
        <w:tc>
          <w:tcPr>
            <w:tcW w:w="160" w:type="dxa"/>
            <w:vAlign w:val="bottom"/>
            <w:vMerge w:val="restart"/>
          </w:tcPr>
          <w:p>
            <w:pPr>
              <w:jc w:val="right"/>
              <w:spacing w:after="0"/>
              <w:rPr>
                <w:rFonts w:ascii="Times New Roman" w:cs="Times New Roman" w:eastAsia="Times New Roman" w:hAnsi="Times New Roman"/>
                <w:sz w:val="20"/>
                <w:szCs w:val="20"/>
                <w:color w:val="0000EE"/>
                <w:w w:val="92"/>
              </w:rPr>
            </w:pPr>
            <w:hyperlink w:anchor="page26">
              <w:r>
                <w:rPr>
                  <w:rFonts w:ascii="Times New Roman" w:cs="Times New Roman" w:eastAsia="Times New Roman" w:hAnsi="Times New Roman"/>
                  <w:sz w:val="20"/>
                  <w:szCs w:val="20"/>
                  <w:color w:val="0000EE"/>
                  <w:w w:val="92"/>
                </w:rPr>
                <w:t>6.</w:t>
              </w:r>
            </w:hyperlink>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vMerge w:val="restart"/>
          </w:tcPr>
          <w:p>
            <w:pPr>
              <w:jc w:val="right"/>
              <w:ind w:right="641"/>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line="20" w:lineRule="exact"/>
              <w:rPr>
                <w:sz w:val="1"/>
                <w:szCs w:val="1"/>
                <w:color w:val="auto"/>
              </w:rPr>
            </w:pPr>
          </w:p>
        </w:tc>
      </w:tr>
      <w:tr>
        <w:trPr>
          <w:trHeight w:val="210"/>
        </w:trPr>
        <w:tc>
          <w:tcPr>
            <w:tcW w:w="540" w:type="dxa"/>
            <w:vAlign w:val="bottom"/>
            <w:gridSpan w:val="5"/>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760" w:type="dxa"/>
            <w:vAlign w:val="bottom"/>
            <w:gridSpan w:val="21"/>
          </w:tcPr>
          <w:p>
            <w:pPr>
              <w:spacing w:after="0" w:line="209" w:lineRule="exact"/>
              <w:rPr>
                <w:rFonts w:ascii="Times New Roman" w:cs="Times New Roman" w:eastAsia="Times New Roman" w:hAnsi="Times New Roman"/>
                <w:sz w:val="20"/>
                <w:szCs w:val="20"/>
                <w:color w:val="0000EE"/>
              </w:rPr>
            </w:pPr>
            <w:hyperlink w:anchor="page26">
              <w:r>
                <w:rPr>
                  <w:rFonts w:ascii="Times New Roman" w:cs="Times New Roman" w:eastAsia="Times New Roman" w:hAnsi="Times New Roman"/>
                  <w:sz w:val="20"/>
                  <w:szCs w:val="20"/>
                  <w:color w:val="0000EE"/>
                </w:rPr>
                <w:t>Selected Financial Data</w:t>
              </w:r>
            </w:hyperlink>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vMerge w:val="restart"/>
          </w:tcPr>
          <w:p>
            <w:pPr>
              <w:jc w:val="right"/>
              <w:ind w:right="641"/>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line="20" w:lineRule="exact"/>
              <w:rPr>
                <w:sz w:val="1"/>
                <w:szCs w:val="1"/>
                <w:color w:val="auto"/>
              </w:rPr>
            </w:pPr>
          </w:p>
        </w:tc>
      </w:tr>
      <w:tr>
        <w:trPr>
          <w:trHeight w:val="210"/>
        </w:trPr>
        <w:tc>
          <w:tcPr>
            <w:tcW w:w="540" w:type="dxa"/>
            <w:vAlign w:val="bottom"/>
            <w:gridSpan w:val="5"/>
          </w:tcPr>
          <w:p>
            <w:pPr>
              <w:spacing w:after="0"/>
              <w:rPr>
                <w:sz w:val="18"/>
                <w:szCs w:val="18"/>
                <w:color w:val="auto"/>
              </w:rPr>
            </w:pPr>
          </w:p>
        </w:tc>
        <w:tc>
          <w:tcPr>
            <w:tcW w:w="160" w:type="dxa"/>
            <w:vAlign w:val="bottom"/>
          </w:tcPr>
          <w:p>
            <w:pPr>
              <w:jc w:val="right"/>
              <w:spacing w:after="0" w:line="209" w:lineRule="exact"/>
              <w:rPr>
                <w:rFonts w:ascii="Times New Roman" w:cs="Times New Roman" w:eastAsia="Times New Roman" w:hAnsi="Times New Roman"/>
                <w:sz w:val="20"/>
                <w:szCs w:val="20"/>
                <w:color w:val="0000EE"/>
                <w:w w:val="92"/>
              </w:rPr>
            </w:pPr>
            <w:hyperlink w:anchor="page27">
              <w:r>
                <w:rPr>
                  <w:rFonts w:ascii="Times New Roman" w:cs="Times New Roman" w:eastAsia="Times New Roman" w:hAnsi="Times New Roman"/>
                  <w:sz w:val="20"/>
                  <w:szCs w:val="20"/>
                  <w:color w:val="0000EE"/>
                  <w:w w:val="92"/>
                </w:rPr>
                <w:t>7.</w:t>
              </w:r>
            </w:hyperlink>
          </w:p>
        </w:tc>
        <w:tc>
          <w:tcPr>
            <w:tcW w:w="320" w:type="dxa"/>
            <w:vAlign w:val="bottom"/>
          </w:tcPr>
          <w:p>
            <w:pPr>
              <w:spacing w:after="0"/>
              <w:rPr>
                <w:sz w:val="18"/>
                <w:szCs w:val="18"/>
                <w:color w:val="auto"/>
              </w:rPr>
            </w:pPr>
          </w:p>
        </w:tc>
        <w:tc>
          <w:tcPr>
            <w:tcW w:w="8760" w:type="dxa"/>
            <w:vAlign w:val="bottom"/>
            <w:gridSpan w:val="21"/>
          </w:tcPr>
          <w:p>
            <w:pPr>
              <w:spacing w:after="0" w:line="209" w:lineRule="exact"/>
              <w:rPr>
                <w:rFonts w:ascii="Times New Roman" w:cs="Times New Roman" w:eastAsia="Times New Roman" w:hAnsi="Times New Roman"/>
                <w:sz w:val="20"/>
                <w:szCs w:val="20"/>
                <w:color w:val="0000EE"/>
              </w:rPr>
            </w:pPr>
            <w:hyperlink w:anchor="page27">
              <w:r>
                <w:rPr>
                  <w:rFonts w:ascii="Times New Roman" w:cs="Times New Roman" w:eastAsia="Times New Roman" w:hAnsi="Times New Roman"/>
                  <w:sz w:val="20"/>
                  <w:szCs w:val="20"/>
                  <w:color w:val="0000EE"/>
                </w:rPr>
                <w:t>Management’s Discussion and Analysis of Financial Condition and Results of Operations</w:t>
              </w:r>
            </w:hyperlink>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0000EE"/>
            </w:tcBorders>
            <w:gridSpan w:val="2"/>
            <w:shd w:val="clear" w:color="auto" w:fill="0000EE"/>
          </w:tcPr>
          <w:p>
            <w:pPr>
              <w:spacing w:after="0" w:line="20" w:lineRule="exact"/>
              <w:rPr>
                <w:sz w:val="1"/>
                <w:szCs w:val="1"/>
                <w:color w:val="auto"/>
              </w:rPr>
            </w:pPr>
          </w:p>
        </w:tc>
        <w:tc>
          <w:tcPr>
            <w:tcW w:w="600" w:type="dxa"/>
            <w:vAlign w:val="bottom"/>
            <w:tcBorders>
              <w:bottom w:val="single" w:sz="8" w:color="0000EE"/>
            </w:tcBorders>
            <w:gridSpan w:val="2"/>
            <w:shd w:val="clear" w:color="auto" w:fill="0000EE"/>
          </w:tcPr>
          <w:p>
            <w:pPr>
              <w:spacing w:after="0" w:line="20" w:lineRule="exact"/>
              <w:rPr>
                <w:sz w:val="1"/>
                <w:szCs w:val="1"/>
                <w:color w:val="auto"/>
              </w:rPr>
            </w:pPr>
          </w:p>
        </w:tc>
        <w:tc>
          <w:tcPr>
            <w:tcW w:w="500" w:type="dxa"/>
            <w:vAlign w:val="bottom"/>
            <w:tcBorders>
              <w:bottom w:val="single" w:sz="8" w:color="0000EE"/>
            </w:tcBorders>
            <w:gridSpan w:val="2"/>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1180" w:type="dxa"/>
            <w:vAlign w:val="bottom"/>
            <w:tcBorders>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34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900" w:type="dxa"/>
            <w:vAlign w:val="bottom"/>
            <w:tcBorders>
              <w:bottom w:val="single" w:sz="8" w:color="0000EE"/>
            </w:tcBorders>
            <w:shd w:val="clear" w:color="auto" w:fill="0000EE"/>
          </w:tcPr>
          <w:p>
            <w:pPr>
              <w:spacing w:after="0" w:line="20" w:lineRule="exact"/>
              <w:rPr>
                <w:sz w:val="1"/>
                <w:szCs w:val="1"/>
                <w:color w:val="auto"/>
              </w:rPr>
            </w:pPr>
          </w:p>
        </w:tc>
        <w:tc>
          <w:tcPr>
            <w:tcW w:w="110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0" w:type="dxa"/>
            <w:vAlign w:val="bottom"/>
          </w:tcPr>
          <w:p>
            <w:pPr>
              <w:spacing w:after="0"/>
              <w:rPr>
                <w:sz w:val="16"/>
                <w:szCs w:val="16"/>
                <w:color w:val="auto"/>
              </w:rPr>
            </w:pPr>
          </w:p>
        </w:tc>
        <w:tc>
          <w:tcPr>
            <w:tcW w:w="300" w:type="dxa"/>
            <w:vAlign w:val="bottom"/>
            <w:tcBorders>
              <w:bottom w:val="single" w:sz="8" w:color="0000EE"/>
            </w:tcBorders>
            <w:gridSpan w:val="5"/>
          </w:tcPr>
          <w:p>
            <w:pPr>
              <w:jc w:val="right"/>
              <w:spacing w:after="0" w:line="189" w:lineRule="exact"/>
              <w:rPr>
                <w:rFonts w:ascii="Times New Roman" w:cs="Times New Roman" w:eastAsia="Times New Roman" w:hAnsi="Times New Roman"/>
                <w:sz w:val="20"/>
                <w:szCs w:val="20"/>
                <w:color w:val="0000EE"/>
                <w:w w:val="94"/>
              </w:rPr>
            </w:pPr>
            <w:hyperlink w:anchor="page42">
              <w:r>
                <w:rPr>
                  <w:rFonts w:ascii="Times New Roman" w:cs="Times New Roman" w:eastAsia="Times New Roman" w:hAnsi="Times New Roman"/>
                  <w:sz w:val="20"/>
                  <w:szCs w:val="20"/>
                  <w:color w:val="0000EE"/>
                  <w:w w:val="94"/>
                </w:rPr>
                <w:t>7A.</w:t>
              </w:r>
            </w:hyperlink>
          </w:p>
        </w:tc>
        <w:tc>
          <w:tcPr>
            <w:tcW w:w="320" w:type="dxa"/>
            <w:vAlign w:val="bottom"/>
          </w:tcPr>
          <w:p>
            <w:pPr>
              <w:spacing w:after="0"/>
              <w:rPr>
                <w:sz w:val="16"/>
                <w:szCs w:val="16"/>
                <w:color w:val="auto"/>
              </w:rPr>
            </w:pPr>
          </w:p>
        </w:tc>
        <w:tc>
          <w:tcPr>
            <w:tcW w:w="4740" w:type="dxa"/>
            <w:vAlign w:val="bottom"/>
            <w:tcBorders>
              <w:bottom w:val="single" w:sz="8" w:color="0000EE"/>
            </w:tcBorders>
            <w:gridSpan w:val="14"/>
          </w:tcPr>
          <w:p>
            <w:pPr>
              <w:spacing w:after="0" w:line="189" w:lineRule="exact"/>
              <w:rPr>
                <w:rFonts w:ascii="Times New Roman" w:cs="Times New Roman" w:eastAsia="Times New Roman" w:hAnsi="Times New Roman"/>
                <w:sz w:val="20"/>
                <w:szCs w:val="20"/>
                <w:color w:val="0000EE"/>
                <w:w w:val="98"/>
              </w:rPr>
            </w:pPr>
            <w:hyperlink w:anchor="page42">
              <w:r>
                <w:rPr>
                  <w:rFonts w:ascii="Times New Roman" w:cs="Times New Roman" w:eastAsia="Times New Roman" w:hAnsi="Times New Roman"/>
                  <w:sz w:val="20"/>
                  <w:szCs w:val="20"/>
                  <w:color w:val="0000EE"/>
                  <w:w w:val="98"/>
                </w:rPr>
                <w:t>Quantitative and Qualitative Disclosures about Market Risk</w:t>
              </w:r>
            </w:hyperlink>
          </w:p>
        </w:tc>
        <w:tc>
          <w:tcPr>
            <w:tcW w:w="4020" w:type="dxa"/>
            <w:vAlign w:val="bottom"/>
            <w:gridSpan w:val="7"/>
          </w:tcPr>
          <w:p>
            <w:pPr>
              <w:spacing w:after="0"/>
              <w:rPr>
                <w:sz w:val="16"/>
                <w:szCs w:val="16"/>
                <w:color w:val="auto"/>
              </w:rPr>
            </w:pPr>
          </w:p>
        </w:tc>
        <w:tc>
          <w:tcPr>
            <w:tcW w:w="1680" w:type="dxa"/>
            <w:vAlign w:val="bottom"/>
          </w:tcPr>
          <w:p>
            <w:pPr>
              <w:jc w:val="right"/>
              <w:ind w:right="641"/>
              <w:spacing w:after="0" w:line="189" w:lineRule="exact"/>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10"/>
        </w:trPr>
        <w:tc>
          <w:tcPr>
            <w:tcW w:w="540" w:type="dxa"/>
            <w:vAlign w:val="bottom"/>
            <w:gridSpan w:val="5"/>
          </w:tcPr>
          <w:p>
            <w:pPr>
              <w:spacing w:after="0"/>
              <w:rPr>
                <w:sz w:val="18"/>
                <w:szCs w:val="18"/>
                <w:color w:val="auto"/>
              </w:rPr>
            </w:pPr>
          </w:p>
        </w:tc>
        <w:tc>
          <w:tcPr>
            <w:tcW w:w="160" w:type="dxa"/>
            <w:vAlign w:val="bottom"/>
          </w:tcPr>
          <w:p>
            <w:pPr>
              <w:jc w:val="right"/>
              <w:spacing w:after="0" w:line="209" w:lineRule="exact"/>
              <w:rPr>
                <w:rFonts w:ascii="Times New Roman" w:cs="Times New Roman" w:eastAsia="Times New Roman" w:hAnsi="Times New Roman"/>
                <w:sz w:val="20"/>
                <w:szCs w:val="20"/>
                <w:color w:val="0000EE"/>
                <w:w w:val="92"/>
              </w:rPr>
            </w:pPr>
            <w:hyperlink w:anchor="page43">
              <w:r>
                <w:rPr>
                  <w:rFonts w:ascii="Times New Roman" w:cs="Times New Roman" w:eastAsia="Times New Roman" w:hAnsi="Times New Roman"/>
                  <w:sz w:val="20"/>
                  <w:szCs w:val="20"/>
                  <w:color w:val="0000EE"/>
                  <w:w w:val="92"/>
                </w:rPr>
                <w:t>8.</w:t>
              </w:r>
            </w:hyperlink>
          </w:p>
        </w:tc>
        <w:tc>
          <w:tcPr>
            <w:tcW w:w="320" w:type="dxa"/>
            <w:vAlign w:val="bottom"/>
          </w:tcPr>
          <w:p>
            <w:pPr>
              <w:spacing w:after="0"/>
              <w:rPr>
                <w:sz w:val="18"/>
                <w:szCs w:val="18"/>
                <w:color w:val="auto"/>
              </w:rPr>
            </w:pPr>
          </w:p>
        </w:tc>
        <w:tc>
          <w:tcPr>
            <w:tcW w:w="8760" w:type="dxa"/>
            <w:vAlign w:val="bottom"/>
            <w:gridSpan w:val="21"/>
          </w:tcPr>
          <w:p>
            <w:pPr>
              <w:spacing w:after="0" w:line="209" w:lineRule="exact"/>
              <w:rPr>
                <w:rFonts w:ascii="Times New Roman" w:cs="Times New Roman" w:eastAsia="Times New Roman" w:hAnsi="Times New Roman"/>
                <w:sz w:val="20"/>
                <w:szCs w:val="20"/>
                <w:color w:val="0000EE"/>
              </w:rPr>
            </w:pPr>
            <w:hyperlink w:anchor="page43">
              <w:r>
                <w:rPr>
                  <w:rFonts w:ascii="Times New Roman" w:cs="Times New Roman" w:eastAsia="Times New Roman" w:hAnsi="Times New Roman"/>
                  <w:sz w:val="20"/>
                  <w:szCs w:val="20"/>
                  <w:color w:val="0000EE"/>
                </w:rPr>
                <w:t>Financial Statements and Supplementary Data</w:t>
              </w:r>
            </w:hyperlink>
          </w:p>
        </w:tc>
        <w:tc>
          <w:tcPr>
            <w:tcW w:w="1680" w:type="dxa"/>
            <w:vAlign w:val="bottom"/>
          </w:tcPr>
          <w:p>
            <w:pPr>
              <w:jc w:val="right"/>
              <w:ind w:right="641"/>
              <w:spacing w:after="0" w:line="209" w:lineRule="exact"/>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vMerge w:val="restart"/>
          </w:tcPr>
          <w:p>
            <w:pPr>
              <w:jc w:val="right"/>
              <w:ind w:right="641"/>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line="20" w:lineRule="exact"/>
              <w:rPr>
                <w:sz w:val="1"/>
                <w:szCs w:val="1"/>
                <w:color w:val="auto"/>
              </w:rPr>
            </w:pPr>
          </w:p>
        </w:tc>
      </w:tr>
      <w:tr>
        <w:trPr>
          <w:trHeight w:val="210"/>
        </w:trPr>
        <w:tc>
          <w:tcPr>
            <w:tcW w:w="540" w:type="dxa"/>
            <w:vAlign w:val="bottom"/>
            <w:gridSpan w:val="5"/>
          </w:tcPr>
          <w:p>
            <w:pPr>
              <w:spacing w:after="0"/>
              <w:rPr>
                <w:sz w:val="18"/>
                <w:szCs w:val="18"/>
                <w:color w:val="auto"/>
              </w:rPr>
            </w:pPr>
          </w:p>
        </w:tc>
        <w:tc>
          <w:tcPr>
            <w:tcW w:w="160" w:type="dxa"/>
            <w:vAlign w:val="bottom"/>
          </w:tcPr>
          <w:p>
            <w:pPr>
              <w:jc w:val="right"/>
              <w:spacing w:after="0" w:line="209" w:lineRule="exact"/>
              <w:rPr>
                <w:rFonts w:ascii="Times New Roman" w:cs="Times New Roman" w:eastAsia="Times New Roman" w:hAnsi="Times New Roman"/>
                <w:sz w:val="20"/>
                <w:szCs w:val="20"/>
                <w:color w:val="0000EE"/>
                <w:w w:val="92"/>
              </w:rPr>
            </w:pPr>
            <w:hyperlink w:anchor="page43">
              <w:r>
                <w:rPr>
                  <w:rFonts w:ascii="Times New Roman" w:cs="Times New Roman" w:eastAsia="Times New Roman" w:hAnsi="Times New Roman"/>
                  <w:sz w:val="20"/>
                  <w:szCs w:val="20"/>
                  <w:color w:val="0000EE"/>
                  <w:w w:val="92"/>
                </w:rPr>
                <w:t>9.</w:t>
              </w:r>
            </w:hyperlink>
          </w:p>
        </w:tc>
        <w:tc>
          <w:tcPr>
            <w:tcW w:w="320" w:type="dxa"/>
            <w:vAlign w:val="bottom"/>
          </w:tcPr>
          <w:p>
            <w:pPr>
              <w:spacing w:after="0"/>
              <w:rPr>
                <w:sz w:val="18"/>
                <w:szCs w:val="18"/>
                <w:color w:val="auto"/>
              </w:rPr>
            </w:pPr>
          </w:p>
        </w:tc>
        <w:tc>
          <w:tcPr>
            <w:tcW w:w="8760" w:type="dxa"/>
            <w:vAlign w:val="bottom"/>
            <w:gridSpan w:val="21"/>
          </w:tcPr>
          <w:p>
            <w:pPr>
              <w:spacing w:after="0" w:line="209" w:lineRule="exact"/>
              <w:rPr>
                <w:rFonts w:ascii="Times New Roman" w:cs="Times New Roman" w:eastAsia="Times New Roman" w:hAnsi="Times New Roman"/>
                <w:sz w:val="20"/>
                <w:szCs w:val="20"/>
                <w:color w:val="0000EE"/>
              </w:rPr>
            </w:pPr>
            <w:hyperlink w:anchor="page43">
              <w:r>
                <w:rPr>
                  <w:rFonts w:ascii="Times New Roman" w:cs="Times New Roman" w:eastAsia="Times New Roman" w:hAnsi="Times New Roman"/>
                  <w:sz w:val="20"/>
                  <w:szCs w:val="20"/>
                  <w:color w:val="0000EE"/>
                </w:rPr>
                <w:t>Changes in and Disagreements with Accountants on Accounting and Financial Disclosure</w:t>
              </w:r>
            </w:hyperlink>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vMerge w:val="restart"/>
          </w:tcPr>
          <w:p>
            <w:pPr>
              <w:jc w:val="right"/>
              <w:ind w:right="641"/>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300" w:type="dxa"/>
            <w:vAlign w:val="bottom"/>
            <w:gridSpan w:val="5"/>
          </w:tcPr>
          <w:p>
            <w:pPr>
              <w:jc w:val="right"/>
              <w:spacing w:after="0" w:line="209" w:lineRule="exact"/>
              <w:rPr>
                <w:rFonts w:ascii="Times New Roman" w:cs="Times New Roman" w:eastAsia="Times New Roman" w:hAnsi="Times New Roman"/>
                <w:sz w:val="20"/>
                <w:szCs w:val="20"/>
                <w:color w:val="0000EE"/>
                <w:w w:val="94"/>
              </w:rPr>
            </w:pPr>
            <w:hyperlink w:anchor="page43">
              <w:r>
                <w:rPr>
                  <w:rFonts w:ascii="Times New Roman" w:cs="Times New Roman" w:eastAsia="Times New Roman" w:hAnsi="Times New Roman"/>
                  <w:sz w:val="20"/>
                  <w:szCs w:val="20"/>
                  <w:color w:val="0000EE"/>
                  <w:w w:val="94"/>
                </w:rPr>
                <w:t>9A.</w:t>
              </w:r>
            </w:hyperlink>
          </w:p>
        </w:tc>
        <w:tc>
          <w:tcPr>
            <w:tcW w:w="320" w:type="dxa"/>
            <w:vAlign w:val="bottom"/>
          </w:tcPr>
          <w:p>
            <w:pPr>
              <w:spacing w:after="0"/>
              <w:rPr>
                <w:sz w:val="18"/>
                <w:szCs w:val="18"/>
                <w:color w:val="auto"/>
              </w:rPr>
            </w:pPr>
          </w:p>
        </w:tc>
        <w:tc>
          <w:tcPr>
            <w:tcW w:w="8760" w:type="dxa"/>
            <w:vAlign w:val="bottom"/>
            <w:gridSpan w:val="21"/>
          </w:tcPr>
          <w:p>
            <w:pPr>
              <w:spacing w:after="0" w:line="209" w:lineRule="exact"/>
              <w:rPr>
                <w:rFonts w:ascii="Times New Roman" w:cs="Times New Roman" w:eastAsia="Times New Roman" w:hAnsi="Times New Roman"/>
                <w:sz w:val="20"/>
                <w:szCs w:val="20"/>
                <w:color w:val="0000EE"/>
              </w:rPr>
            </w:pPr>
            <w:hyperlink w:anchor="page43">
              <w:r>
                <w:rPr>
                  <w:rFonts w:ascii="Times New Roman" w:cs="Times New Roman" w:eastAsia="Times New Roman" w:hAnsi="Times New Roman"/>
                  <w:sz w:val="20"/>
                  <w:szCs w:val="20"/>
                  <w:color w:val="0000EE"/>
                </w:rPr>
                <w:t>Controls and Procedures</w:t>
              </w:r>
            </w:hyperlink>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4"/>
          </w:tcPr>
          <w:p>
            <w:pPr>
              <w:jc w:val="right"/>
              <w:spacing w:after="0" w:line="209" w:lineRule="exact"/>
              <w:rPr>
                <w:rFonts w:ascii="Times New Roman" w:cs="Times New Roman" w:eastAsia="Times New Roman" w:hAnsi="Times New Roman"/>
                <w:sz w:val="20"/>
                <w:szCs w:val="20"/>
                <w:color w:val="0000EE"/>
                <w:w w:val="91"/>
              </w:rPr>
            </w:pPr>
            <w:hyperlink w:anchor="page44">
              <w:r>
                <w:rPr>
                  <w:rFonts w:ascii="Times New Roman" w:cs="Times New Roman" w:eastAsia="Times New Roman" w:hAnsi="Times New Roman"/>
                  <w:sz w:val="20"/>
                  <w:szCs w:val="20"/>
                  <w:color w:val="0000EE"/>
                  <w:w w:val="91"/>
                </w:rPr>
                <w:t>9B.</w:t>
              </w:r>
            </w:hyperlink>
          </w:p>
        </w:tc>
        <w:tc>
          <w:tcPr>
            <w:tcW w:w="320" w:type="dxa"/>
            <w:vAlign w:val="bottom"/>
          </w:tcPr>
          <w:p>
            <w:pPr>
              <w:spacing w:after="0"/>
              <w:rPr>
                <w:sz w:val="18"/>
                <w:szCs w:val="18"/>
                <w:color w:val="auto"/>
              </w:rPr>
            </w:pPr>
          </w:p>
        </w:tc>
        <w:tc>
          <w:tcPr>
            <w:tcW w:w="1940" w:type="dxa"/>
            <w:vAlign w:val="bottom"/>
            <w:tcBorders>
              <w:top w:val="single" w:sz="8" w:color="0000EE"/>
            </w:tcBorders>
            <w:gridSpan w:val="6"/>
          </w:tcPr>
          <w:p>
            <w:pPr>
              <w:spacing w:after="0" w:line="209" w:lineRule="exact"/>
              <w:rPr>
                <w:rFonts w:ascii="Times New Roman" w:cs="Times New Roman" w:eastAsia="Times New Roman" w:hAnsi="Times New Roman"/>
                <w:sz w:val="20"/>
                <w:szCs w:val="20"/>
                <w:color w:val="0000EE"/>
              </w:rPr>
            </w:pPr>
            <w:hyperlink w:anchor="page44">
              <w:r>
                <w:rPr>
                  <w:rFonts w:ascii="Times New Roman" w:cs="Times New Roman" w:eastAsia="Times New Roman" w:hAnsi="Times New Roman"/>
                  <w:sz w:val="20"/>
                  <w:szCs w:val="20"/>
                  <w:color w:val="0000EE"/>
                </w:rPr>
                <w:t>Other Information</w:t>
              </w:r>
            </w:hyperlink>
          </w:p>
        </w:tc>
        <w:tc>
          <w:tcPr>
            <w:tcW w:w="6820" w:type="dxa"/>
            <w:vAlign w:val="bottom"/>
            <w:gridSpan w:val="15"/>
          </w:tcPr>
          <w:p>
            <w:pPr>
              <w:spacing w:after="0"/>
              <w:rPr>
                <w:sz w:val="18"/>
                <w:szCs w:val="18"/>
                <w:color w:val="auto"/>
              </w:rPr>
            </w:pPr>
          </w:p>
        </w:tc>
        <w:tc>
          <w:tcPr>
            <w:tcW w:w="1680" w:type="dxa"/>
            <w:vAlign w:val="bottom"/>
          </w:tcPr>
          <w:p>
            <w:pPr>
              <w:jc w:val="right"/>
              <w:ind w:right="641"/>
              <w:spacing w:after="0" w:line="209" w:lineRule="exact"/>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439"/>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Borders>
              <w:bottom w:val="single" w:sz="8" w:color="0000EE"/>
            </w:tcBorders>
            <w:gridSpan w:val="5"/>
          </w:tcPr>
          <w:p>
            <w:pPr>
              <w:jc w:val="center"/>
              <w:spacing w:after="0"/>
              <w:rPr>
                <w:rFonts w:ascii="Times New Roman" w:cs="Times New Roman" w:eastAsia="Times New Roman" w:hAnsi="Times New Roman"/>
                <w:sz w:val="20"/>
                <w:szCs w:val="20"/>
                <w:b w:val="1"/>
                <w:bCs w:val="1"/>
                <w:color w:val="0000EE"/>
                <w:w w:val="96"/>
              </w:rPr>
            </w:pPr>
            <w:hyperlink w:anchor="page44">
              <w:r>
                <w:rPr>
                  <w:rFonts w:ascii="Times New Roman" w:cs="Times New Roman" w:eastAsia="Times New Roman" w:hAnsi="Times New Roman"/>
                  <w:sz w:val="20"/>
                  <w:szCs w:val="20"/>
                  <w:b w:val="1"/>
                  <w:bCs w:val="1"/>
                  <w:color w:val="0000EE"/>
                  <w:w w:val="96"/>
                </w:rPr>
                <w:t>PART III</w:t>
              </w:r>
            </w:hyperlink>
          </w:p>
        </w:tc>
        <w:tc>
          <w:tcPr>
            <w:tcW w:w="3660" w:type="dxa"/>
            <w:vAlign w:val="bottom"/>
            <w:gridSpan w:val="5"/>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40" w:type="dxa"/>
            <w:vAlign w:val="bottom"/>
            <w:gridSpan w:val="3"/>
          </w:tcPr>
          <w:p>
            <w:pPr>
              <w:spacing w:after="0"/>
              <w:rPr>
                <w:sz w:val="24"/>
                <w:szCs w:val="24"/>
                <w:color w:val="auto"/>
              </w:rPr>
            </w:pPr>
          </w:p>
        </w:tc>
        <w:tc>
          <w:tcPr>
            <w:tcW w:w="260" w:type="dxa"/>
            <w:vAlign w:val="bottom"/>
            <w:gridSpan w:val="3"/>
          </w:tcPr>
          <w:p>
            <w:pPr>
              <w:jc w:val="right"/>
              <w:spacing w:after="0"/>
              <w:rPr>
                <w:rFonts w:ascii="Times New Roman" w:cs="Times New Roman" w:eastAsia="Times New Roman" w:hAnsi="Times New Roman"/>
                <w:sz w:val="20"/>
                <w:szCs w:val="20"/>
                <w:color w:val="0000EE"/>
                <w:w w:val="95"/>
              </w:rPr>
            </w:pPr>
            <w:hyperlink w:anchor="page44">
              <w:r>
                <w:rPr>
                  <w:rFonts w:ascii="Times New Roman" w:cs="Times New Roman" w:eastAsia="Times New Roman" w:hAnsi="Times New Roman"/>
                  <w:sz w:val="20"/>
                  <w:szCs w:val="20"/>
                  <w:color w:val="0000EE"/>
                  <w:w w:val="95"/>
                </w:rPr>
                <w:t>10.</w:t>
              </w:r>
            </w:hyperlink>
          </w:p>
        </w:tc>
        <w:tc>
          <w:tcPr>
            <w:tcW w:w="320" w:type="dxa"/>
            <w:vAlign w:val="bottom"/>
          </w:tcPr>
          <w:p>
            <w:pPr>
              <w:spacing w:after="0"/>
              <w:rPr>
                <w:sz w:val="24"/>
                <w:szCs w:val="24"/>
                <w:color w:val="auto"/>
              </w:rPr>
            </w:pPr>
          </w:p>
        </w:tc>
        <w:tc>
          <w:tcPr>
            <w:tcW w:w="8760" w:type="dxa"/>
            <w:vAlign w:val="bottom"/>
            <w:gridSpan w:val="21"/>
          </w:tcPr>
          <w:p>
            <w:pPr>
              <w:spacing w:after="0"/>
              <w:rPr>
                <w:rFonts w:ascii="Times New Roman" w:cs="Times New Roman" w:eastAsia="Times New Roman" w:hAnsi="Times New Roman"/>
                <w:sz w:val="20"/>
                <w:szCs w:val="20"/>
                <w:color w:val="0000EE"/>
              </w:rPr>
            </w:pPr>
            <w:hyperlink w:anchor="page44">
              <w:r>
                <w:rPr>
                  <w:rFonts w:ascii="Times New Roman" w:cs="Times New Roman" w:eastAsia="Times New Roman" w:hAnsi="Times New Roman"/>
                  <w:sz w:val="20"/>
                  <w:szCs w:val="20"/>
                  <w:color w:val="0000EE"/>
                </w:rPr>
                <w:t>Directors, Executive Officers and Corporate Governance</w:t>
              </w:r>
            </w:hyperlink>
          </w:p>
        </w:tc>
        <w:tc>
          <w:tcPr>
            <w:tcW w:w="168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10"/>
        </w:trPr>
        <w:tc>
          <w:tcPr>
            <w:tcW w:w="440" w:type="dxa"/>
            <w:vAlign w:val="bottom"/>
            <w:gridSpan w:val="3"/>
          </w:tcPr>
          <w:p>
            <w:pPr>
              <w:spacing w:after="0"/>
              <w:rPr>
                <w:sz w:val="18"/>
                <w:szCs w:val="18"/>
                <w:color w:val="auto"/>
              </w:rPr>
            </w:pPr>
          </w:p>
        </w:tc>
        <w:tc>
          <w:tcPr>
            <w:tcW w:w="260" w:type="dxa"/>
            <w:vAlign w:val="bottom"/>
            <w:tcBorders>
              <w:top w:val="single" w:sz="8" w:color="0000EE"/>
            </w:tcBorders>
            <w:gridSpan w:val="3"/>
          </w:tcPr>
          <w:p>
            <w:pPr>
              <w:jc w:val="right"/>
              <w:spacing w:after="0" w:line="209" w:lineRule="exact"/>
              <w:rPr>
                <w:rFonts w:ascii="Times New Roman" w:cs="Times New Roman" w:eastAsia="Times New Roman" w:hAnsi="Times New Roman"/>
                <w:sz w:val="20"/>
                <w:szCs w:val="20"/>
                <w:color w:val="0000EE"/>
                <w:w w:val="95"/>
              </w:rPr>
            </w:pPr>
            <w:hyperlink w:anchor="page44">
              <w:r>
                <w:rPr>
                  <w:rFonts w:ascii="Times New Roman" w:cs="Times New Roman" w:eastAsia="Times New Roman" w:hAnsi="Times New Roman"/>
                  <w:sz w:val="20"/>
                  <w:szCs w:val="20"/>
                  <w:color w:val="0000EE"/>
                  <w:w w:val="95"/>
                </w:rPr>
                <w:t>11.</w:t>
              </w:r>
            </w:hyperlink>
          </w:p>
        </w:tc>
        <w:tc>
          <w:tcPr>
            <w:tcW w:w="320" w:type="dxa"/>
            <w:vAlign w:val="bottom"/>
          </w:tcPr>
          <w:p>
            <w:pPr>
              <w:spacing w:after="0"/>
              <w:rPr>
                <w:sz w:val="18"/>
                <w:szCs w:val="18"/>
                <w:color w:val="auto"/>
              </w:rPr>
            </w:pPr>
          </w:p>
        </w:tc>
        <w:tc>
          <w:tcPr>
            <w:tcW w:w="4500" w:type="dxa"/>
            <w:vAlign w:val="bottom"/>
            <w:tcBorders>
              <w:top w:val="single" w:sz="8" w:color="0000EE"/>
            </w:tcBorders>
            <w:gridSpan w:val="13"/>
          </w:tcPr>
          <w:p>
            <w:pPr>
              <w:spacing w:after="0" w:line="209" w:lineRule="exact"/>
              <w:rPr>
                <w:rFonts w:ascii="Times New Roman" w:cs="Times New Roman" w:eastAsia="Times New Roman" w:hAnsi="Times New Roman"/>
                <w:sz w:val="20"/>
                <w:szCs w:val="20"/>
                <w:color w:val="0000EE"/>
              </w:rPr>
            </w:pPr>
            <w:hyperlink w:anchor="page44">
              <w:r>
                <w:rPr>
                  <w:rFonts w:ascii="Times New Roman" w:cs="Times New Roman" w:eastAsia="Times New Roman" w:hAnsi="Times New Roman"/>
                  <w:sz w:val="20"/>
                  <w:szCs w:val="20"/>
                  <w:color w:val="0000EE"/>
                </w:rPr>
                <w:t>Executive Compensation</w:t>
              </w:r>
            </w:hyperlink>
          </w:p>
        </w:tc>
        <w:tc>
          <w:tcPr>
            <w:tcW w:w="4260" w:type="dxa"/>
            <w:vAlign w:val="bottom"/>
            <w:gridSpan w:val="8"/>
          </w:tcPr>
          <w:p>
            <w:pPr>
              <w:spacing w:after="0"/>
              <w:rPr>
                <w:sz w:val="18"/>
                <w:szCs w:val="18"/>
                <w:color w:val="auto"/>
              </w:rPr>
            </w:pPr>
          </w:p>
        </w:tc>
        <w:tc>
          <w:tcPr>
            <w:tcW w:w="1680" w:type="dxa"/>
            <w:vAlign w:val="bottom"/>
          </w:tcPr>
          <w:p>
            <w:pPr>
              <w:jc w:val="right"/>
              <w:ind w:right="641"/>
              <w:spacing w:after="0" w:line="209" w:lineRule="exact"/>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vMerge w:val="restart"/>
          </w:tcPr>
          <w:p>
            <w:pPr>
              <w:jc w:val="right"/>
              <w:ind w:right="641"/>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line="20" w:lineRule="exact"/>
              <w:rPr>
                <w:sz w:val="1"/>
                <w:szCs w:val="1"/>
                <w:color w:val="auto"/>
              </w:rPr>
            </w:pPr>
          </w:p>
        </w:tc>
      </w:tr>
      <w:tr>
        <w:trPr>
          <w:trHeight w:val="230"/>
        </w:trPr>
        <w:tc>
          <w:tcPr>
            <w:tcW w:w="440" w:type="dxa"/>
            <w:vAlign w:val="bottom"/>
            <w:gridSpan w:val="3"/>
          </w:tcPr>
          <w:p>
            <w:pPr>
              <w:spacing w:after="0"/>
              <w:rPr>
                <w:sz w:val="19"/>
                <w:szCs w:val="19"/>
                <w:color w:val="auto"/>
              </w:rPr>
            </w:pPr>
          </w:p>
        </w:tc>
        <w:tc>
          <w:tcPr>
            <w:tcW w:w="260" w:type="dxa"/>
            <w:vAlign w:val="bottom"/>
            <w:gridSpan w:val="3"/>
          </w:tcPr>
          <w:p>
            <w:pPr>
              <w:jc w:val="right"/>
              <w:spacing w:after="0" w:line="209" w:lineRule="exact"/>
              <w:rPr>
                <w:rFonts w:ascii="Times New Roman" w:cs="Times New Roman" w:eastAsia="Times New Roman" w:hAnsi="Times New Roman"/>
                <w:sz w:val="20"/>
                <w:szCs w:val="20"/>
                <w:color w:val="0000EE"/>
                <w:w w:val="95"/>
              </w:rPr>
            </w:pPr>
            <w:hyperlink w:anchor="page44">
              <w:r>
                <w:rPr>
                  <w:rFonts w:ascii="Times New Roman" w:cs="Times New Roman" w:eastAsia="Times New Roman" w:hAnsi="Times New Roman"/>
                  <w:sz w:val="20"/>
                  <w:szCs w:val="20"/>
                  <w:color w:val="0000EE"/>
                  <w:w w:val="95"/>
                </w:rPr>
                <w:t>12.</w:t>
              </w:r>
            </w:hyperlink>
          </w:p>
        </w:tc>
        <w:tc>
          <w:tcPr>
            <w:tcW w:w="320" w:type="dxa"/>
            <w:vAlign w:val="bottom"/>
          </w:tcPr>
          <w:p>
            <w:pPr>
              <w:spacing w:after="0"/>
              <w:rPr>
                <w:sz w:val="19"/>
                <w:szCs w:val="19"/>
                <w:color w:val="auto"/>
              </w:rPr>
            </w:pPr>
          </w:p>
        </w:tc>
        <w:tc>
          <w:tcPr>
            <w:tcW w:w="8760" w:type="dxa"/>
            <w:vAlign w:val="bottom"/>
            <w:gridSpan w:val="21"/>
          </w:tcPr>
          <w:p>
            <w:pPr>
              <w:spacing w:after="0" w:line="209" w:lineRule="exact"/>
              <w:rPr>
                <w:rFonts w:ascii="Times New Roman" w:cs="Times New Roman" w:eastAsia="Times New Roman" w:hAnsi="Times New Roman"/>
                <w:sz w:val="20"/>
                <w:szCs w:val="20"/>
                <w:color w:val="0000EE"/>
              </w:rPr>
            </w:pPr>
            <w:hyperlink w:anchor="page44">
              <w:r>
                <w:rPr>
                  <w:rFonts w:ascii="Times New Roman" w:cs="Times New Roman" w:eastAsia="Times New Roman" w:hAnsi="Times New Roman"/>
                  <w:sz w:val="20"/>
                  <w:szCs w:val="20"/>
                  <w:color w:val="0000EE"/>
                </w:rPr>
                <w:t>Security Ownership of Certain Beneficial Owners and Management and Related Stockholder Matters</w:t>
              </w:r>
            </w:hyperlink>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gridSpan w:val="3"/>
          </w:tcPr>
          <w:p>
            <w:pPr>
              <w:spacing w:after="0"/>
              <w:rPr>
                <w:sz w:val="18"/>
                <w:szCs w:val="18"/>
                <w:color w:val="auto"/>
              </w:rPr>
            </w:pPr>
          </w:p>
        </w:tc>
        <w:tc>
          <w:tcPr>
            <w:tcW w:w="260" w:type="dxa"/>
            <w:vAlign w:val="bottom"/>
            <w:tcBorders>
              <w:top w:val="single" w:sz="8" w:color="0000EE"/>
              <w:bottom w:val="single" w:sz="8" w:color="0000EE"/>
            </w:tcBorders>
            <w:gridSpan w:val="3"/>
          </w:tcPr>
          <w:p>
            <w:pPr>
              <w:jc w:val="right"/>
              <w:spacing w:after="0" w:line="189" w:lineRule="exact"/>
              <w:rPr>
                <w:rFonts w:ascii="Times New Roman" w:cs="Times New Roman" w:eastAsia="Times New Roman" w:hAnsi="Times New Roman"/>
                <w:sz w:val="20"/>
                <w:szCs w:val="20"/>
                <w:color w:val="0000EE"/>
                <w:w w:val="95"/>
              </w:rPr>
            </w:pPr>
            <w:hyperlink w:anchor="page45">
              <w:r>
                <w:rPr>
                  <w:rFonts w:ascii="Times New Roman" w:cs="Times New Roman" w:eastAsia="Times New Roman" w:hAnsi="Times New Roman"/>
                  <w:sz w:val="20"/>
                  <w:szCs w:val="20"/>
                  <w:color w:val="0000EE"/>
                  <w:w w:val="95"/>
                </w:rPr>
                <w:t>13.</w:t>
              </w:r>
            </w:hyperlink>
          </w:p>
        </w:tc>
        <w:tc>
          <w:tcPr>
            <w:tcW w:w="320" w:type="dxa"/>
            <w:vAlign w:val="bottom"/>
          </w:tcPr>
          <w:p>
            <w:pPr>
              <w:spacing w:after="0"/>
              <w:rPr>
                <w:sz w:val="18"/>
                <w:szCs w:val="18"/>
                <w:color w:val="auto"/>
              </w:rPr>
            </w:pPr>
          </w:p>
        </w:tc>
        <w:tc>
          <w:tcPr>
            <w:tcW w:w="6000" w:type="dxa"/>
            <w:vAlign w:val="bottom"/>
            <w:tcBorders>
              <w:top w:val="single" w:sz="8" w:color="0000EE"/>
              <w:bottom w:val="single" w:sz="8" w:color="0000EE"/>
            </w:tcBorders>
            <w:gridSpan w:val="17"/>
          </w:tcPr>
          <w:p>
            <w:pPr>
              <w:spacing w:after="0" w:line="189" w:lineRule="exact"/>
              <w:rPr>
                <w:rFonts w:ascii="Times New Roman" w:cs="Times New Roman" w:eastAsia="Times New Roman" w:hAnsi="Times New Roman"/>
                <w:sz w:val="20"/>
                <w:szCs w:val="20"/>
                <w:color w:val="0000EE"/>
                <w:w w:val="98"/>
              </w:rPr>
            </w:pPr>
            <w:hyperlink w:anchor="page45">
              <w:r>
                <w:rPr>
                  <w:rFonts w:ascii="Times New Roman" w:cs="Times New Roman" w:eastAsia="Times New Roman" w:hAnsi="Times New Roman"/>
                  <w:sz w:val="20"/>
                  <w:szCs w:val="20"/>
                  <w:color w:val="0000EE"/>
                  <w:w w:val="98"/>
                </w:rPr>
                <w:t>Certain Relationships and Related Transactions, and Director Independence</w:t>
              </w:r>
            </w:hyperlink>
          </w:p>
        </w:tc>
        <w:tc>
          <w:tcPr>
            <w:tcW w:w="2020" w:type="dxa"/>
            <w:vAlign w:val="bottom"/>
            <w:tcBorders>
              <w:top w:val="single" w:sz="8" w:color="0000EE"/>
            </w:tcBorders>
            <w:gridSpan w:val="3"/>
          </w:tcPr>
          <w:p>
            <w:pPr>
              <w:spacing w:after="0"/>
              <w:rPr>
                <w:sz w:val="18"/>
                <w:szCs w:val="18"/>
                <w:color w:val="auto"/>
              </w:rPr>
            </w:pPr>
          </w:p>
        </w:tc>
        <w:tc>
          <w:tcPr>
            <w:tcW w:w="740" w:type="dxa"/>
            <w:vAlign w:val="bottom"/>
          </w:tcPr>
          <w:p>
            <w:pPr>
              <w:spacing w:after="0"/>
              <w:rPr>
                <w:sz w:val="18"/>
                <w:szCs w:val="18"/>
                <w:color w:val="auto"/>
              </w:rPr>
            </w:pPr>
          </w:p>
        </w:tc>
        <w:tc>
          <w:tcPr>
            <w:tcW w:w="1680" w:type="dxa"/>
            <w:vAlign w:val="bottom"/>
          </w:tcPr>
          <w:p>
            <w:pPr>
              <w:jc w:val="right"/>
              <w:ind w:right="641"/>
              <w:spacing w:after="0" w:line="189" w:lineRule="exact"/>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190"/>
        </w:trPr>
        <w:tc>
          <w:tcPr>
            <w:tcW w:w="700" w:type="dxa"/>
            <w:vAlign w:val="bottom"/>
            <w:gridSpan w:val="6"/>
          </w:tcPr>
          <w:p>
            <w:pPr>
              <w:jc w:val="right"/>
              <w:spacing w:after="0" w:line="189" w:lineRule="exact"/>
              <w:rPr>
                <w:rFonts w:ascii="Times New Roman" w:cs="Times New Roman" w:eastAsia="Times New Roman" w:hAnsi="Times New Roman"/>
                <w:sz w:val="20"/>
                <w:szCs w:val="20"/>
                <w:color w:val="0000EE"/>
              </w:rPr>
            </w:pPr>
            <w:hyperlink w:anchor="page45">
              <w:r>
                <w:rPr>
                  <w:rFonts w:ascii="Times New Roman" w:cs="Times New Roman" w:eastAsia="Times New Roman" w:hAnsi="Times New Roman"/>
                  <w:sz w:val="20"/>
                  <w:szCs w:val="20"/>
                  <w:color w:val="0000EE"/>
                </w:rPr>
                <w:t>14.</w:t>
              </w:r>
            </w:hyperlink>
          </w:p>
        </w:tc>
        <w:tc>
          <w:tcPr>
            <w:tcW w:w="320" w:type="dxa"/>
            <w:vAlign w:val="bottom"/>
          </w:tcPr>
          <w:p>
            <w:pPr>
              <w:spacing w:after="0"/>
              <w:rPr>
                <w:sz w:val="16"/>
                <w:szCs w:val="16"/>
                <w:color w:val="auto"/>
              </w:rPr>
            </w:pPr>
          </w:p>
        </w:tc>
        <w:tc>
          <w:tcPr>
            <w:tcW w:w="8760" w:type="dxa"/>
            <w:vAlign w:val="bottom"/>
            <w:gridSpan w:val="21"/>
          </w:tcPr>
          <w:p>
            <w:pPr>
              <w:spacing w:after="0" w:line="189" w:lineRule="exact"/>
              <w:rPr>
                <w:rFonts w:ascii="Times New Roman" w:cs="Times New Roman" w:eastAsia="Times New Roman" w:hAnsi="Times New Roman"/>
                <w:sz w:val="20"/>
                <w:szCs w:val="20"/>
                <w:color w:val="0000EE"/>
              </w:rPr>
            </w:pPr>
            <w:hyperlink w:anchor="page45">
              <w:r>
                <w:rPr>
                  <w:rFonts w:ascii="Times New Roman" w:cs="Times New Roman" w:eastAsia="Times New Roman" w:hAnsi="Times New Roman"/>
                  <w:sz w:val="20"/>
                  <w:szCs w:val="20"/>
                  <w:color w:val="0000EE"/>
                </w:rPr>
                <w:t>Principal Accounting Fees and Services</w:t>
              </w:r>
            </w:hyperlink>
          </w:p>
        </w:tc>
        <w:tc>
          <w:tcPr>
            <w:tcW w:w="1680" w:type="dxa"/>
            <w:vAlign w:val="bottom"/>
          </w:tcPr>
          <w:p>
            <w:pPr>
              <w:jc w:val="right"/>
              <w:ind w:right="641"/>
              <w:spacing w:after="0" w:line="189" w:lineRule="exact"/>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439"/>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9"/>
          </w:tcPr>
          <w:p>
            <w:pPr>
              <w:jc w:val="center"/>
              <w:ind w:right="3680"/>
              <w:spacing w:after="0"/>
              <w:rPr>
                <w:rFonts w:ascii="Times New Roman" w:cs="Times New Roman" w:eastAsia="Times New Roman" w:hAnsi="Times New Roman"/>
                <w:sz w:val="20"/>
                <w:szCs w:val="20"/>
                <w:b w:val="1"/>
                <w:bCs w:val="1"/>
                <w:color w:val="0000EE"/>
                <w:w w:val="93"/>
              </w:rPr>
            </w:pPr>
            <w:hyperlink w:anchor="page45">
              <w:r>
                <w:rPr>
                  <w:rFonts w:ascii="Times New Roman" w:cs="Times New Roman" w:eastAsia="Times New Roman" w:hAnsi="Times New Roman"/>
                  <w:sz w:val="20"/>
                  <w:szCs w:val="20"/>
                  <w:b w:val="1"/>
                  <w:bCs w:val="1"/>
                  <w:color w:val="0000EE"/>
                  <w:w w:val="93"/>
                </w:rPr>
                <w:t>PART IV</w:t>
              </w:r>
            </w:hyperlink>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40" w:type="dxa"/>
            <w:vAlign w:val="bottom"/>
            <w:gridSpan w:val="3"/>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Times New Roman" w:cs="Times New Roman" w:eastAsia="Times New Roman" w:hAnsi="Times New Roman"/>
                <w:sz w:val="20"/>
                <w:szCs w:val="20"/>
                <w:color w:val="0000EE"/>
                <w:w w:val="95"/>
              </w:rPr>
            </w:pPr>
            <w:hyperlink w:anchor="page45">
              <w:r>
                <w:rPr>
                  <w:rFonts w:ascii="Times New Roman" w:cs="Times New Roman" w:eastAsia="Times New Roman" w:hAnsi="Times New Roman"/>
                  <w:sz w:val="20"/>
                  <w:szCs w:val="20"/>
                  <w:color w:val="0000EE"/>
                  <w:w w:val="95"/>
                </w:rPr>
                <w:t>15.</w:t>
              </w:r>
            </w:hyperlink>
          </w:p>
        </w:tc>
        <w:tc>
          <w:tcPr>
            <w:tcW w:w="320" w:type="dxa"/>
            <w:vAlign w:val="bottom"/>
          </w:tcPr>
          <w:p>
            <w:pPr>
              <w:spacing w:after="0"/>
              <w:rPr>
                <w:sz w:val="24"/>
                <w:szCs w:val="24"/>
                <w:color w:val="auto"/>
              </w:rPr>
            </w:pPr>
          </w:p>
        </w:tc>
        <w:tc>
          <w:tcPr>
            <w:tcW w:w="3480" w:type="dxa"/>
            <w:vAlign w:val="bottom"/>
            <w:tcBorders>
              <w:bottom w:val="single" w:sz="8" w:color="0000EE"/>
            </w:tcBorders>
            <w:gridSpan w:val="9"/>
          </w:tcPr>
          <w:p>
            <w:pPr>
              <w:spacing w:after="0"/>
              <w:rPr>
                <w:rFonts w:ascii="Times New Roman" w:cs="Times New Roman" w:eastAsia="Times New Roman" w:hAnsi="Times New Roman"/>
                <w:sz w:val="20"/>
                <w:szCs w:val="20"/>
                <w:color w:val="0000EE"/>
                <w:w w:val="98"/>
              </w:rPr>
            </w:pPr>
            <w:hyperlink w:anchor="page45">
              <w:r>
                <w:rPr>
                  <w:rFonts w:ascii="Times New Roman" w:cs="Times New Roman" w:eastAsia="Times New Roman" w:hAnsi="Times New Roman"/>
                  <w:sz w:val="20"/>
                  <w:szCs w:val="20"/>
                  <w:color w:val="0000EE"/>
                  <w:w w:val="98"/>
                </w:rPr>
                <w:t>Exhibits and Financial Statement Schedules</w:t>
              </w:r>
            </w:hyperlink>
          </w:p>
        </w:tc>
        <w:tc>
          <w:tcPr>
            <w:tcW w:w="840" w:type="dxa"/>
            <w:vAlign w:val="bottom"/>
            <w:gridSpan w:val="3"/>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3680" w:type="dxa"/>
            <w:vAlign w:val="bottom"/>
            <w:gridSpan w:val="6"/>
          </w:tcPr>
          <w:p>
            <w:pPr>
              <w:spacing w:after="0"/>
              <w:rPr>
                <w:sz w:val="24"/>
                <w:szCs w:val="24"/>
                <w:color w:val="auto"/>
              </w:rPr>
            </w:pPr>
          </w:p>
        </w:tc>
        <w:tc>
          <w:tcPr>
            <w:tcW w:w="168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439"/>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Borders>
              <w:bottom w:val="single" w:sz="8" w:color="0000EE"/>
            </w:tcBorders>
            <w:gridSpan w:val="2"/>
          </w:tcPr>
          <w:p>
            <w:pPr>
              <w:spacing w:after="0"/>
              <w:rPr>
                <w:rFonts w:ascii="Times New Roman" w:cs="Times New Roman" w:eastAsia="Times New Roman" w:hAnsi="Times New Roman"/>
                <w:sz w:val="20"/>
                <w:szCs w:val="20"/>
                <w:color w:val="0000EE"/>
                <w:w w:val="97"/>
              </w:rPr>
            </w:pPr>
            <w:hyperlink w:anchor="page45">
              <w:r>
                <w:rPr>
                  <w:rFonts w:ascii="Times New Roman" w:cs="Times New Roman" w:eastAsia="Times New Roman" w:hAnsi="Times New Roman"/>
                  <w:sz w:val="20"/>
                  <w:szCs w:val="20"/>
                  <w:color w:val="0000EE"/>
                  <w:w w:val="97"/>
                </w:rPr>
                <w:t>Signatures</w:t>
              </w:r>
            </w:hyperlink>
          </w:p>
        </w:tc>
        <w:tc>
          <w:tcPr>
            <w:tcW w:w="7920" w:type="dxa"/>
            <w:vAlign w:val="bottom"/>
            <w:gridSpan w:val="19"/>
          </w:tcPr>
          <w:p>
            <w:pPr>
              <w:spacing w:after="0"/>
              <w:rPr>
                <w:sz w:val="24"/>
                <w:szCs w:val="24"/>
                <w:color w:val="auto"/>
              </w:rPr>
            </w:pPr>
          </w:p>
        </w:tc>
        <w:tc>
          <w:tcPr>
            <w:tcW w:w="168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433"/>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60" w:type="dxa"/>
            <w:vAlign w:val="bottom"/>
            <w:gridSpan w:val="15"/>
          </w:tcPr>
          <w:p>
            <w:pPr>
              <w:jc w:val="center"/>
              <w:ind w:left="4899"/>
              <w:spacing w:after="0"/>
              <w:rPr>
                <w:sz w:val="20"/>
                <w:szCs w:val="20"/>
                <w:color w:val="auto"/>
              </w:rPr>
            </w:pPr>
            <w:r>
              <w:rPr>
                <w:rFonts w:ascii="Times New Roman" w:cs="Times New Roman" w:eastAsia="Times New Roman" w:hAnsi="Times New Roman"/>
                <w:sz w:val="16"/>
                <w:szCs w:val="16"/>
                <w:color w:val="auto"/>
                <w:w w:val="99"/>
              </w:rPr>
              <w:t>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33"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0"/>
          <w:szCs w:val="20"/>
          <w:color w:val="auto"/>
        </w:rPr>
        <w:t>Monster Beverage Corporation was incorporated in Delaware on April 25, 1990. Our principal place of business is located at 1 Monster Way, Corona, California 92879 and our telephone number is (951) 739-6200. When this report uses the words “Monster Energy Company”, “Monster”, “Hansen”, “Hansen Natural Corporation”, “Hansen Beverage Company”, “the Company”, “we”, “us”, and “our”, these words refer to Monster Beverage Corporation and its subsidiaries, unless the context otherwise requires. We are a holding company and conduct no operating business except through our consolidated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 and Divestitures</w:t>
      </w:r>
    </w:p>
    <w:p>
      <w:pPr>
        <w:spacing w:after="0" w:line="233"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0"/>
          <w:szCs w:val="20"/>
          <w:color w:val="auto"/>
        </w:rPr>
        <w:t>On August 14, 2014, the Company and The Coca-Cola Company (“TCCC”) entered into definitive agreements for a long-term strategic relationship in the global energy drink category (the “TCCC Transaction”). As part of the TCCC Transaction, the Company, New Laser Corporation, a wholly owned subsidiary of the Company (“NewCo”), New Laser Merger Corp., a wholly owned subsidiary of NewCo (“Merger Sub”), TCCC and European Refreshments, an indirect wholly owned subsidiary of TCCC, entered into a transaction agreement, and the Company, TCCC and NewCo entered into an asset transfer agreement (together, the “TCCC Transaction Agreements”). Pursuant to the</w:t>
      </w:r>
    </w:p>
    <w:p>
      <w:pPr>
        <w:sectPr>
          <w:pgSz w:w="11900" w:h="16838" w:orient="portrait"/>
          <w:cols w:equalWidth="0" w:num="1">
            <w:col w:w="11460"/>
          </w:cols>
          <w:pgMar w:left="240" w:top="126" w:right="199" w:bottom="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20"/>
          <w:szCs w:val="20"/>
          <w:color w:val="auto"/>
        </w:rPr>
        <w:t>TCCC Transaction Agreements, the Company will reorganize into a new holding company by merging Merger Sub into the Company, with the Company surviving as a wholly owned subsidiary of NewCo. In the merger, each outstanding share of the Company’s common stock will be converted into one share of NewCo’s common stock.</w:t>
      </w:r>
    </w:p>
    <w:p>
      <w:pPr>
        <w:spacing w:after="0" w:line="19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Subject to the terms and conditions of the TCCC Transaction Agreements, upon the closing of the TCCC Transaction, (1) NewCo will issue to TCCC newly issued shares of common stock representing approximately 16.7% of the total number of shares of issued and outstanding NewCo common stock (after giving effect to the new issuance) and TCCC will have the right to nominate two individuals (reduced to one upon the earlier of (i) 36 months after the closing of the TCCC Transaction and (ii) TCCC’s equity interest in NewCo exceeding 20% of the outstanding shares of NewCo common stock) to NewCo’s Board of Directors, (2) TCCC will transfer its global energy drink business (including the NOS®, Full Throttle®, Burn®, Mother®, Play® and Power Play® and Relentless® brands) to NewCo, and the Company will transfer its non-energy drink business (including Hansen’s® Natural Sodas, Peace Tea®, Hubert’s® Lemonade and Hansen’s® Juice Products) to TCCC, (3) the Company and TCCC will amend their current distribution coordination agreements, which will contemplate expanding distribution of the Company’s products into additional territories pursuant to long-term distribution agreements with TCCC’s network of owned or controlled bottlers/distributors and independent bottling and distribution partners, and (4) TCCC will make a net cash payment of $2.15 billion to the Company (up to $625.0 million of which will be held in escrow, subject to release upon achievement of milestones relating to the transfer of distribution rights).</w:t>
      </w:r>
    </w:p>
    <w:p>
      <w:pPr>
        <w:spacing w:after="0" w:line="202" w:lineRule="exact"/>
        <w:rPr>
          <w:sz w:val="20"/>
          <w:szCs w:val="20"/>
          <w:color w:val="auto"/>
        </w:rPr>
      </w:pPr>
    </w:p>
    <w:p>
      <w:pPr>
        <w:jc w:val="both"/>
        <w:ind w:firstLine="702"/>
        <w:spacing w:after="0" w:line="254" w:lineRule="auto"/>
        <w:rPr>
          <w:sz w:val="20"/>
          <w:szCs w:val="20"/>
          <w:color w:val="auto"/>
        </w:rPr>
      </w:pPr>
      <w:r>
        <w:rPr>
          <w:rFonts w:ascii="Times New Roman" w:cs="Times New Roman" w:eastAsia="Times New Roman" w:hAnsi="Times New Roman"/>
          <w:sz w:val="20"/>
          <w:szCs w:val="20"/>
          <w:color w:val="auto"/>
        </w:rPr>
        <w:t>The waiting period under the Hart-Scott-Rodino Antitrust Improvements Act of 1976 (the “HSR Act”) with respect to the TCCC Transaction expired on October 15, 2014, and all necessary approvals or consents from foreign antitrust authorities have been obtained. The closing of the transaction is subject to customary closing conditions and is expected to close in the second quarter of 2015.</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develop, market, sell and distribute “alternative” beverage category beverages primarily under the following brand names: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Monster Energy®</w:t>
            </w:r>
          </w:p>
        </w:tc>
        <w:tc>
          <w:tcPr>
            <w:tcW w:w="1340" w:type="dxa"/>
            <w:vAlign w:val="bottom"/>
          </w:tcPr>
          <w:p>
            <w:pPr>
              <w:ind w:left="1220"/>
              <w:spacing w:after="0"/>
              <w:rPr>
                <w:sz w:val="20"/>
                <w:szCs w:val="20"/>
                <w:color w:val="auto"/>
              </w:rPr>
            </w:pPr>
            <w:r>
              <w:rPr>
                <w:rFonts w:ascii="Times New Roman" w:cs="Times New Roman" w:eastAsia="Times New Roman" w:hAnsi="Times New Roman"/>
                <w:sz w:val="19"/>
                <w:szCs w:val="19"/>
                <w:color w:val="auto"/>
              </w:rPr>
              <w:t>·</w:t>
            </w:r>
          </w:p>
        </w:tc>
        <w:tc>
          <w:tcPr>
            <w:tcW w:w="24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Hansen’s®</w:t>
            </w:r>
          </w:p>
        </w:tc>
      </w:tr>
      <w:tr>
        <w:trPr>
          <w:trHeight w:val="216"/>
        </w:trPr>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38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Monster Rehab®</w:t>
            </w:r>
          </w:p>
        </w:tc>
        <w:tc>
          <w:tcPr>
            <w:tcW w:w="3740" w:type="dxa"/>
            <w:vAlign w:val="bottom"/>
            <w:gridSpan w:val="2"/>
          </w:tcPr>
          <w:p>
            <w:pPr>
              <w:ind w:left="1220"/>
              <w:spacing w:after="0" w:line="216" w:lineRule="exact"/>
              <w:rPr>
                <w:sz w:val="20"/>
                <w:szCs w:val="20"/>
                <w:color w:val="auto"/>
              </w:rPr>
            </w:pPr>
            <w:r>
              <w:rPr>
                <w:rFonts w:ascii="Times New Roman" w:cs="Times New Roman" w:eastAsia="Times New Roman" w:hAnsi="Times New Roman"/>
                <w:sz w:val="19"/>
                <w:szCs w:val="19"/>
                <w:color w:val="auto"/>
              </w:rPr>
              <w:t>·  Hansen’s Natural Cane Soda®</w:t>
            </w:r>
          </w:p>
        </w:tc>
      </w:tr>
      <w:tr>
        <w:trPr>
          <w:trHeight w:val="216"/>
        </w:trPr>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38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Monster Energy Extra Strength Nitrous Technology®</w:t>
            </w:r>
          </w:p>
        </w:tc>
        <w:tc>
          <w:tcPr>
            <w:tcW w:w="1340" w:type="dxa"/>
            <w:vAlign w:val="bottom"/>
          </w:tcPr>
          <w:p>
            <w:pPr>
              <w:ind w:left="1220"/>
              <w:spacing w:after="0" w:line="216" w:lineRule="exact"/>
              <w:rPr>
                <w:sz w:val="20"/>
                <w:szCs w:val="20"/>
                <w:color w:val="auto"/>
              </w:rPr>
            </w:pPr>
            <w:r>
              <w:rPr>
                <w:rFonts w:ascii="Times New Roman" w:cs="Times New Roman" w:eastAsia="Times New Roman" w:hAnsi="Times New Roman"/>
                <w:sz w:val="19"/>
                <w:szCs w:val="19"/>
                <w:color w:val="auto"/>
              </w:rPr>
              <w:t>·</w:t>
            </w:r>
          </w:p>
        </w:tc>
        <w:tc>
          <w:tcPr>
            <w:tcW w:w="240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Junior Juice®</w:t>
            </w:r>
          </w:p>
        </w:tc>
      </w:tr>
      <w:tr>
        <w:trPr>
          <w:trHeight w:val="216"/>
        </w:trPr>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38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Java Monster®</w:t>
            </w:r>
          </w:p>
        </w:tc>
        <w:tc>
          <w:tcPr>
            <w:tcW w:w="1340" w:type="dxa"/>
            <w:vAlign w:val="bottom"/>
          </w:tcPr>
          <w:p>
            <w:pPr>
              <w:ind w:left="1220"/>
              <w:spacing w:after="0" w:line="216" w:lineRule="exact"/>
              <w:rPr>
                <w:sz w:val="20"/>
                <w:szCs w:val="20"/>
                <w:color w:val="auto"/>
              </w:rPr>
            </w:pPr>
            <w:r>
              <w:rPr>
                <w:rFonts w:ascii="Times New Roman" w:cs="Times New Roman" w:eastAsia="Times New Roman" w:hAnsi="Times New Roman"/>
                <w:sz w:val="19"/>
                <w:szCs w:val="19"/>
                <w:color w:val="auto"/>
              </w:rPr>
              <w:t>·</w:t>
            </w:r>
          </w:p>
        </w:tc>
        <w:tc>
          <w:tcPr>
            <w:tcW w:w="240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Blue Sky®</w:t>
            </w:r>
          </w:p>
        </w:tc>
      </w:tr>
      <w:tr>
        <w:trPr>
          <w:trHeight w:val="216"/>
        </w:trPr>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38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Muscle Monster®</w:t>
            </w:r>
          </w:p>
        </w:tc>
        <w:tc>
          <w:tcPr>
            <w:tcW w:w="1340" w:type="dxa"/>
            <w:vAlign w:val="bottom"/>
          </w:tcPr>
          <w:p>
            <w:pPr>
              <w:ind w:left="1220"/>
              <w:spacing w:after="0" w:line="216" w:lineRule="exact"/>
              <w:rPr>
                <w:sz w:val="20"/>
                <w:szCs w:val="20"/>
                <w:color w:val="auto"/>
              </w:rPr>
            </w:pPr>
            <w:r>
              <w:rPr>
                <w:rFonts w:ascii="Times New Roman" w:cs="Times New Roman" w:eastAsia="Times New Roman" w:hAnsi="Times New Roman"/>
                <w:sz w:val="19"/>
                <w:szCs w:val="19"/>
                <w:color w:val="auto"/>
              </w:rPr>
              <w:t>·</w:t>
            </w:r>
          </w:p>
        </w:tc>
        <w:tc>
          <w:tcPr>
            <w:tcW w:w="240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Hubert’s®</w:t>
            </w:r>
          </w:p>
        </w:tc>
      </w:tr>
      <w:tr>
        <w:trPr>
          <w:trHeight w:val="216"/>
        </w:trPr>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38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Punch Monster®</w:t>
            </w:r>
          </w:p>
        </w:tc>
        <w:tc>
          <w:tcPr>
            <w:tcW w:w="1340" w:type="dxa"/>
            <w:vAlign w:val="bottom"/>
          </w:tcPr>
          <w:p>
            <w:pPr>
              <w:ind w:left="1220"/>
              <w:spacing w:after="0" w:line="216" w:lineRule="exact"/>
              <w:rPr>
                <w:sz w:val="20"/>
                <w:szCs w:val="20"/>
                <w:color w:val="auto"/>
              </w:rPr>
            </w:pPr>
            <w:r>
              <w:rPr>
                <w:rFonts w:ascii="Times New Roman" w:cs="Times New Roman" w:eastAsia="Times New Roman" w:hAnsi="Times New Roman"/>
                <w:sz w:val="19"/>
                <w:szCs w:val="19"/>
                <w:color w:val="auto"/>
              </w:rPr>
              <w:t>·</w:t>
            </w:r>
          </w:p>
        </w:tc>
        <w:tc>
          <w:tcPr>
            <w:tcW w:w="240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Peace Tea®</w:t>
            </w:r>
          </w:p>
        </w:tc>
      </w:tr>
      <w:tr>
        <w:trPr>
          <w:trHeight w:val="244"/>
        </w:trPr>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Juice Monster™</w:t>
            </w:r>
          </w:p>
        </w:tc>
        <w:tc>
          <w:tcPr>
            <w:tcW w:w="1340" w:type="dxa"/>
            <w:vAlign w:val="bottom"/>
          </w:tcPr>
          <w:p>
            <w:pPr>
              <w:spacing w:after="0"/>
              <w:rPr>
                <w:sz w:val="21"/>
                <w:szCs w:val="21"/>
                <w:color w:val="auto"/>
              </w:rPr>
            </w:pPr>
          </w:p>
        </w:tc>
        <w:tc>
          <w:tcPr>
            <w:tcW w:w="2400" w:type="dxa"/>
            <w:vAlign w:val="bottom"/>
          </w:tcPr>
          <w:p>
            <w:pPr>
              <w:spacing w:after="0"/>
              <w:rPr>
                <w:sz w:val="21"/>
                <w:szCs w:val="21"/>
                <w:color w:val="auto"/>
              </w:rPr>
            </w:pPr>
          </w:p>
        </w:tc>
      </w:tr>
    </w:tbl>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Monster Energy® brand energy drinks, which represented 93.3%, 92.5% and 92.3% of our net sales for the years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2014, 2013 and 2012, respectively, primarily include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Monster Energy®</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Java Monster® Kona Blend</w:t>
            </w:r>
          </w:p>
        </w:tc>
      </w:tr>
      <w:tr>
        <w:trPr>
          <w:trHeight w:val="230"/>
        </w:trPr>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Lo-Carb Monster Energy®</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Java Monster® Loca Moca®</w:t>
            </w:r>
          </w:p>
        </w:tc>
      </w:tr>
      <w:tr>
        <w:trPr>
          <w:trHeight w:val="230"/>
        </w:trPr>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Monster Assault®</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Java Monster® Mean Bean®</w:t>
            </w:r>
          </w:p>
        </w:tc>
      </w:tr>
      <w:tr>
        <w:trPr>
          <w:trHeight w:val="230"/>
        </w:trPr>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Juice Monster™ Khaos®</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Java Monster® Vanilla Light</w:t>
            </w:r>
          </w:p>
        </w:tc>
      </w:tr>
      <w:tr>
        <w:trPr>
          <w:trHeight w:val="230"/>
        </w:trPr>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Juice Monster™ Ripper®</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Java Monster® Irish Blend®</w:t>
            </w: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Energy® Absolutely Zero</w:t>
            </w:r>
          </w:p>
        </w:tc>
        <w:tc>
          <w:tcPr>
            <w:tcW w:w="116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Java Monster® Cappuccino</w:t>
            </w:r>
          </w:p>
        </w:tc>
      </w:tr>
      <w:tr>
        <w:trPr>
          <w:trHeight w:val="230"/>
        </w:trPr>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Monster Energy® Import</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w w:val="99"/>
              </w:rPr>
              <w:t>·  Monster Energy Extra Strength Nitrous Technology®</w:t>
            </w: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Punch Monster® Baller’s Blend (formerly Dub Edition)</w:t>
            </w:r>
          </w:p>
        </w:tc>
        <w:tc>
          <w:tcPr>
            <w:tcW w:w="116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Super Dry™</w:t>
            </w: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Punch Monster® Mad Dog (formerly Dub Edition)</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w w:val="99"/>
              </w:rPr>
              <w:t>·  Monster Energy Extra Strength Nitrous Technology®</w:t>
            </w: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Tea + Lemonade + Energy</w:t>
            </w:r>
          </w:p>
        </w:tc>
        <w:tc>
          <w:tcPr>
            <w:tcW w:w="116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Anti-Gravity®</w:t>
            </w: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Rojo Tea + Energy</w:t>
            </w:r>
          </w:p>
        </w:tc>
        <w:tc>
          <w:tcPr>
            <w:tcW w:w="116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Monster Cuba-Lima®</w:t>
            </w: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Green Tea + Energy</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Monster Energy® Zero Ultra</w:t>
            </w: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Tea + Orangeade + Energy</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Monster Energy® Ultra Blue™</w:t>
            </w: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Tea + Pink Lemonade + Energy</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Monster Energy® Ultra Red™</w:t>
            </w:r>
          </w:p>
        </w:tc>
      </w:tr>
      <w:tr>
        <w:trPr>
          <w:trHeight w:val="230"/>
        </w:trPr>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Muscle Monster® Vanilla</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Monster Energy® Ultra Black™</w:t>
            </w:r>
          </w:p>
        </w:tc>
      </w:tr>
      <w:tr>
        <w:trPr>
          <w:trHeight w:val="230"/>
        </w:trPr>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Muscle Monster® Chocolate</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Monster Energy® Ultra Sunrise™</w:t>
            </w:r>
          </w:p>
        </w:tc>
      </w:tr>
      <w:tr>
        <w:trPr>
          <w:trHeight w:val="230"/>
        </w:trPr>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Muscle Monster® Coffee</w:t>
            </w:r>
          </w:p>
        </w:tc>
        <w:tc>
          <w:tcPr>
            <w:tcW w:w="116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Monster Energy® Unleaded</w:t>
            </w:r>
          </w:p>
        </w:tc>
      </w:tr>
      <w:tr>
        <w:trPr>
          <w:trHeight w:val="230"/>
        </w:trPr>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Muscle Monster® Strawberry</w:t>
            </w:r>
          </w:p>
        </w:tc>
        <w:tc>
          <w:tcPr>
            <w:tcW w:w="116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4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Übermonster® Energy Brew™</w:t>
            </w: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Muscle Monster® Peanut Butter Cup</w:t>
            </w:r>
          </w:p>
        </w:tc>
        <w:tc>
          <w:tcPr>
            <w:tcW w:w="55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M3® Monster Energy® Super Concentrate</w:t>
            </w:r>
          </w:p>
        </w:tc>
      </w:tr>
      <w:tr>
        <w:trPr>
          <w:trHeight w:val="258"/>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Energy® Valentino Rossi</w:t>
            </w:r>
          </w:p>
        </w:tc>
        <w:tc>
          <w:tcPr>
            <w:tcW w:w="1160" w:type="dxa"/>
            <w:vAlign w:val="bottom"/>
          </w:tcPr>
          <w:p>
            <w:pPr>
              <w:spacing w:after="0"/>
              <w:rPr>
                <w:sz w:val="22"/>
                <w:szCs w:val="22"/>
                <w:color w:val="auto"/>
              </w:rPr>
            </w:pPr>
          </w:p>
        </w:tc>
        <w:tc>
          <w:tcPr>
            <w:tcW w:w="4340" w:type="dxa"/>
            <w:vAlign w:val="bottom"/>
          </w:tcPr>
          <w:p>
            <w:pPr>
              <w:spacing w:after="0"/>
              <w:rPr>
                <w:sz w:val="22"/>
                <w:szCs w:val="22"/>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Overview</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“alternative” beverage category combines non-carbonated ready-to-drink iced teas, lemonades, juice cocktails, single-serve juices and fruit beverages, ready-to-drink dairy and coffee drinks, energy drinks, sports drinks, and single-serve still water (flavored, unflavored and enhanced) with “new age” beverages, including sodas that are considered natural, sparkling juices and flavored sparkling beverages. According to Beverage Marketing Corporation, domestic U.S. wholesale sales in 2014 for the “alternative” beverage category of the market are estimated at approximately $38.8 billion, representing an increase of approximately 5.1% over the estimated domestic U.S. wholesale sales in 2013 of approximately $36.9 billion (revised from a previously reported estimate of $37.7 billion).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History</w:t>
      </w:r>
    </w:p>
    <w:p>
      <w:pPr>
        <w:sectPr>
          <w:pgSz w:w="11900" w:h="16838" w:orient="portrait"/>
          <w:cols w:equalWidth="0" w:num="1">
            <w:col w:w="11420"/>
          </w:cols>
          <w:pgMar w:left="240" w:top="118" w:right="239" w:bottom="0" w:gutter="0" w:footer="0" w:header="0"/>
        </w:sectPr>
      </w:pPr>
    </w:p>
    <w:bookmarkStart w:id="3" w:name="page4"/>
    <w:bookmarkEnd w:id="3"/>
    <w:p>
      <w:pPr>
        <w:spacing w:after="0" w:line="3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the 1930s, Hubert Hansen and his sons started a business to sell fresh non-pasteurized juices in Los Angeles, California. This business eventually became Hansen’s Juices, Inc., which subsequently became known as The Fresh Juice Company of California, Inc. (“FJC”). FJC retained the right to market and sell fresh non-pasteurized juices under the Hansen’s trademark. In 1977, Tim Hansen, one of the grandsons of Hubert Hansen, perceived a demand for shelf stable pasteurized natural juices and juice blends and formed Hansen Foods, Inc. (“HFI”). HFI expanded its product line from juices to include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Hansen’s Natural Soda® brand sodas. In 1990, California Co-Packers Corporation (d/b/a Hansen Beverage Company) (“CCC”) acquired certain assets of HFI, including the right to market the Hansen’s® brand name. In 1992, we acquired the Hansen’s® brand natural soda and apple juice business from CCC. Under our ownership, the Hansen beverage business has significantly expanded and includes a wide range of beverages within the growing “alternative” beverage category including, in particular, energy drinks. In 1999, we acquired all of FJC’s rights to manufacture, sell and distribute fresh non-pasteurized juice products under the Hansen’s® trademark together with certain additional rights. In 2012, we changed our name from Hansen Natural Corporation to Monster Beverage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We have two operating and reportable segments, namely Direct Store Delivery (“DSD”), the principal products of which comprise energy drinks, and Warehouse (“Warehouse”), the principal products of which comprise juice-based and soda beverages. The DSD segment develops, markets and sells products primarily through an exclusive distributor network, whereas the Warehouse segment develops, markets and sells products primarily directly to retailers. Corporate and unallocated amounts that do not relate to the DSD or Warehouse segments specifically, have been allocated to “Corporate and Unallocated.” Our DSD segment represented 96.1%, 95.6% and 95.4% of our consolidated net sales for the years ended December 31, 2014, 2013 and 2012, respectively. Our Warehouse segment represented 3.9%, 4.4% and 4.6% of our consolidated net sales for the years ended December 31, 2014, 2013 and 2012, respectively. Following the consummation of the TCCC Transaction, the Company anticipates that it will have two operating and reporting segments: Concentrate, the principal products of which will likely include the various energy drink brands transferred to the Company from TCCC, and Finished Products, the principal products of which will likely include the Company’s Monster Energy® drink products that currently make up the majority of the DSD segment.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financial information about our reporting segments and geographic areas, refer to Note 17 of Notes to the Consolidated Financial Statements set forth in “Part II, Item 8 – Financial Statements and Supplementary Data” of this report, incorporated herein by reference. For certain risks with respect to our energy drinks see “Part I, Item 1A – Risk Factors”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2014 Product Introductions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During 2014, we continued to expand our existing product lines and flavors and further develop our distribution markets. In particular, we continued to focus on developing and marketing beverages that fall within the category generally described as the “alternative” beverage category. During 2014, we introduced a number of new products, including the following:</w:t>
      </w:r>
    </w:p>
    <w:p>
      <w:pPr>
        <w:spacing w:after="0" w:line="188" w:lineRule="exact"/>
        <w:rPr>
          <w:sz w:val="20"/>
          <w:szCs w:val="20"/>
          <w:color w:val="auto"/>
        </w:rPr>
      </w:pPr>
    </w:p>
    <w:p>
      <w:pPr>
        <w:ind w:left="600" w:hanging="365"/>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Punch Monster® Baller’s Blend (formerly Dub Edition) (January 2014).</w:t>
      </w:r>
    </w:p>
    <w:p>
      <w:pPr>
        <w:spacing w:after="0" w:line="21" w:lineRule="exact"/>
        <w:rPr>
          <w:rFonts w:ascii="Times New Roman" w:cs="Times New Roman" w:eastAsia="Times New Roman" w:hAnsi="Times New Roman"/>
          <w:sz w:val="20"/>
          <w:szCs w:val="20"/>
          <w:color w:val="auto"/>
        </w:rPr>
      </w:pPr>
    </w:p>
    <w:p>
      <w:pPr>
        <w:ind w:left="600" w:hanging="365"/>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Punch Monster® Mad Dog (formerly Dub Edition) (January 2014).</w:t>
      </w:r>
    </w:p>
    <w:p>
      <w:pPr>
        <w:ind w:left="600" w:hanging="365"/>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Peace Tea Beverage Company™ Viva Mango™, a mango flavored juice drink (February 2014).</w:t>
      </w:r>
    </w:p>
    <w:p>
      <w:pPr>
        <w:ind w:left="600" w:hanging="365"/>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Valentino Rossi, a carbonated energy drink (May 2014).</w:t>
      </w:r>
    </w:p>
    <w:p>
      <w:pPr>
        <w:ind w:left="600" w:hanging="365"/>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Hubert’s® Organic Lemonade, a line of certified organic lemonades in a variety of flavors (May 2014).</w:t>
      </w:r>
    </w:p>
    <w:p>
      <w:pPr>
        <w:ind w:left="640" w:hanging="405"/>
        <w:spacing w:after="0" w:line="239" w:lineRule="auto"/>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Ultra Black™, a carbonated energy drink which contains zero calories and zero sugar, launched as a summer promotion with 7-eleven (July 2014).</w:t>
      </w:r>
    </w:p>
    <w:p>
      <w:pPr>
        <w:spacing w:after="0" w:line="1" w:lineRule="exact"/>
        <w:rPr>
          <w:rFonts w:ascii="Times New Roman" w:cs="Times New Roman" w:eastAsia="Times New Roman" w:hAnsi="Times New Roman"/>
          <w:sz w:val="20"/>
          <w:szCs w:val="20"/>
          <w:color w:val="auto"/>
        </w:rPr>
      </w:pPr>
    </w:p>
    <w:p>
      <w:pPr>
        <w:ind w:left="600" w:hanging="365"/>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Unleaded, a carbonated energy drink which contains no caffeine (August 2014).</w:t>
      </w:r>
    </w:p>
    <w:p>
      <w:pPr>
        <w:ind w:left="600" w:hanging="365"/>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Ultra Sunrise™, a carbonated energy drink which contains zero calories and zero sugar (September 2014).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 the normal course of business we discontinue certain products and/or product lines. Those products or product lines discontinued in 2014, either individually or in aggregate, did not have a material adverse impact on our financial position, results of operations or liquidity.</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Pursuant to the terms and conditions of the TCCC Transaction Agreements, upon the closing of the TCCC Transaction, the Company will transfer its non-energy drink business (including Hansen’s® Natural Sodas, Peace Tea®, Hubert’s® Lemonade and Hansen’s® Juice Products) to TCCC.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DSD Segment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Monster Energy® Brand Energy Drinks: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i w:val="1"/>
          <w:iCs w:val="1"/>
          <w:color w:val="auto"/>
        </w:rPr>
        <w:t xml:space="preserve">Monster Energy® Drinks </w:t>
      </w:r>
      <w:r>
        <w:rPr>
          <w:rFonts w:ascii="Times New Roman" w:cs="Times New Roman" w:eastAsia="Times New Roman" w:hAnsi="Times New Roman"/>
          <w:sz w:val="19"/>
          <w:szCs w:val="19"/>
          <w:color w:val="auto"/>
        </w:rPr>
        <w:t>- In 2002, we launched a new carbonated energy drink under the Monster Energy® brand name in 16-ounce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cans, which was almost double the size of our original Hansen’s® brand energy drinks (in 8.3-ounce cans) and the vast majority of competitive energy drinks on the market at that time. Our Monster Energy® drinks contain vitamins, minerals, nutrients, herbs and other dietary ingredients (collectively, “dietary ingredients”) and are marketed through our full service distributor network. We primarily offer the following products</w:t>
      </w:r>
    </w:p>
    <w:p>
      <w:pPr>
        <w:sectPr>
          <w:pgSz w:w="11900" w:h="16874" w:orient="portrait"/>
          <w:cols w:equalWidth="0" w:num="1">
            <w:col w:w="11420"/>
          </w:cols>
          <w:pgMar w:left="240" w:top="346" w:right="239" w:bottom="0" w:gutter="0" w:footer="0" w:header="0"/>
        </w:sectPr>
      </w:pPr>
    </w:p>
    <w:bookmarkStart w:id="4" w:name="page5"/>
    <w:bookmarkEnd w:id="4"/>
    <w:p>
      <w:pPr>
        <w:jc w:val="both"/>
        <w:spacing w:after="0" w:line="246" w:lineRule="auto"/>
        <w:rPr>
          <w:sz w:val="20"/>
          <w:szCs w:val="20"/>
          <w:color w:val="auto"/>
        </w:rPr>
      </w:pPr>
      <w:r>
        <w:rPr>
          <w:rFonts w:ascii="Times New Roman" w:cs="Times New Roman" w:eastAsia="Times New Roman" w:hAnsi="Times New Roman"/>
          <w:sz w:val="20"/>
          <w:szCs w:val="20"/>
          <w:color w:val="auto"/>
        </w:rPr>
        <w:t>under the Monster Energy® drink product line: Monster Energy®, Lo-Carb Monster Energy®, Monster Assault®, Juice Monster™ Khaos®, Juice Monster™ Ripper®, Monster Energy® Absolutely Zero, Monster Energy® Import, Punch Monster® Baller’s Blend (formerly Dub Edition), Punch Monster® Mad Dog (formerly Dub Edition), M3® Monster Energy® Super Concentrate energy drinks, Übermonster® Energy Brew™, Monster Energy® Zero Ultra, Monster Energy® Ultra Blue, Monster Energy® Ultra Red, Monster Energy® Ultra Black™, Monster Energy® Ultra Sunrise™, Monster Energy® Valentino Rossi, Monster Energy® Unleaded, and Monster Cuba-Lima®.</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Java Monster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Coffee + Energy Drinks </w:t>
      </w:r>
      <w:r>
        <w:rPr>
          <w:rFonts w:ascii="Times New Roman" w:cs="Times New Roman" w:eastAsia="Times New Roman" w:hAnsi="Times New Roman"/>
          <w:sz w:val="20"/>
          <w:szCs w:val="20"/>
          <w:color w:val="auto"/>
        </w:rPr>
        <w:t>- A line of non-carbonated dairy based coffee + energy drinks. We offer the following products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the Java Monster® product line: Java Monster® Kona Blend, Java Monster® Loca Moca®, Java Monster® Mean Bean®, Java Monster® Vanilla Light, Java Monster® Irish Blend® and Java Monster® Cappuccino.</w:t>
      </w:r>
    </w:p>
    <w:p>
      <w:pPr>
        <w:spacing w:after="0" w:line="18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Muscle Monster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Energy Shakes </w:t>
      </w:r>
      <w:r>
        <w:rPr>
          <w:rFonts w:ascii="Times New Roman" w:cs="Times New Roman" w:eastAsia="Times New Roman" w:hAnsi="Times New Roman"/>
          <w:sz w:val="20"/>
          <w:szCs w:val="20"/>
          <w:color w:val="auto"/>
        </w:rPr>
        <w:t>– A line of non-carbonated energy shakes containing 25-grams of protein. We offer the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products under the Muscle Monster® Energy Shake product line: Chocolate, Vanilla, Coffee, Strawberry and Peanut Butter Cup.</w:t>
      </w:r>
    </w:p>
    <w:p>
      <w:pPr>
        <w:spacing w:after="0" w:line="166"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i w:val="1"/>
          <w:iCs w:val="1"/>
          <w:color w:val="auto"/>
        </w:rPr>
        <w:t>Monster Energy Extra Strength Nitrous Technology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Energy Drinks </w:t>
      </w:r>
      <w:r>
        <w:rPr>
          <w:rFonts w:ascii="Times New Roman" w:cs="Times New Roman" w:eastAsia="Times New Roman" w:hAnsi="Times New Roman"/>
          <w:sz w:val="19"/>
          <w:szCs w:val="19"/>
          <w:color w:val="auto"/>
        </w:rPr>
        <w:t>- A line of carbonated energy drinks containing nitrous oxide. We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offer the following products under the Monster Energy Extra Strength Nitrous Technology® product line: Super Dry™ and Anti Gravity®.</w:t>
      </w:r>
    </w:p>
    <w:p>
      <w:pPr>
        <w:spacing w:after="0" w:line="1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Monster Rehab® Tea + Energy Drinks </w:t>
      </w:r>
      <w:r>
        <w:rPr>
          <w:rFonts w:ascii="Times New Roman" w:cs="Times New Roman" w:eastAsia="Times New Roman" w:hAnsi="Times New Roman"/>
          <w:sz w:val="20"/>
          <w:szCs w:val="20"/>
          <w:color w:val="auto"/>
        </w:rPr>
        <w:t>- A line of non-carbonated energy drinks with electrolytes. We offer the following products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the Monster Rehab® drink line: Monster Rehab® Tea + Lemonade + Energy, Monster Rehab® Rojo Tea + Energy, Monster Rehab® Green Tea + Energy, Monster Rehab® Tea + Orangeade + Energy and Monster Rehab® Tea + Pink Lemonade + Energy.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Peace Tea® Iced Teas and Juice Drinks </w:t>
      </w:r>
      <w:r>
        <w:rPr>
          <w:rFonts w:ascii="Times New Roman" w:cs="Times New Roman" w:eastAsia="Times New Roman" w:hAnsi="Times New Roman"/>
          <w:sz w:val="20"/>
          <w:szCs w:val="20"/>
          <w:color w:val="auto"/>
        </w:rPr>
        <w:t>- A line of ready-to-drink iced teas and juice drinks. We offer the following teas and juice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drinks under the Peace Tea® product line: Green Tea, Sweet Lemon Tea, Razzleberry Tea, Pink Lemonade Tea, Georgia Peach Tea, Sno-Berry, Texas-Style Sweet Tea, Caddy Shack® Tea + Lemonade as well as Viva Mango™ juice drinks.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Warehouse Segment</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Hansen’s® Brand Sodas - </w:t>
      </w:r>
      <w:r>
        <w:rPr>
          <w:rFonts w:ascii="Times New Roman" w:cs="Times New Roman" w:eastAsia="Times New Roman" w:hAnsi="Times New Roman"/>
          <w:sz w:val="20"/>
          <w:szCs w:val="20"/>
          <w:color w:val="auto"/>
        </w:rPr>
        <w:t>Hansen’s® brand sodas have been a leading natural soda brand on the West Coast of the United States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more than 35 years and are made with natural flavors. Hansen’s® brand sodas, sweetened with cane sugar, and Hansen’s® Diet Sodas, sweetened with Splenda® no calorie sweetener and Acesulfame-K, contain no preservatives, sodium, or caffeine. We offer the following sodas in a variety of flavors under the Hansen’s® brand name: Hansen’s® Sodas, Hansen’s® Diet Sodas and Hansen’s® Natural Mixers. We also offer unsweetened Hansen’s® Sparkling Waters and Hansen’s® Sparkling Fruit Beverages, a line of sparkling water beverages with 10 calories per serving and naturally sweetened with apple juice, stevia leaf extract and monk fruit extract in a variety of flavors.</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Blue Sky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Products - </w:t>
      </w:r>
      <w:r>
        <w:rPr>
          <w:rFonts w:ascii="Times New Roman" w:cs="Times New Roman" w:eastAsia="Times New Roman" w:hAnsi="Times New Roman"/>
          <w:sz w:val="20"/>
          <w:szCs w:val="20"/>
          <w:color w:val="auto"/>
        </w:rPr>
        <w:t>Our Blue Sky® products contain no preservatives, artificial sweeteners or caffeine (other than our Blue Sky®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drinks) and are made with natural flavors. We offer the following products under the Blue Sky® product line in a variety of flavors: Blue Sky® Natural Soda, Blue Sky® Zero Calorie Sodas (sweetened with Truvia® brand stevia leaf extract), Blue Sky® Organic Natural Sodas, Blue Sky® Seltzer Waters, Blue Sky® Blue Energy® Drinks, Blue Sky® Zero Calorie Blue Energy® Drinks, Blue Sky® Juiced Energy Drinks and Blue Sky® Café Energy Drinks.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Hansen’s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Energy Drinks - </w:t>
      </w:r>
      <w:r>
        <w:rPr>
          <w:rFonts w:ascii="Times New Roman" w:cs="Times New Roman" w:eastAsia="Times New Roman" w:hAnsi="Times New Roman"/>
          <w:sz w:val="20"/>
          <w:szCs w:val="20"/>
          <w:color w:val="auto"/>
        </w:rPr>
        <w:t>Our original Hansen’s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Drinks compete in the “functional” beverage category, namely, beverages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provide a benefit in addition to simply delivering refreshment. We offer the following products under the Hansen’s® Energy Drink product line: Hansen’s® Energy and Hansen’s® Energy Diet Red. In May 2014, we added Sun Burst and 1-2-3 Punch flavors to the Hansen’s® Energy product line.</w:t>
      </w:r>
    </w:p>
    <w:p>
      <w:pPr>
        <w:spacing w:after="0" w:line="19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Hansen’s® Juice Products - </w:t>
      </w:r>
      <w:r>
        <w:rPr>
          <w:rFonts w:ascii="Times New Roman" w:cs="Times New Roman" w:eastAsia="Times New Roman" w:hAnsi="Times New Roman"/>
          <w:sz w:val="20"/>
          <w:szCs w:val="20"/>
          <w:color w:val="auto"/>
        </w:rPr>
        <w:t>Our fruit juice product line includes Hansen’s® Natural Apple Juice, Apple Cider, Grape Juice, White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Grape Juice, Pineapple Juice, Apple Grape Juice, Apple Strawberry Juice, Orange Juice, Cranberry Juice, Cranberry-Apple Juice, Cranberry-Grape Juice, Apple Orange Pineapple Juice and Organic Apple Juice. Our juice product line contains 100% juice and 120% of the United States Recommended Daily Allowances (the “USRDA”) for vitamin C. In May 2014, we added Hansen’s® Natural Organic Fruit Punch and Organic Berry Juices. Hansen’s® juice products compete in the shelf-stable juice category.</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Hansen’s® Aseptic Juices - </w:t>
      </w:r>
      <w:r>
        <w:rPr>
          <w:rFonts w:ascii="Times New Roman" w:cs="Times New Roman" w:eastAsia="Times New Roman" w:hAnsi="Times New Roman"/>
          <w:sz w:val="20"/>
          <w:szCs w:val="20"/>
          <w:color w:val="auto"/>
        </w:rPr>
        <w:t>We offer a number of aseptically packed boxed juice products, including our dual-branded multi-vitamin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100% juice line, which we sell in conjunction with Costco Wholesale Corporation (“Costco”) through Costco stores. We also offer our Hansen’s® Natural line of multi-vitamin 100% juices, containing eleven essential vitamins and six essential minerals, Hansen’s® Natural Organic Juices and Hansen’s® Natural Coconut Water Twist®, a line of fruit and coconut water juices containing 100% of the daily recommended allowance of vitamin C. In October 2014, we added Hansen’s® Natural Kale Apple Pineapple to our boxed juice product line.</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Hansen’s® Junior Juice® product line is a 100% juice line targeted at toddlers and preschoolers. These juices have added calcium and all flavors contain 100% of the daily recommended allowance of vitamin C. We also offer Hansen’s® Organic Junior Juice® as well as Hansen’s® Organic Junior Water®, the latter, a lightly flavored reduced calorie beverage, both of which also contain 100% of the daily recommended allowance of vitamin 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18" w:right="239" w:bottom="0" w:gutter="0" w:footer="0" w:header="0"/>
          <w:type w:val="continuous"/>
        </w:sectPr>
      </w:pPr>
    </w:p>
    <w:bookmarkStart w:id="5" w:name="page6"/>
    <w:bookmarkEnd w:id="5"/>
    <w:p>
      <w:pPr>
        <w:spacing w:after="0" w:line="37" w:lineRule="exact"/>
        <w:rPr>
          <w:sz w:val="20"/>
          <w:szCs w:val="20"/>
          <w:color w:val="auto"/>
        </w:rPr>
      </w:pPr>
    </w:p>
    <w:p>
      <w:pPr>
        <w:jc w:val="both"/>
        <w:ind w:firstLine="702"/>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Hubert’s® Lemonades - </w:t>
      </w:r>
      <w:r>
        <w:rPr>
          <w:rFonts w:ascii="Times New Roman" w:cs="Times New Roman" w:eastAsia="Times New Roman" w:hAnsi="Times New Roman"/>
          <w:sz w:val="20"/>
          <w:szCs w:val="20"/>
          <w:color w:val="auto"/>
        </w:rPr>
        <w:t>Our original Hubert’s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Lemonade is a line of premium ready-to-drink lemonades available in a variety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flavors. Hubert’s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Lemonade is sweetened with cane sugar and stevia leaf extract and contains no preservatives, artificial sweeteners, artificial flavors or caffeine. We also offer Hubert’s® Diet Lemonade, a line with 10 calories per a serving and naturally sweetened with stevia leaf extract, monk fruit extract and cane sugar in a variety of flavors. We also market Hubert’s® Half &amp; Half, a line of premium ready-to-drink lemonade + tea drinks, in a variety of flavors. In January 2014, we added Peach and Watermelon flavors to the original Hubert’s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Lemonade line. In March 2014, we introduced Hubert’s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Organic Lemonade, a line of certified organic lemonades in a variety of flavors. In May 2014, we also added a Watermelon Habanero limited edition flavor to the original Hubert’s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Lemonade line.</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PRE® Drink Mixes - </w:t>
      </w:r>
      <w:r>
        <w:rPr>
          <w:rFonts w:ascii="Times New Roman" w:cs="Times New Roman" w:eastAsia="Times New Roman" w:hAnsi="Times New Roman"/>
          <w:sz w:val="20"/>
          <w:szCs w:val="20"/>
          <w:color w:val="auto"/>
        </w:rPr>
        <w:t>Our Hansen’s® Natural PRE® Drink Mix is a line of probiotic digestive wellness powder drink mixes containing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specially formulated blends by Jarrow Formulas. PRE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probiotic powder drink mix is sweetened with cane sugar and stevia leaf extract and is available in a variety of fruit flavors.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Products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continue to evaluate and, where considered appropriate, introduce additional flavors and types of beverages to complement our existing product lines. We may also evaluate, and where considered appropriate, introduce additional types of consumer products we consider are complementary to our existing products and/or to which our brand names are able to add value.</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also develop and supply, on a limited exclusive basis, selected beverages in different formats to a limited number of customers, with the objective of solidifying and/or enhancing our relationship with those customers.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Packaging</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9"/>
          <w:szCs w:val="19"/>
          <w:color w:val="auto"/>
        </w:rPr>
        <w:t>We package our products in a variety of different package types and sizes including, but not limited to, aluminum cans, sleek aluminum cans, glass bottles, polyethylene terephthalate (PET) plastic bottles, high density polyethylene plastic bottles, aseptic boxes and stick packs.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Manufacture and Distribution</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do not directly manufacture our products, but instead outsource the manufacturing process to third party bottlers and contract packers.</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purchase concentrates, sweeteners, juices, flavors, dietary ingredients, cans, bottles, aseptic boxes, caps, labels, trays, boxes and other ingredients for our beverage products from our suppliers, which are delivered to our various third party bottlers and co-packers. In some cases, certain common supplies may be purchased by our various third party bottlers and co-packers. Depending on the product, the third party bottlers or packers add filtered water and/or other ingredients (including dietary ingredients) for the manufacture and packaging of the finished products into our approved containers in accordance with our formulas. Depending on the beverage, the bottler/packer may also add carbonation to the products as part of the production process.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Co-Packing Arrangements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All of our beverage products are manufactured by various third party bottlers and co-packers situated throughout the United States and abroad, under separate arrangements with each party. The majority of our co-packaging arrangements are generally on a month-to-month basis or are terminable upon request and do not generally obligate us to produce any minimum quantities of products within specified periods.</w:t>
      </w:r>
    </w:p>
    <w:p>
      <w:pPr>
        <w:spacing w:after="0" w:line="188" w:lineRule="exact"/>
        <w:rPr>
          <w:sz w:val="20"/>
          <w:szCs w:val="20"/>
          <w:color w:val="auto"/>
        </w:rPr>
      </w:pPr>
    </w:p>
    <w:p>
      <w:pPr>
        <w:jc w:val="both"/>
        <w:ind w:firstLine="702"/>
        <w:spacing w:after="0" w:line="249" w:lineRule="auto"/>
        <w:rPr>
          <w:sz w:val="20"/>
          <w:szCs w:val="20"/>
          <w:color w:val="auto"/>
        </w:rPr>
      </w:pPr>
      <w:r>
        <w:rPr>
          <w:rFonts w:ascii="Times New Roman" w:cs="Times New Roman" w:eastAsia="Times New Roman" w:hAnsi="Times New Roman"/>
          <w:sz w:val="20"/>
          <w:szCs w:val="20"/>
          <w:color w:val="auto"/>
        </w:rPr>
        <w:t>In some instances subject to agreement, certain equipment may be purchased by us and installed at the facilities of our co-packers to enable them to produce certain of our products. In general, such equipment remains our property and is returned to us upon termination of the packing arrangements with such co-packers, unless we are reimbursed by the co-packer via a per case credit over a pre-determined number of cases that are produced at the facilities concerned.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are generally responsible for arranging for the purchase and delivery to our third party bottlers and co-packers of the containers in which our beverage products are packaged.</w:t>
      </w:r>
    </w:p>
    <w:p>
      <w:pPr>
        <w:spacing w:after="0" w:line="1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pack certain of our products in a number of locations both domestically and internationally, including Australia, Brazil, Canada, Czech Republic, Japan, Mexico, Netherlands, Spain, the United Kingdom and the United States, to enable us to produce products closer to the markets where they are sold, with the objective of reducing freight costs as well as transportation-related product damages. As distribution volumes increase in both our domestic and international markets, we will continue to source additional packing arrangements closer to such markets to further reduce freight costs. Our ability to estimate demand for our products is imprecise, particularly with new products, and may be less precise during periods of rapid growth, particularly in new markets. If we materially underestimate demand for our products and/or are unable to secure sufficient ingredients or raw materials including, but not limited to aluminum cans, PET plastic bottles, aseptic boxes, glass, labels, flavors, juice concentrates, dietary ingredients, other ingredients and certain sweeteners, and/or procure adequate packing arrangements and/or obtain adequate or timely shipment of our products, we might not be able to satisfy demand on a short-term basis. (See “Part I, Item 1A – Risk Factors”).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production arrangements are generally of short duration or are terminable upon our request. For certain of our products, including our Monster Energy® brand energy drinks, our Peace Tea® products, our Hansen’s® brand energy drinks, our aseptic juice products, our Hubert’s® lemonades, our Java Monster® product line, our Muscle Monster® product line, our Punch Monster® product line and certain of</w:t>
      </w:r>
    </w:p>
    <w:p>
      <w:pPr>
        <w:sectPr>
          <w:pgSz w:w="11900" w:h="16875" w:orient="portrait"/>
          <w:cols w:equalWidth="0" w:num="1">
            <w:col w:w="11420"/>
          </w:cols>
          <w:pgMar w:left="240" w:top="342" w:right="239" w:bottom="0" w:gutter="0" w:footer="0" w:header="0"/>
        </w:sectPr>
      </w:pPr>
    </w:p>
    <w:bookmarkStart w:id="6" w:name="page7"/>
    <w:bookmarkEnd w:id="6"/>
    <w:p>
      <w:pPr>
        <w:spacing w:after="0" w:line="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other products, there are limited co-packing facilities in our domestic and international markets with adequate 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continue to actively seek alternative and/or additional advantageously located co-packing facilities around the world, particularly in Asia, Canada, Central America, Europe, Mexico, the Middle East, South Africa, South America and the United States with adequate capacity and capability for the production of our various products to minimize transportation costs and transportation-related damages as well as to mitigate the risk of a disruption in production and/or importation.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Distribution Agreements</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During 2014, we continued to expand distribution of our products in both our domestic and international markets, and our Monster Energy® drinks are now sold in approximately 116 countries and territories around the world. We have entered into agreements with various distributors providing for the distribution of our products during initial terms of up to twenty years, which may be renewed thereafter for additional terms ranging from one to five years. Such agreements remain in effect for their then current term as long as our products are being distributed, but may be terminated by either party upon written notice. We are generally entitled to terminate such agreements at any time without cause upon payment of a termination fee.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Certain of our material distribution agreements, as amended from time to time, are described below:</w:t>
      </w:r>
    </w:p>
    <w:p>
      <w:pPr>
        <w:spacing w:after="0" w:line="229" w:lineRule="exact"/>
        <w:rPr>
          <w:sz w:val="20"/>
          <w:szCs w:val="20"/>
          <w:color w:val="auto"/>
        </w:rPr>
      </w:pPr>
    </w:p>
    <w:p>
      <w:pPr>
        <w:ind w:left="660" w:hanging="328"/>
        <w:spacing w:after="0" w:line="269" w:lineRule="auto"/>
        <w:tabs>
          <w:tab w:leader="none" w:pos="71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Beverages Off-Premise Distribution Coordination Agreement and the Allied Products Distribution Coordination Agreement (jointly, the “Off-Premise Agreements”) with Anheuser-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Busch, Inc., a Missouri corporation (“AB”), under which select Anheuser-Busch distributors (the “AB Distributors”) distribute and sell, primarily our Monster Energy® drinks, as well as additional products that may be agreed between the parties in various territories within the United States. In February 2015, in accordance with its existing agreements with the applicable AB Distributors, the Company sent notices of termination to the majority of the AB Distributors in the U.S. for the termination of their respective distribution agreements, to be effective at various dates beginning in March 2015 (see Note 8 “Distribution Agreements” in the notes to the consolidated financial statements).</w:t>
      </w:r>
    </w:p>
    <w:p>
      <w:pPr>
        <w:spacing w:after="0" w:line="199" w:lineRule="exact"/>
        <w:rPr>
          <w:sz w:val="20"/>
          <w:szCs w:val="20"/>
          <w:color w:val="auto"/>
        </w:rPr>
      </w:pPr>
    </w:p>
    <w:p>
      <w:pPr>
        <w:jc w:val="both"/>
        <w:ind w:left="660" w:hanging="328"/>
        <w:spacing w:after="0" w:line="247" w:lineRule="auto"/>
        <w:tabs>
          <w:tab w:leader="none" w:pos="83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On-Premise Distribution Coordination Agreement (the “On-Premise Agreement”) with AB, under which select AB Distributors distribute and sell our Monster Energy® drinks to food service on-premise accounts. In February 2015, in accordance with its existing agreements with the applicable AB Distributors, the Company sent notices of termination to the majority of the AB Distributors in the U.S. for the termination of their respective distribution agreements, to be effective at various dates beginning in March 2015 (see Note 8 “Distribution Agreements” in the notes to the consolidated financial statements).</w:t>
      </w:r>
    </w:p>
    <w:p>
      <w:pPr>
        <w:spacing w:after="0" w:line="194" w:lineRule="exact"/>
        <w:rPr>
          <w:rFonts w:ascii="Times New Roman" w:cs="Times New Roman" w:eastAsia="Times New Roman" w:hAnsi="Times New Roman"/>
          <w:sz w:val="20"/>
          <w:szCs w:val="20"/>
          <w:color w:val="auto"/>
        </w:rPr>
      </w:pPr>
    </w:p>
    <w:p>
      <w:pPr>
        <w:jc w:val="both"/>
        <w:ind w:left="660" w:hanging="328"/>
        <w:spacing w:after="0" w:line="243" w:lineRule="auto"/>
        <w:tabs>
          <w:tab w:leader="none" w:pos="69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Distribution Coordination Agreement (the “TCCC North American Coordination Agreement”) with TCCC, pursuant to which we have designated, and in the future may designate, subject to TCCC’s approval, territories in Canada and the United States in which bottlers from TCCC’s network of wholly or partially-owned and independent bottlers, including Coca-Cola Refreshments USA, Inc. (“CCR”),(formerly known as Coca-Cola Enterprises, Inc. (“CCE”)), Coca-Cola Bottling Company (“CCBC”), CCBCC Operations, LLC (“Consolidated”), United Bottling Contracts Company, LLC (“United”), and other TCCC independent bottlers (collectively, the “TCCC North American Bottlers”) will distribute and sell primarily our Monster Energy® drinks. In connection with the TCCC Transaction, the parties expect to amend and restate the TCCC North American Coordination Agreement, including to change the procedure under which the TCCC North American Bottlers are appointed in specified territories.</w:t>
      </w:r>
    </w:p>
    <w:p>
      <w:pPr>
        <w:spacing w:after="0" w:line="203" w:lineRule="exact"/>
        <w:rPr>
          <w:rFonts w:ascii="Times New Roman" w:cs="Times New Roman" w:eastAsia="Times New Roman" w:hAnsi="Times New Roman"/>
          <w:sz w:val="20"/>
          <w:szCs w:val="20"/>
          <w:color w:val="auto"/>
        </w:rPr>
      </w:pPr>
    </w:p>
    <w:p>
      <w:pPr>
        <w:jc w:val="both"/>
        <w:ind w:left="660" w:hanging="328"/>
        <w:spacing w:after="0" w:line="244" w:lineRule="auto"/>
        <w:tabs>
          <w:tab w:leader="none" w:pos="7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Distribution Agreement with CCR, pursuant to which CCR distributes, directly and through certain sub-distributors, primarily our Monster Energy® drinks in portions of the United States. On October 2, 2010, TCCC completed its acquisition of the North American business operations of CCE (now CCR), through a merger with a wholly owned subsidiary of TCCC. The surviving wholly owned subsidiary was subsequently renamed CCR, and currently distributes our Monster Energy® drinks in those portions of the United States in which CCE previously distributed such drinks. Concurrently with this acquisition, a new entity, which retained the name Coca-Cola Enterprises, Inc. (“New CCE”) was formed, which currently distributes our Monster Energy® drinks in certain European territories (see paragraph (h) below).</w:t>
      </w:r>
    </w:p>
    <w:p>
      <w:pPr>
        <w:spacing w:after="0" w:line="200" w:lineRule="exact"/>
        <w:rPr>
          <w:rFonts w:ascii="Times New Roman" w:cs="Times New Roman" w:eastAsia="Times New Roman" w:hAnsi="Times New Roman"/>
          <w:sz w:val="20"/>
          <w:szCs w:val="20"/>
          <w:color w:val="auto"/>
        </w:rPr>
      </w:pPr>
    </w:p>
    <w:p>
      <w:pPr>
        <w:ind w:left="660" w:hanging="328"/>
        <w:spacing w:after="0" w:line="269" w:lineRule="auto"/>
        <w:tabs>
          <w:tab w:leader="none" w:pos="81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agreements with Consolidated, United and other TCCC North American Bottlers for the distribution of our Monster Energy® drinks in various territories within the United States.</w:t>
      </w:r>
    </w:p>
    <w:p>
      <w:pPr>
        <w:spacing w:after="0" w:line="173"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73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Canadian Distribution Agreement with CCBC (now Coca-Cola Refreshments Canada, Ltd. (“CCRC”)), pursuant to which CCBC was appointed to distribute and sell, directly and through certain sub-distributors, our Monster Energy® drinks in Canada.</w:t>
      </w:r>
    </w:p>
    <w:p>
      <w:pPr>
        <w:spacing w:after="0" w:line="188" w:lineRule="exact"/>
        <w:rPr>
          <w:rFonts w:ascii="Times New Roman" w:cs="Times New Roman" w:eastAsia="Times New Roman" w:hAnsi="Times New Roman"/>
          <w:sz w:val="20"/>
          <w:szCs w:val="20"/>
          <w:color w:val="auto"/>
        </w:rPr>
      </w:pPr>
    </w:p>
    <w:p>
      <w:pPr>
        <w:jc w:val="both"/>
        <w:ind w:left="660" w:hanging="328"/>
        <w:spacing w:after="0" w:line="247" w:lineRule="auto"/>
        <w:tabs>
          <w:tab w:leader="none" w:pos="71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International Coordination Agreement (the “TCCC International Coordination Agreement”) with TCCC, pursuant to which we have designated, and in the future may designate, countries in which we wish to appoint TCCC distributors to distribute and sell our Monster Energy® drinks, subject to TCCC’s approval. In connection with the TCCC Transaction, the parties expect to amend and restate the TCCC International Coordination Agreement, including to change the procedure under which the TCCC distributors are appointed in specified territories.</w:t>
      </w:r>
    </w:p>
    <w:p>
      <w:pPr>
        <w:sectPr>
          <w:pgSz w:w="11900" w:h="16856" w:orient="portrait"/>
          <w:cols w:equalWidth="0" w:num="1">
            <w:col w:w="11420"/>
          </w:cols>
          <w:pgMar w:left="240" w:top="118" w:right="239" w:bottom="0" w:gutter="0" w:footer="0" w:header="0"/>
        </w:sectPr>
      </w:pPr>
    </w:p>
    <w:bookmarkStart w:id="7" w:name="page8"/>
    <w:bookmarkEnd w:id="7"/>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660" w:hanging="328"/>
        <w:spacing w:after="0" w:line="254" w:lineRule="auto"/>
        <w:tabs>
          <w:tab w:leader="none" w:pos="67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International Distribution Agreement and Monster Energy Belgium Distribution Agreement with New CCE, pursuant to which New CCE was appointed to distribute directly, and through certain sub-distributors, our Monster Energy® drinks in Great Britain, France, Belgium, the Netherlands, Luxembourg, Monaco and Sweden.</w:t>
      </w:r>
    </w:p>
    <w:p>
      <w:pPr>
        <w:spacing w:after="0" w:line="188"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7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agreements with bottlers of the Coca-Cola Hellenic group (“Coca-Cola Hellenic”) for the distribution of certain of our Monster Energy® drinks in Austria, Bulgaria, Czech Republic, Hungary, Ireland, Slovakia, Cyprus, Greece, Latvia, Lithuania, Estonia, Switzerland and Poland.</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Distribution levels vary by product and geographic location. Gross sales outside the United States accounted for $657.9 million, $580.6 million and $513.9 million for the years ended December 31, 2014, 2013 and 2012, respectively. The distribution rights relating to each territory for which the Company sent notices of termination in February 2015, including certain AB Distributors in the U.S. described above, will be transitioned to TCCC’s network of owned or controlled bottlers/distributors and independent bottling and distribution partners as of the effective date of termination of the current third party’s rights in the applicable territory, and in connection therewith, the agreements referred to in clauses (d)-(f) will be amended. The agreements referred to in clauses (h) and (i) are also expected to be amended upon or following the closing of the TCCC Transaction.</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continually seek to expand distribution of our products by entering into agreements with other regional bottlers or direct store delivery distributors with established sales, marketing and distribution organizations. Many of our bottlers and distributors are affiliated with and manufacture and/or distribute other beverage products. In many cases, such products compete directly with our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 and Suppliers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principal raw materials used in the manufacturing of our products are aluminum cans, PET plastic bottles as well as flavors, juice concentrates, sugar, sucralose, milk, cream, protein, dietary ingredients and other packaging materials, the costs of which are subject to fluctuations.</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purchase beverage flavors, concentrates, juices, dietary ingredients, cane sugar, sucrose, sucralose and other sweeteners as well as other ingredients from independent suppliers located in the United States and abroad.</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Generally, raw materials utilized by us in our business are readily available from numerous sources. However, certain raw materials are manufactured by only one company. We purchase certain flavors, vitamin blends and herbs, certain other dietary ingredients and sucralose, as well as certain other ingredients, from single manufacturers. Additionally, certain of our containers and flavors are only manufactured by single companies.</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With regard to our Java Monster® and Muscle Monster® product lines, the dairy and protein industries are subject to shortages and increased demand from time to time, which may result in higher prices.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With regard to our fruit juice and juice-drink products, the fruit juice industry is subject to variability in demand and weather conditions, which may result in higher prices and/or lower consumer demand for juices.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Generally, flavor suppliers own the proprietary rights to their flavor formulas which they make available to customers for specific use in the production of their customers’ products. Consequently, we do not have possession of the list of flavor ingredients or flavor formulas used in the production of our products and certain of our blended concentrates (our “Product Flavor Formulas”) and we may be unable to obtain comparable flavors or concentrates from alternative suppliers on short notice. Our flavor suppliers generally do not make flavors used in our products available to third parties. We have also entered into agreements with certain of our flavor suppliers who have agreed, subject to the terms of such agreements, to maintain our Product Flavor Formulas in confidence, not to use our Product Flavor Formulas in the production of other customers’ products and to provide us with access to our Product Flavor Formulas under certain circumstances, such as the bankruptcy of the flavor supplier. We have identified alternative suppliers for many of the ingredients contained in many of our beverages. However, industry-wide shortages of certain fruits and fruit juices, coffee, tea, dietary ingredients and sweeteners have been, and could from time to time in the future be, encountered, which could interfere with and/or delay production of certain of our products.</w:t>
      </w:r>
    </w:p>
    <w:p>
      <w:pPr>
        <w:spacing w:after="0" w:line="20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continually endeavor to develop back-up sources of supply for certain of our flavors and concentrates as well as to negotiate arrangements with suppliers, which would enable us to obtain access to certain concentrates or our flavor formulas in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the development of new products and flavors, independent suppliers bear a large portion of the expense of product development, thereby enabling us to develop new products and flavors at what we consider to be reasonable economic levels. We have historically developed and successfully introduced new products, flavors and packaging for our products and intend to continue to develop and introduce additional new beverages, flavors and innovative packaging.</w:t>
      </w:r>
    </w:p>
    <w:p>
      <w:pPr>
        <w:sectPr>
          <w:pgSz w:w="11900" w:h="16857" w:orient="portrait"/>
          <w:cols w:equalWidth="0" w:num="1">
            <w:col w:w="11420"/>
          </w:cols>
          <w:pgMar w:left="240" w:top="342" w:right="2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 many of which have substantially greater financial, marketing and distribution resources than we do.</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Important factors affecting our ability to compete successfully include taste and flavor of products, trade and consumer promotions, rapid and effective development of new, unique cutting edge products, attractive and different packaging, brand exposure and marketing as well as pricing. We also compete for distributors who will give our products more focus than those of our competitors, provide stable and reliable distribution and secure adequate shelf space in retail outlets. Competitive pressures in the “alternative”, energy, coffee and “functional” beverage categories could cause our products to be unable to gain or to lose market share or we could experience price erosion, which could have a material adverse effect on our business and results of operations.</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have experienced and continue to experience competition from new entrants in the energy drink and energy shot categories. A number of companies who market and distribute iced teas, juice cocktails and enhanced waters in larger volume packages, such as 16- and 20-ounce glass and plastic bottles, including Sobe, Sobe Life Water, Vitamin Water, Snapple, Arizona, Fuse, Ocean Spray, Honest Tea, Gold Peak Tea, Activate and Neuro, have added dietary ingredients to their products with a view to marketing their products as “functional” or energy beverages or as having “functional” benefits. We believe that many of those products contain lower levels of dietary ingredients, principally deliver refreshment and are positioned differently from our energy or “functional” drinks. Our Peace Tea® ready-to-drink iced teas are positioned more closely against those products.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We are also subject to increasing levels of regulatory issues particularly in relation to the registration and taxation of our products in certain new international markets, which may put us at a competitive disadvantage. (See “Government Regulation” below for additional information).</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compete not only for consumer preference, but also for maximum marketing and sales efforts by multi-brand licensed bottlers, brokers and distributors, many of which have a principal affiliation with competing companies and brands. Our products compete with all liquid refreshments and in many cases with products of much larger and in some cases better financed competitors, including the products of numerous nationally and internationally known producers such as TCCC, PepsiCo, Inc. (“PepsiCo”), The Dr. Pepper Snapple Group, Inc. (the “DPS Group”), Red Bull Gmbh, Kraft Foods, Inc., Suntory Holdings, Ltd., Nestle Beverage Company, Tree Top Inc. (“Tree Top”) and Ocean Spray Cranberries Inc. (“Ocean Spray”). We also compete with companies that are smaller or primarily local in operation. Our products also compete with private label brands such as those carried by grocery store chains, convenience store chains and club stores.</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Domestically, our energy drinks compete directly with Red Bull, Rockstar, Full Throttle, No Fear, Amp, Adrenaline Rush, NOS, Venom, Redline, Red Devil, Rip It, Xenergy, 5-Hour Energy Shots, MiO Energy, Stacker 2, VPX Redline Energy Shots, and many other brands. TCCC and PepsiCo also market and/or distribute additional products in that market segment such as Pepsi Max, Mountain Dew, Mountain Dew MDX, Mountain Dew Kickstart and Vault. Internationally, our energy drinks compete with Red Bull, Rockstar, Burn, V-Energy, Lucozade, Adrenaline Rush, Relentless and numerous local and private label brands that usually differ from country to country, such as Play, Power Play, Mother, Hell, Shock, Tiger, Boost, TNT, Shark, Hot 6, Nalu, Samurai, Battery, Bullit, Flash Up, Black, Non-Stop, Bomba, Semtex, Vive 100, Dark Dog, Speed, Guaraná, Ultra, Sting and a host of other international brands.</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Java Monster® product line competes directly with Starbucks Frappuccino, Starbucks Double Shot, Starbucks Double Shot Energy Plus Coffee and other Starbucks coffee drinks, Rockstar Roasted, Seattle’s Best and illy issimo coffee.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Muscle Monster® product line competes directly with Muscle Milk, Core Power, ABB Pure Pro and Gatorade Recover Protein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Shake.</w:t>
      </w:r>
    </w:p>
    <w:p>
      <w:pPr>
        <w:spacing w:after="0" w:line="20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Our Peace Tea® ready-to-drink iced tea product line competes directly with Arizona, Lipton, Snapple, Nestea, Xing Tea, Honest Tea, Gold Peak Tea, Fuze Tea and other tea brands.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natural sodas compete directly with traditional soda products, including those marketed by TCCC, PepsiCo, the DPS Group, Cott Corporation and National Beverage Corporation, as well as with carbonated beverages marketed by smaller or primarily local companies such as Jones Soda Co., Crystal Geyser, J.M. Smucker Company, Reeds, Inc., Zevia and with private label brands such as those carried by grocery store chains, convenience store chains and club stores.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apple and other juice products compete directly with Tree Top, Mott’s, Martinelli’s, Welch’s, Ocean Spray, Tropicana, Minute Maid, Langers, Apple and Eve, Seneca, Northland, Juicy Juice, Old Orchard and also with other brands of apple juice and juice blends, including store brands.</w:t>
      </w:r>
    </w:p>
    <w:p>
      <w:pPr>
        <w:spacing w:after="0" w:line="18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Our Hubert’s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Lemonades and Hubert’s® Half &amp; Half lemonade + teas compete directly with Calypso, Simply Lemonade, Minute Maid, Cabana, Tropicana and Newman’s Own.</w:t>
      </w:r>
    </w:p>
    <w:p>
      <w:pPr>
        <w:spacing w:after="0" w:line="17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In the TCCC Transaction, we will acquire the NOS, Burn, Full Throttle, Play, Power Play, Relentless, Mother, Nalu and Samurai brands and, as a result, our energy drink business will no longer compete with such brands. In addition, as a result of the TCCC Transaction, we will no longer sell ready-to-drink iced tea products, traditional soda products, carbonated beverages, apple juice, juice blends or lemonades.</w:t>
      </w:r>
    </w:p>
    <w:p>
      <w:pPr>
        <w:sectPr>
          <w:pgSz w:w="11900" w:h="16838" w:orient="portrait"/>
          <w:cols w:equalWidth="0" w:num="1">
            <w:col w:w="11420"/>
          </w:cols>
          <w:pgMar w:left="240" w:top="342" w:right="239" w:bottom="0" w:gutter="0" w:footer="0" w:header="0"/>
        </w:sectPr>
      </w:pPr>
    </w:p>
    <w:bookmarkStart w:id="9" w:name="page10"/>
    <w:bookmarkEnd w:id="9"/>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enhance demand from consumers for our products. We also support our brands with prize promotions, price promotions, competitions, endorsements from selected public and sports figures, personality endorsements (including from television and other well-known sports personalities), coupons,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20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historically marketed our Monster Energy®, Hansen’s® and Blue Energy® energy drink products as dietary supplements in accordance with the statutory definition of “dietary supplement” set forth in the Federal Food, Drug, and Cosmetic Act (the “FFDC Act”). However, as permitted under the FFDC Act and the U.S. Food and Drug Administration (the “FDA”) regulations, we transitioned the labeling and marketing of these energy drink products from dietary supplements to conventional foods beginning in the first quarter of 2013.</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 appropriate, we partner with our retailers and wholesalers to assist our marketing efforts.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decreased expenditures for our sales and marketing programs by approximately 6.3% in 2014 compared to 2013. As of December 31, 2014, we employed 1,538 employees in sales and marketing activities, of which 842 were employed on a full-time basis.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years ended December 31, 2014, 2013 and 2012 are reflected below. Such information includes sales made by us directly to the customer types concerned, which include our full service beverage distributors in the United States. Such full service beverage distributors in turn sell certain of our products to the same customer types listed below. We limit our description of our customer types to include only our sales to such full service distributors without reference to such distributors’ sales to their own customers.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4"/>
              </w:rPr>
              <w:t>2014</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2013</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2012</w:t>
            </w:r>
          </w:p>
        </w:tc>
        <w:tc>
          <w:tcPr>
            <w:tcW w:w="0" w:type="dxa"/>
            <w:vAlign w:val="bottom"/>
          </w:tcPr>
          <w:p>
            <w:pPr>
              <w:spacing w:after="0" w:line="20" w:lineRule="exact"/>
              <w:rPr>
                <w:sz w:val="1"/>
                <w:szCs w:val="1"/>
                <w:color w:val="auto"/>
              </w:rPr>
            </w:pPr>
          </w:p>
        </w:tc>
      </w:tr>
      <w:tr>
        <w:trPr>
          <w:trHeight w:val="485"/>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Full service distributors</w:t>
            </w:r>
          </w:p>
        </w:tc>
        <w:tc>
          <w:tcPr>
            <w:tcW w:w="1660" w:type="dxa"/>
            <w:vAlign w:val="bottom"/>
            <w:tcBorders>
              <w:bottom w:val="single" w:sz="8" w:color="auto"/>
            </w:tcBorders>
            <w:vMerge w:val="continue"/>
          </w:tcPr>
          <w:p>
            <w:pPr>
              <w:spacing w:after="0"/>
              <w:rPr>
                <w:sz w:val="24"/>
                <w:szCs w:val="24"/>
                <w:color w:val="auto"/>
              </w:rPr>
            </w:pPr>
          </w:p>
        </w:tc>
        <w:tc>
          <w:tcPr>
            <w:tcW w:w="1600" w:type="dxa"/>
            <w:vAlign w:val="bottom"/>
            <w:tcBorders>
              <w:bottom w:val="single" w:sz="8" w:color="auto"/>
            </w:tcBorders>
            <w:vMerge w:val="continue"/>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640" w:type="dxa"/>
            <w:vAlign w:val="bottom"/>
            <w:gridSpan w:val="2"/>
            <w:vMerge w:val="continue"/>
          </w:tcPr>
          <w:p>
            <w:pPr>
              <w:spacing w:after="0"/>
              <w:rPr>
                <w:sz w:val="17"/>
                <w:szCs w:val="17"/>
                <w:color w:val="auto"/>
              </w:rPr>
            </w:pPr>
          </w:p>
        </w:tc>
        <w:tc>
          <w:tcPr>
            <w:tcW w:w="16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62%</w:t>
            </w:r>
          </w:p>
        </w:tc>
        <w:tc>
          <w:tcPr>
            <w:tcW w:w="16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63%</w:t>
            </w:r>
          </w:p>
        </w:tc>
        <w:tc>
          <w:tcPr>
            <w:tcW w:w="15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63%</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Club stores, drug chains &amp; mass merchandisers</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Outside the U.S.</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23%</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23%</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Retail grocery, specialty chains and wholesalers</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w:t>
            </w:r>
          </w:p>
        </w:tc>
        <w:tc>
          <w:tcPr>
            <w:tcW w:w="0" w:type="dxa"/>
            <w:vAlign w:val="bottom"/>
          </w:tcPr>
          <w:p>
            <w:pPr>
              <w:spacing w:after="0"/>
              <w:rPr>
                <w:sz w:val="1"/>
                <w:szCs w:val="1"/>
                <w:color w:val="auto"/>
              </w:rPr>
            </w:pPr>
          </w:p>
        </w:tc>
      </w:tr>
      <w:tr>
        <w:trPr>
          <w:trHeight w:val="258"/>
        </w:trPr>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customers include the TCCC North American Bottlers, New CCE, certain bottlers of Coca-Cola Hellenic, Swire Coca-Cola, USA and certain other Coca-Cola independent bottlers, Asahi, Kalil Bottling Group, Wal-Mart, Inc. (including Sam’s Club) Costco and the AB Distributors. In February 2015, in accordance with its existing agreements with the applicable AB Distributors, the Company sent notices of termination to the majority of the AB Distributors in the U.S. for the termination of their respective distribution agreements, to be effective at various dates beginning in March 2015. The associated distribution rights will be transitioned to TCCC’s network of owned or controlled bottlers/distributors and independent bottling and distribution partners as of the effective date of termination of the AB Distributors’ rights in the applicable territories (see Note 8 “Distribution Agreements” in the notes to consolidated financial statements). CCR accounted for approximately 29%, 29% and 28% of our net sales for the years ended December 31, 2014, 2013 and 2012, respectively.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Sales of ready-to-drink beverages are somewhat seasonal, with the second and third calendar quarters accounting for the highest sales volumes. The volume of sales in the beverage business may be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ectPr>
          <w:pgSz w:w="11900" w:h="16857" w:orient="portrait"/>
          <w:cols w:equalWidth="0" w:num="1">
            <w:col w:w="11420"/>
          </w:cols>
          <w:pgMar w:left="240" w:top="126" w:right="239" w:bottom="0" w:gutter="0" w:footer="0" w:header="0"/>
        </w:sectPr>
      </w:pPr>
    </w:p>
    <w:bookmarkStart w:id="10" w:name="page11"/>
    <w:bookmarkEnd w:id="10"/>
    <w:p>
      <w:pPr>
        <w:spacing w:after="0" w:line="1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presently have more than 5,200 registered trademarks and pending applications in various countries worldwide, and we apply for new trademarks on an ongoing basis. We regard our trademarks, service marks, copyrights, domain names, trade dress, and other intellectual property as very important to our business. We consider Monster® (registered outside of the United States in certain jurisdictions), Monster</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Energy®, </w:t>
      </w:r>
      <w:r>
        <w:rPr>
          <w:sz w:val="1"/>
          <w:szCs w:val="1"/>
          <w:color w:val="auto"/>
        </w:rPr>
        <w:drawing>
          <wp:inline distT="0" distB="0" distL="0" distR="0">
            <wp:extent cx="102870" cy="13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M Monster Energy®, Monster Rehab®, Java Monster®, Muscle Monster®, Punch Monster®, Juice Monster™, Unleash the Beast®, Monster Energy Extra Strength Nitrous Technology®, Hansen’s Natural Cane Soda®, Hansen’s®, Peace Tea®, Blue Sky®, Hubert’s® and Junior Juice® to be our core trademarks.</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 and in our marketing materials. We aggressively pursue individuals and/or entities seeking to profit from the unauthorized use of our trademarks and copyrights, including, without limitation, wholesalers, street vendors, retailers, online auction site sellers and website operators. In addition to initiating civil actions against these individuals and entities, we work with law enforcement officials where appropriate.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enforce and protect our trademark rights against third parties infringing or disparaging our trademarks by opposing registration of conflicting trademarks, and initiating litigation as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production, distribution and sale in the United States of many of our products are subject to various U.S. federal and state regulations, including but not limited to: the FFDC Act, including as amended by the Dietary Supplement Health and Education Act of 1994; the Occupational Safety and Health Act; various environmental statutes; and a number of other federal, state and local statutes and regulations applicable to the production, transportation, sale, safety, advertising, marketing, labeling and ingredients of such products. Outside the United States, the production, distribution and sale of many of our products are also subject to numerous statutes and regulations.</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failure to comply with existing regulations, could adversely affect our business, financial condition and results of operations” below for additional information.</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Furthermore, legislation may be introduced in the United States and other countries at the federal, state and municipal level in respect of each of the subject areas discussed below. Public health officials and health advocates are increasingly focused on the public health consequences associated with obesity, especially as the disease affects children, and are seeking legislative change to reduce the consumption of sweetened beverages. There also has been an increased focus on caffeine content in beverages, as discussed below.</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January 2013, the FDA announced that it would be investigating the safety of caffeine in food products, particularly its effects on children and adolescents. Also in January 2013, we received a letter from Representative Edward J. Markey, Senator Richard J. Durbin and Senator Richard Blumenthal requesting information from us to enable them to better understand a number of issues relating in part to an investigation they said has been launched by the FDA examining energy drinks and potential health risks, particularly for groups of vulnerable individuals, including young people and those with pre-existing cardiac conditions. We provided a response to their letter. The Congressmen issued a report and recommendations in April 2013, most of which we had already implemented. The Congressman released a follow-up report in January 2015, recommending inter alia that the energy drink industry not market to consumers under age 18 and not market their products for hydration, and that the FDA develop and release definitions and guidance for this market sector.</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July 2013, we received a letter from Michael M. Landa, the former director of the FDA’s Center for Food Safety and Applied Nutrition, asking for documents and information about the Company’s judgment that caffeine in its energy drinks is generally recognized as safe (“GRAS”) for this use. We provided a response to this letter.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August 2013, at the request of the FDA, the Institute of Medicine (“IOM”) conducted a public workshop to review the available science regarding safe levels of caffeine consumption in foods, beverages and dietary supplements and to identify data gaps. The IOM released a report summarizing the workshop proceedings in January 2014.</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January 2015, the European Food Safety Authority published a draft scientific opinion on the safety of caffeine, particularly in energy drinks. The draft opinion concluded inter alia that daily caffeine intakes from all sources up to 400 milligrams per day do not raise safety concerns for adults in the general population (200 milligrams per day for pregnant women).</w:t>
      </w:r>
    </w:p>
    <w:p>
      <w:pPr>
        <w:spacing w:after="0" w:line="184"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i w:val="1"/>
          <w:iCs w:val="1"/>
          <w:color w:val="auto"/>
        </w:rPr>
        <w:t xml:space="preserve">Product Labeling and Advertising. </w:t>
      </w:r>
      <w:r>
        <w:rPr>
          <w:rFonts w:ascii="Times New Roman" w:cs="Times New Roman" w:eastAsia="Times New Roman" w:hAnsi="Times New Roman"/>
          <w:sz w:val="19"/>
          <w:szCs w:val="19"/>
          <w:color w:val="auto"/>
        </w:rPr>
        <w:t>We are subject to Proposition 65 in California, a law which requires that a specific warning appear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any product sold in California that contains a substance listed by that state as having been found to cause cancer or birth defects in excess of</w:t>
      </w:r>
    </w:p>
    <w:p>
      <w:pPr>
        <w:sectPr>
          <w:pgSz w:w="11900" w:h="16971" w:orient="portrait"/>
          <w:cols w:equalWidth="0" w:num="1">
            <w:col w:w="11420"/>
          </w:cols>
          <w:pgMar w:left="240" w:top="346" w:right="239" w:bottom="0" w:gutter="0" w:footer="0" w:header="0"/>
        </w:sectPr>
      </w:pPr>
    </w:p>
    <w:bookmarkStart w:id="11" w:name="page12"/>
    <w:bookmarkEnd w:id="11"/>
    <w:p>
      <w:pPr>
        <w:spacing w:after="0" w:line="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certain levels. If we were required to add warning labels to any of our products or place warnings in certain other locations where our products are sold, it is difficult to predict whether, or to what extent, such a warning would have an impact on sales of our products in those locations or elsewhere.</w:t>
      </w:r>
    </w:p>
    <w:p>
      <w:pPr>
        <w:spacing w:after="0" w:line="19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the FDA is considering revising regulations with respect to serving size information and nutrition labeling on food and beverage products. If adopted, we may incur significant costs to alter our existing packaging materials to comply with new regulations. Additionally, revised serving size information may impact and/or reduce and/or otherwise affect the purchase and consumption of our products by consumers.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July 2012, we received a subpoena from a state attorney general for the State of New York in connection with an investigation relating to the advertising, marketing, promotion, ingredients, usage and sale of our Monster Energy® brand energy drinks. We cannot predict the outcome of this inquiry and what effect, if any, it may have on our business, financial condition or results of operations.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October 2012, we received a written request for information from the City Attorney for the City and County of San Francisco concerning the Company’s advertising and marketing of its Monster Energy® brand energy drinks and specifically concerning the safety of its products for consumption by adolescents. See “Part I, Item 3 – Legal Proceedings” below for additional information.</w:t>
      </w:r>
    </w:p>
    <w:p>
      <w:pPr>
        <w:spacing w:after="0" w:line="188"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Regulations took effect in Canada on January 11, 2013 that inter alia re-classified energy drinks from “natural health products” to “food.” As a result, energy drinks are required to carry a warning that they are not recommended for children or breast-feeding women and should not be mixed with alcohol.</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On December 13, 2014, new European Union (the “EU”) regulations governing the labeling of food and beverages took effect. We have amended our EU labels to reflect these changes.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the United States, as permitted under the FFDC Act and FDA regulations, we transitioned the labeling and marketing of our products sold under the Monster Energy®, Hansen’s Energy® and Blue Energy® brands from dietary supplements to conventional foods beginning in the first quarter of 2013.</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Age and Other Restrictions on Energy Drink Products. </w:t>
      </w:r>
      <w:r>
        <w:rPr>
          <w:rFonts w:ascii="Times New Roman" w:cs="Times New Roman" w:eastAsia="Times New Roman" w:hAnsi="Times New Roman"/>
          <w:sz w:val="20"/>
          <w:szCs w:val="20"/>
          <w:color w:val="auto"/>
        </w:rPr>
        <w:t>Proposals to limit or restrict the sale of energy drinks to minors and/or persons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below a specified age and/or restrict the venues in which energy drinks can be sold and/or to restrict the use of the Supplemental Nutrition Assistance Program (“SNAP”) (formerly food stamps) to purchase energy drinks have been raised and/or enacted in certain U.S. states, counties, municipalities and/or in certain foreign countries.</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January 2013, Chicago Alderman Ed Burke proposed a ban on the sale and distribution of energy drinks to all consumers, not just minors, in Chicago (the “Chicago Proposal”). The Chicago Proposal defined “energy drink” to include “a canned or bottled beverage which has 180 milligrams or more of caffeine per single-serve container and contains Taurine or Guarana”. That proposal has not been enacted to date.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March 2013, a bill was proposed in the Illinois General Assembly to ban the sale of energy drinks (defined as beverages containing one or more of the following ingredients: taurine, guarana, glucuronolactone or ginseng) to anyone younger than 18 years of age. In January 2014, Los Angeles City Councilman Bernard Parks proposed a bill to ban anyone younger than 18 years of age from purchasing energy drinks. In addition, in February 2014, a bill was introduced in the Maryland General Assembly that would prohibit the sale of energy drinks to individuals younger than 18 years of age. These bills have not been enacted to date.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March 2013, Suffolk County enacted two local laws; one bans the distribution of free samples of energy drinks (which the law characterizes as “stimulant drinks”) to individuals under the age of eighteen in that county, and the second bans the sale or distribution of such drinks in Suffolk County parks.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November 2014, Lithuania introduced legislation prohibiting the sale of non-alcoholic energy drinks with more than 150 milligrams of caffeine per liter to persons under the age of 18.</w:t>
      </w:r>
    </w:p>
    <w:p>
      <w:pPr>
        <w:spacing w:after="0" w:line="16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Excise Taxes on Energy Drinks. </w:t>
      </w:r>
      <w:r>
        <w:rPr>
          <w:rFonts w:ascii="Times New Roman" w:cs="Times New Roman" w:eastAsia="Times New Roman" w:hAnsi="Times New Roman"/>
          <w:sz w:val="20"/>
          <w:szCs w:val="20"/>
          <w:color w:val="auto"/>
        </w:rPr>
        <w:t>Legislation that would impose an excise tax on sweetened beverages has been proposed in Congress,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some state legislatures, including Connecticut, Hawaii, Massachusetts, Nebraska, Oregon, Rhode Island and Texas, and in some local governments, with excise taxes generally ranging between $0.01 and $0.02 per ounce of sweetened beverage. Berkeley, California, became the first jurisdiction to pass such a measure, by ballot question approved in November 2014. A general tax of $0.01 per ounce on certain sweetened drinks, including energy drinks, became effective in Berkeley on January 1, 2015. However, the implementation of this tax has been deferred until March 2015. The imposition of such taxes on our products would increase the cost of certain of our products or, to the extent levied directly on consumers, make certain of our products less affordable. Excise taxes on sweetened beverages already are in effect in certain foreign countries where we do business. On January 1, 2011, Mexico instituted a 25% excise tax on certain energy drinks, to which our products are currently not subject; however, in October 2013, Mexico passed a $1 MXN tax per liter on sugar-sweetened beverages, which became effective January 1, 2014.</w:t>
      </w:r>
    </w:p>
    <w:p>
      <w:pPr>
        <w:spacing w:after="0" w:line="20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Effective January 1, 2013, Hungary instituted an excise tax of approximately $0.18 (at current exchange rates) per liter on drinks containing more than 15 milligrams of caffeine per 100 milliliters, to which our products are subject. In October 2013, the French Parliament passed legislation taxing energy drinks at a rate of €1 EUR per liter, which was approved by the French Supreme Court in December 2013 and went into effect on January 1, 2014. However, in September 2014, France’s Constitutional Council found the tax on energy drinks unconstitutional because it only affects energy drinks and does not apply to other beverages containing similar levels of caffeine. The Court</w:t>
      </w:r>
    </w:p>
    <w:p>
      <w:pPr>
        <w:sectPr>
          <w:pgSz w:w="11900" w:h="16883" w:orient="portrait"/>
          <w:cols w:equalWidth="0" w:num="1">
            <w:col w:w="11420"/>
          </w:cols>
          <w:pgMar w:left="240" w:top="118" w:right="239" w:bottom="0" w:gutter="0" w:footer="0" w:header="0"/>
        </w:sectPr>
      </w:pPr>
    </w:p>
    <w:bookmarkStart w:id="12" w:name="page13"/>
    <w:bookmarkEnd w:id="12"/>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gave the French government a January 1, 2015 deadline to remove or change the €1 EUR per liter levy. Accordingly, as of January 1, 2015, the law was amended to remove any reference to energy drinks. However, the tax on beverages containing more than 220 milligrams of caffeine per liter remains in place. We adjusted the caffeine levels in certain of our Monster® Energy products that are sold in France to address this regulation.</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Limits on Caffeine Content</w:t>
      </w:r>
      <w:r>
        <w:rPr>
          <w:rFonts w:ascii="Times New Roman" w:cs="Times New Roman" w:eastAsia="Times New Roman" w:hAnsi="Times New Roman"/>
          <w:sz w:val="20"/>
          <w:szCs w:val="20"/>
          <w:color w:val="auto"/>
        </w:rPr>
        <w:t>. Legislation, including the Chicago Proposal, has been proposed to limit the amount of caffeine that may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contained in beverages, including energy drinks. Some jurisdictions where we do business have prescribed limited caffeine content for beverages. On January 1, 2013, regulations took effect in Canada that limit the amount of caffeine contained in any beverage in a single-serving can or bottle to less than 180 milligrams. We adjusted the caffeine levels in certain of our Monster Energy® products that are sold in Canada to address these regulations, although the majority of our products were unaffected. However, there can be no assurance that we will be able to satisfactorily do so in other jurisdictions that adopt similar legislation.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Limitations on Container Size. </w:t>
      </w:r>
      <w:r>
        <w:rPr>
          <w:rFonts w:ascii="Times New Roman" w:cs="Times New Roman" w:eastAsia="Times New Roman" w:hAnsi="Times New Roman"/>
          <w:sz w:val="20"/>
          <w:szCs w:val="20"/>
          <w:color w:val="auto"/>
        </w:rPr>
        <w:t>In September 2012, the Board of Health of New York City approved regulations prohibiting the sale,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sales channels, mainly food service establishments, of certain sweetened drinks in containers larger than 16 fluid ounces. The regulations were expected to take effect in March 2013, but a New York state court invalidated them as exceeding the Board of Health’s authority, and the state’s highest court agreed with this ruling on appeal. The mayor of Cambridge, Massachusetts has proposed a similar initiative.</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currently package certain of our Monster Energy® drinks and our Peace Tea® iced teas in aluminum cans larger than 16 fluid ounces. Although current proposals would not extend to beverages sold in our principal sales channels such as convenience stores, grocery stores, mass merchandisers, drug stores and club stores, we cannot predict whether any such sales channel might be added to current proposed regulations or covered by other similar regulatory initiatives.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Container Deposits. </w:t>
      </w:r>
      <w:r>
        <w:rPr>
          <w:rFonts w:ascii="Times New Roman" w:cs="Times New Roman" w:eastAsia="Times New Roman" w:hAnsi="Times New Roman"/>
          <w:sz w:val="20"/>
          <w:szCs w:val="20"/>
          <w:color w:val="auto"/>
        </w:rPr>
        <w:t>Various municipalities, states and foreign countries require that a deposit be charged for certain non-refillable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beverage containers. The precise requirements imposed by these measures vary by jurisdiction. Other deposit, recycling or product stewardship proposals have been introduced in certain U.S. states, counties, municipalities and in certain foreign countries.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Compliance with Environmental Laws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facilities in the United States are subject to federal, state and local environmental laws and regulations. Our operations in other countries are subject to similar laws and regulations that may be applicable in such countries. Compliance with these provisions has not had, nor do we expect such compliance to have, any material adverse effect upon our capital expenditures, net income or competitive position.</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2014, we employed a total of 2,001 employees of which 1,298 were employed on a full-time basis. Of our 2,001 employees, we employed 463 in administrative and operational capacities and 1,538 persons in sales and marketing capacities.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“SEC”). You may read and copy such material at the SEC’s Public Reference Room located at 100 F Street, N.E., Washington, D.C. 20549. You may obtain information on the operation of the Public Reference Room by calling the SEC at 1-800-SEC-0330. You can also find the Company’s SEC filings at the SEC’s website, which contains reports, proxy and information statements, and other information regarding issuers that file electronically with the SEC, at http://www.sec.gov.</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Our Internet address is </w:t>
      </w:r>
      <w:r>
        <w:rPr>
          <w:rFonts w:ascii="Times New Roman" w:cs="Times New Roman" w:eastAsia="Times New Roman" w:hAnsi="Times New Roman"/>
          <w:sz w:val="20"/>
          <w:szCs w:val="20"/>
          <w:u w:val="single" w:color="auto"/>
          <w:color w:val="auto"/>
        </w:rPr>
        <w:t>www.monsterbevcorp.com</w:t>
      </w:r>
      <w:r>
        <w:rPr>
          <w:rFonts w:ascii="Times New Roman" w:cs="Times New Roman" w:eastAsia="Times New Roman" w:hAnsi="Times New Roman"/>
          <w:sz w:val="20"/>
          <w:szCs w:val="20"/>
          <w:color w:val="auto"/>
        </w:rPr>
        <w:t xml:space="preserve">. Information contained on our website is not part of this annual report on Form 10-K. Our SEC filings (including any amendments) will be made available free of charge on </w:t>
      </w:r>
      <w:r>
        <w:rPr>
          <w:rFonts w:ascii="Times New Roman" w:cs="Times New Roman" w:eastAsia="Times New Roman" w:hAnsi="Times New Roman"/>
          <w:sz w:val="20"/>
          <w:szCs w:val="20"/>
          <w:u w:val="single" w:color="auto"/>
          <w:color w:val="auto"/>
        </w:rPr>
        <w:t>www.monsterbevcorp.com</w:t>
      </w:r>
      <w:r>
        <w:rPr>
          <w:rFonts w:ascii="Times New Roman" w:cs="Times New Roman" w:eastAsia="Times New Roman" w:hAnsi="Times New Roman"/>
          <w:sz w:val="20"/>
          <w:szCs w:val="20"/>
          <w:color w:val="auto"/>
        </w:rPr>
        <w:t>,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spacing w:after="0" w:line="19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line="2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1 Monster Way</w:t>
      </w:r>
    </w:p>
    <w:p>
      <w:pPr>
        <w:ind w:left="4960"/>
        <w:spacing w:after="0"/>
        <w:rPr>
          <w:sz w:val="20"/>
          <w:szCs w:val="20"/>
          <w:color w:val="auto"/>
        </w:rPr>
      </w:pPr>
      <w:r>
        <w:rPr>
          <w:rFonts w:ascii="Times New Roman" w:cs="Times New Roman" w:eastAsia="Times New Roman" w:hAnsi="Times New Roman"/>
          <w:sz w:val="20"/>
          <w:szCs w:val="20"/>
          <w:color w:val="auto"/>
        </w:rPr>
        <w:t>Corona, CA 92879</w:t>
      </w:r>
    </w:p>
    <w:p>
      <w:pPr>
        <w:ind w:left="5120"/>
        <w:spacing w:after="0"/>
        <w:rPr>
          <w:sz w:val="20"/>
          <w:szCs w:val="20"/>
          <w:color w:val="auto"/>
        </w:rPr>
      </w:pPr>
      <w:r>
        <w:rPr>
          <w:rFonts w:ascii="Times New Roman" w:cs="Times New Roman" w:eastAsia="Times New Roman" w:hAnsi="Times New Roman"/>
          <w:sz w:val="20"/>
          <w:szCs w:val="20"/>
          <w:color w:val="auto"/>
        </w:rPr>
        <w:t>(951) 739-6200</w:t>
      </w:r>
    </w:p>
    <w:p>
      <w:pPr>
        <w:sectPr>
          <w:pgSz w:w="11900" w:h="16870" w:orient="portrait"/>
          <w:cols w:equalWidth="0" w:num="1">
            <w:col w:w="11420"/>
          </w:cols>
          <w:pgMar w:left="240" w:top="118" w:right="239" w:bottom="0" w:gutter="0" w:footer="0" w:header="0"/>
        </w:sectPr>
      </w:pPr>
    </w:p>
    <w:bookmarkStart w:id="13" w:name="page14"/>
    <w:bookmarkEnd w:id="13"/>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(800) 426-7367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financial condition and/or operating results.</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Following the TCCC Transaction, NewCo and TCCC will have extensive commercial arrangements and, as a result, NewCo’s future performance is expected to substantially depend on the success of its relationship with TCCC.</w:t>
      </w:r>
    </w:p>
    <w:p>
      <w:pPr>
        <w:spacing w:after="0" w:line="17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connection with the TCCC Transaction, the amended distribution coordination agreements to be entered into with TCCC will provide for the transition of third parties’ rights to distribute the Company’s products in most territories in the U.S. to members of TCCC’s distribution network, which consists of owned or controlled bottlers/distributors and independent bottling/distribution partners. On February 9, 2015 in accordance with its existing agreements with the applicable third-party distributors, the Company sent notices of termination to certain affected third-party distributors, including the majority of the AB Distributors in the U.S., providing for the termination of their respective distribution agreements, to be effective at various dates beginning in March 2015. The associated distribution rights will be transferred to TCCC’s distribution network in each applicable territory as of the effective date of the termination of the applicable third party’s rights in such territory. In addition, it is expected that TCCC will become our preferred distribution partner globally. As a result, we will be reducing our distributor diversification and will be substantially dependent on TCCC’s international distribution platform.</w:t>
      </w:r>
    </w:p>
    <w:p>
      <w:pPr>
        <w:spacing w:after="0" w:line="20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Also in connection with the TCCC Transaction, TCCC will make a substantial equity investment in NewCo and has agreed, subject to certain exceptions, not to compete in the energy drink category. While we believe that this will incentivize TCCC to take steps to assure that our products receive the appropriate attention in the TCCC distribution system, there can be no assurance of this as TCCC is a much larger company with many strategic priorities. In addition, TCCC does not control all members of its distribution system, many of which are independent companies that make their own business decisions that may not always align with TCCC’s interests. Moreover, it is also possible that we may fail to recognize the expected benefits of the new distribution arrangements regardless of TCCC’s priorities or the priorities of the members of TCCC’s distribution system. In any such case, our operating results could suffer and the value of NewCo’s common shares could be adversely affected.</w:t>
      </w:r>
    </w:p>
    <w:p>
      <w:pPr>
        <w:spacing w:after="0" w:line="20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Under the terms of the TCCC Transaction, we have agreed, subject to certain exceptions, not to compete with TCCC in the non-energy drink category following the closing. As a result, our sole focus will be in the energy drink category and our business will become more vulnerable to adverse changes impacting the energy drink category and business, which could adversely impact our business and the trading price of our common stock.</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The failure to transition the distribution of our products to TCCC’s distribution network in a timely manner could reduce and/or delay the expected benefits of the TCCC Transaction.</w:t>
      </w:r>
    </w:p>
    <w:p>
      <w:pPr>
        <w:spacing w:after="0" w:line="17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If the expected transition of the U.S. distribution rights to TCCC’s distribution network described above is not completed in a full, timely and/or efficient manner, the expected benefits of the new distribution arrangements could be reduced and/or delayed. In this regard, we have been informed that approximately 64 AB Distributors are challenging our right to terminate their distribution agreements in accordance with the express terms of such distribution agreements. We have filed separate arbitration demands against each of these parties seeking declarations of our rights, including our right to terminate the applicable distribution agreements in accordance with their terms. We have also filed an action in the United States District Court, Central District of California, against these parties to enforce each of their respective obligations to arbitrate any disputes arising under such distribution agreements. We believe the independent distributors’ allegations are without merit.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expect to incur costs associated with transition of distribution which we currently estimate at $280.0 million. The final amount of those costs could be different and such differences could be material. In addition, under the TCCC Transaction Agreements, up to $625.0 million of the net $2.15 billion cash payment to be paid to us by TCCC will be held in escrow, subject to release upon achievement of milestones relating to the transition of distribution rights to TCCC’s distribution network. A failure to meet those milestones would result in a decrease in, and/or delay of, the cash payment.</w:t>
      </w:r>
    </w:p>
    <w:p>
      <w:pPr>
        <w:spacing w:after="0" w:line="19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Following the TCCC Transaction, TCCC will be a significant shareholder of NewCo and may have interests that are different from NewCo’s other shareholders (including current shareholders of the Company).</w:t>
      </w:r>
    </w:p>
    <w:p>
      <w:pPr>
        <w:spacing w:after="0" w:line="1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the TCCC Transaction, each outstanding share of the Company’s common stock will be converted into one share of NewCo’s common stock. Immediately following the consummation of the TCCC Transaction, TCCC will own NewCo common shares representing approximately 16.7% of the total number of NewCo’s outstanding common shares. TCCC will also have the right to nominate two directors to the NewCo board of directors, subject to reduction in certain circumstances.</w:t>
      </w:r>
    </w:p>
    <w:p>
      <w:pPr>
        <w:sectPr>
          <w:pgSz w:w="11900" w:h="16884" w:orient="portrait"/>
          <w:cols w:equalWidth="0" w:num="1">
            <w:col w:w="11420"/>
          </w:cols>
          <w:pgMar w:left="240" w:top="118" w:right="239" w:bottom="0" w:gutter="0" w:footer="0" w:header="0"/>
        </w:sectPr>
      </w:pPr>
    </w:p>
    <w:bookmarkStart w:id="14" w:name="page15"/>
    <w:bookmarkEnd w:id="14"/>
    <w:p>
      <w:pPr>
        <w:spacing w:after="0" w:line="3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Following the completion of the TCCC Transaction, TCCC’s ownership could also have an effect on NewCo’s ability to engage in a change in control transaction. TCCC will be obligated for a period of time to vote all of its NewCo common shares in excess of 20% of the outstanding NewCo common shares in the same proportion as all NewCo common shares not owned by TCCC with respect to a proposal for a NewCo change of control. However, if TCCC were to oppose such a change in control transaction, a bidder would be required to secure the support of holders of 62.5% of NewCo’s common shares not owned by TCCC (assuming that TCCC increased its ownership from approximately 16.7% to 20% of NewCo’s common shares) to achieve a vote of a majority of NewCo’s outstanding shares for a change-in-control transaction. In addition, assuming the completion of the TCCC Transaction, TCCC would have a bidding advantage if the NewCo board of directors were to seek to sell NewCo in the future because TCCC would not need to pay a control premium on the shares it owns at such time, including the shares it acquires in the TCCC Transaction. TCCC and NewCo would also be permitted to terminate TCCC’s distribution coordination agreements with NewCo after a change in control of NewCo. In such event, TCCC would receive a termination fee if TCCC terminated the distribution coordination agreements following a change in control of NewCo involving certain TCCC competitors, or if NewCo terminated following a change in control of NewCo, involving any third party.</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interests of TCCC may be different from or conflict with the interests of NewCo’s other shareholders (including current shareholders of the Company, who will receive NewCo common shares in the TCCC Transaction) and, as a result, TCCC’s influence may result in the delay or prevention of potential actions or transactions, including a potential change of management or control of NewCo, even if such action or transaction may be beneficial to NewCo’s other shareholders. Moreover, TCCC’s ownership of a significant amount of NewCo’s outstanding common shares could result in downward pressure on the trading price of NewCo’s common shares if TCCC were to sell a large portion of its shares or as a result of the perception that such a sale might occur.</w:t>
      </w:r>
    </w:p>
    <w:p>
      <w:pPr>
        <w:spacing w:after="0" w:line="19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The TCCC Transaction may not be completed or may be delayed, and even if the TCCC Transaction is successfully completed, the anticipated benefits to the Company’s stockholders may not be realized.</w:t>
      </w:r>
    </w:p>
    <w:p>
      <w:pPr>
        <w:spacing w:after="0" w:line="1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completion of the TCCC Transaction is subject to certain customary conditions. The Company or TCCC may be unable to satisfy the conditions required to complete the transaction, and there is no assurance that the TCCC Transaction will be completed on a timely basis or at all. If the TCCC Transaction is not completed, we will nonetheless bear significant transaction costs. In addition, the current market price of our stock may reflect an assumption that the TCCC Transaction will occur, and failure to complete the TCCC Transaction could result in a decline in our stock price. The failure of the TCCC Transaction to be completed may also result in negative publicity and/or a negative impression of the Company in the investment community and may affect our relationship with customers and other partners.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Changes in government regulation, or failure to comply with existing regulations, could adversely affect our business, financial condition and results of operations.</w:t>
      </w:r>
    </w:p>
    <w:p>
      <w:pPr>
        <w:spacing w:after="0" w:line="17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Legislation has been proposed and/or adopted at the U.S. federal, state and/or municipal level and proposed and/or adopted in certain foreign jurisdictions to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 or impose age restrictions for the sale of energy drinks. For a discussion of certain of such legislation, see “Part I, Item 1 — Business — Government Regulation.” Furthermore, additional legislation may be introduced in the United States and other countries at the federal, state, local and municipal level in respect of each of the foregoing subject areas. Public health officials and health advocates are increasingly focused on the public health consequences associated with obesity, especially as the disease affects children, and are seeking legislative change to reduce the consumption of sweetened beverages. There also has been an increased focus on caffeine content in beverages. To the extent any such legislation is enacted in one or more jurisdictions where a significant amount of our products are sold individually or in the aggregate, it could result in a reduction in demand for or availability of our energy drinks and adversely affect our business, financial condition and results of operations.</w:t>
      </w:r>
    </w:p>
    <w:p>
      <w:pPr>
        <w:spacing w:after="0" w:line="20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production, distribution and sale in the United States of many of our products are also currently subject to various federal and state regulations, including, but not limited to: the FFDC Act, including as amended by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statutes and regulations. If a regulatory authority finds that a current or future product or production run is not in compliance with any of these regulations, we may be fined, or such products may have to be recalled and/or reformulated and/or have the packaging changed, which could adversely affect our business, financial condition and results of operations.</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We cannot predict the effect of inquiries from and/or actions by attorneys general and/or other government agencies and/or quasi-government agencies into the advertising, marketing, promotion, ingredients, usage and/or sale of our energy drink products.</w:t>
      </w:r>
    </w:p>
    <w:p>
      <w:pPr>
        <w:spacing w:after="0" w:line="17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are subject to the risks of investigations and/or enforcement actions by state attorneys general and/or other government and/or quasi-governmental agencies relating to the advertising, marketing, promotion, ingredients, usage and/or sale of our energy drinks. In July 2012, we received a subpoena from a state attorney general in connection with an investigation relating to the advertising, marketing, promotion, ingredients, usage and sale of our Monster Energy® brand energy drinks. We cannot predict the outcome of this inquiry and what, if any, effect it may have on our business, financial condition or results of operations. If an inquiry by a state attorney general or other government or quasi-government agency finds that our products and/or the advertising, marketing, promotion, ingredients, usage and/or sale of such products are not in compliance with applicable laws or regulations, we may become subject to fines, product reformulations, container changes, changes in the usage or sale of our energy drink products and/or changes in our advertising, marketing and promotion practices, each of which could have an adverse effect on our business, financial condition or results of operations.</w:t>
      </w:r>
    </w:p>
    <w:p>
      <w:pPr>
        <w:sectPr>
          <w:pgSz w:w="11900" w:h="16877" w:orient="portrait"/>
          <w:cols w:equalWidth="0" w:num="1">
            <w:col w:w="11420"/>
          </w:cols>
          <w:pgMar w:left="240" w:top="346" w:right="239" w:bottom="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Litigation regarding our products, and related unfavorable media attention, could expose us to significant liabilities and reduce demand for our products.</w:t>
      </w:r>
    </w:p>
    <w:p>
      <w:pPr>
        <w:spacing w:after="0" w:line="1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 2012, we were named as a defendant in a product liability lawsuit, which alleged that the consumption of two 24-ounce cans of Monster Energy® over the course of two days, caused the wrongful death of a fourteen year old girl (Anais Fournier) in December 2011. We do not believe that our products are responsible for the death of Ms. Fournier and intend to continue to vigorously defend the lawsuit. In addition, additional product liability lawsuits have since been filed against us, containing similar allegations to those presented in the Fournier lawsuit, each of which we believe is also without merit and would not have a material adverse effect on our financial position or results of operations in the event any damages were awarded.</w:t>
      </w:r>
    </w:p>
    <w:p>
      <w:pPr>
        <w:spacing w:after="0" w:line="19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October 2012, we received a written request for information from the City Attorney for the City and County of San Francisco (the “City Attorney”) concerning our advertising and marketing of our Monster Energy® brand of energy drinks and specifically concerning the safety of our products for consumption by adolescents. In a subsequent letter, the City Attorney threatened to bring suit against us if we did not agree to take certain steps immediately and, on May 6, 2013, the City Attorney filed a complaint against us for declaratory and injunctive relief, civil penalties and restitution for an alleged violation of California’s Unfair Competition Law. We deny that we have violated the Unfair Competition Law or any other law and believe that the City Attorney’s claims and demands are preempted and unconstitutional. We intend to vigorously defend against the lawsuit. At this time, no evaluation of the likelihood of an unfavorable outcome or range of potential loss can be expressed.</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Several other lawsuits have been filed against us claiming that certain statements made in our advertisements and/or on the labels of our products were false and/or misleading in nature and/or that our products are not safe. Putative class action lawsuits have also recently been filed against certain of our competitors asserting that certain claims in their advertisements amount to false advertising. We do not believe any statements made by us in our promotional materials or set forth on our product labels are false or misleading or that our products are in any way unsafe and intend to vigorously defend these lawsuits.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 of the foregoing matters or other product-related litigation, the threat thereof, or unfavorable media attention arising from pending or threatened product-related litigation, could consume significant financial and managerial resources, and result in decreased demand for our products, significant monetary awards against us and injury to our reputation.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Criticism of our energy drink products, and/or criticism or a negative perception of energy drinks generally, could adversely affect us.</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An unfavorable report on the health effects of caffeine, or criticism or negative publicity regarding the caffeine content in our products or energy drinks generally, could have an adverse effect on our business, financial condition and results of operations. Articles critical of the caffeine content in energy drinks and/or indicating certain health risks of energy drinks have been published in recent years. We believe the overall growth of the energy drink market in the U.S. may have been negatively impacted by the ongoing negative publicity and comments that continue to appear in the media questioning the safety of energy drinks, and suggesting limitations on their ingredients (including caffeine) and/or the levels thereof and/or imposing minimum age restrictions for consumers. If reports, studies or articles critical of caffeine and/or energy drinks continue to be published or are published in the future, they could adversely affect the demand for our products.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Increased competition could hurt our business.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beverage industry is highly competitive. The principal areas of competition are pricing, packaging, development of new products, flavors, product positioning as well as promotion and marketing strategies. Our products compete with a wide range of drinks produced by a relatively large number of manufacturers, some of which have substantially greater financial, marketing and distribution resources than we do.</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Important factors affecting our ability to compete successfully include the taste and flavor of our products, trade and consumer promotions, rapid and effective development of new, unique cutting edge products, attractive and different packaging, branded product advertising and pricing. Our products compete with all liquid refreshments and in some cases with products of much larger and substantially better financed competitors, including the products of numerous nationally and internationally known producers such as TCCC, PepsiCo, Red Bull Gmbh, the DPS Group, Kraft Foods Inc., Suntory Holdings, Ltd., Nestle Beverage Company, Tree Top and Ocean Spray. We also compete with companies that are smaller or primarily national or local in operations. Our products also compete with private label brands such as those carried by grocery store chains, convenience store chains, and club stores.</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There can be no assurance that we will not encounter difficulties in maintaining our current revenues or market share or position due to competition in the beverage industry. If our revenues decline, our business, financial condition and results of operations could be adversely affected.</w:t>
      </w:r>
    </w:p>
    <w:p>
      <w:pPr>
        <w:spacing w:after="0" w:line="1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Uncertainty in the financial markets and other adverse changes in general economic or political conditions in any of the major countries in which we do business could adversely affect our industry, business and results of operations.</w:t>
      </w:r>
    </w:p>
    <w:p>
      <w:pPr>
        <w:sectPr>
          <w:pgSz w:w="11900" w:h="16838" w:orient="portrait"/>
          <w:cols w:equalWidth="0" w:num="1">
            <w:col w:w="11420"/>
          </w:cols>
          <w:pgMar w:left="240" w:top="355" w:right="239" w:bottom="25" w:gutter="0" w:footer="0" w:header="0"/>
        </w:sectPr>
      </w:pPr>
    </w:p>
    <w:bookmarkStart w:id="16" w:name="page17"/>
    <w:bookmarkEnd w:id="16"/>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Global economic uncertainties affect businesses such as ours in a number of ways, making it difficult to accurately forecast and plan our future business activities. There can be no assurance that economic improvements will occur, or that they would be sustainable, or that they would enhance conditions in markets relevant to us. In addition, we cannot predict the duration and severity of disruptions in any of our markets, or the impact they may have on our customers or business, as our expansion outside of the United States has increased our exposure to any developments or crisis in European and other international markets. If economic conditions deteriorate, our industry, business and results of operations could be materially and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consumer preferences may reduce demand for some of our products.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beverage industry is subject to changing consumer preferences and shifts in consumer preferences may adversely affect us. There is increasing awareness of and concern for the health consequences of obesity. This may reduce demand for our non-diet beverages, which could reduce our revenues and adversely affect our results of operations. Recently, concerns have emerged regarding diet sodas and in particular, aspartame, which we do not use in our beverages.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Consumers are seeking greater variety in their beverages. Our future success will depend, in part, upon our continued ability to develop and introduce different and innovative beverages that appeal to consumers. In order to retain and expand our market share, we must continue to develop and introduce different and innovative beverages and be competitive in the areas of taste, quality and health, although there can be no assurance of our ability to do so. There is no assurance that consumers will continue to purchase our products in the future. Product lifecycles for some beverage brands and/or products and/or packages may be limited to a few years before consumers’ preferences change. The beverages we currently market are in varying stages of their product lifecycles and there can be no assurance that such beverages will become or remain profitable for us. We may be unable to achieve volume growth through product and packaging initiatives. We may also be unable to penetrate new markets. If our revenues decline, our business, financial condition and results of operations could be adversely affected.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Operations outside the United States expose us to uncertain conditions and other risks in international markets.</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Our gross sales to customers outside of the United States were approximately 23%, 23% and 22% of consolidated gross sales for the years ended December 31, 2014, 2013 and 2012, respectively, and our growth strategy includes further expanding our international business. If we are unable to continue to expand distribution of our products outside the United States, our growth rate could be adversely affected. In many international markets, we have limited operating experience and in some areas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U.S. We face and will continue to face substantial risks associated with having foreign operations, including: economic and/or political instability in our international markets; restrictions on or costs relating to the repatriation of foreign profits to the United States, including possible taxes and/or withholding obligations on any repatriations; and tariffs and/or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higher product damages, particularly when products are shipped long distances, potentially higher incidence of fraud and/or corruption, credit risk of local customers and distributors and potentially adverse tax consequences.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Global or regional catastrophic events could impact our operations and affect our ability to grow our business.</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Because of our increasingly global presence, our business could be affected by unstable political conditions, civil unrest, large-scale terrorist acts, especially those directed against the United States or other major industrialized countries where our products are distributed, the outbreak or escalation of armed hostilities, major natural disasters or widespread outbreaks of infectious diseases. Such events could impact the production and distribution of our products. In addition, such events could disrupt global or regional economic activity, which could affect consumer purchasing power, thereby reducing demand for our products. If we are unable to grow our business internationally as a result of these factors, our growth rate could decline.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Fluctuations in foreign currency exchange rates may adversely affect our operating results.</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are exposed to foreign currency exchange rate risk with respect to our sales, expenses, profits, assets and liabilities denominated in currencies other than the U.S. dollar. We enter into forward currency exchange contracts with financial institutions to create an economic hedge to specifically manage a portion of the foreign exchange risk exposure associated with certain consolidated subsidiaries’ non-functional currency denominated assets and liabilities. We have not used instruments to hedge against all foreign currency risks and are therefore not protected against all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We derive a substantial portion of revenues from our energy drinks and competitive pressure in the energy drink category could adversely affect our business and operating results.</w:t>
      </w:r>
    </w:p>
    <w:p>
      <w:pPr>
        <w:sectPr>
          <w:pgSz w:w="11900" w:h="16838" w:orient="portrait"/>
          <w:cols w:equalWidth="0" w:num="1">
            <w:col w:w="11420"/>
          </w:cols>
          <w:pgMar w:left="240" w:top="118" w:right="239" w:bottom="0" w:gutter="0" w:footer="0" w:header="0"/>
        </w:sectPr>
      </w:pPr>
    </w:p>
    <w:bookmarkStart w:id="17" w:name="page18"/>
    <w:bookmarkEnd w:id="17"/>
    <w:p>
      <w:pPr>
        <w:spacing w:after="0" w:line="4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A substantial portion of our sales are derived from our energy drinks, including in particular our Monster Energy® brand energy drinks. Our DSD segment, which is comprised primarily of energy drinks, represented 96.1% of net sales for the year ended December 31, 2014. Any decrease in the sales of our Monster Energy® brand and other energy drinks could significantly adversely affect our future revenues and net income. Historically, we have experienced substantial competition from new entrants in the energy drink category as well as from the energy shot category. Domestically, our energy drinks compete directly with Red Bull, Rockstar, Full Throttle, No Fear, Amp, Adrenaline Rush, NOS, Venom, Redline, Red Devil, Xenergy, MiO Energy, Rip It, Starbucks Double Shot, Starbucks Double Shot Energy Plus Coffee, Rockstar Roasted, 5-Hour Energy Shots, Stacker 2, VPX Redline Energy Shots and many other brands. A number of companies who market and distribute iced teas, juice cocktails and enhanced waters in different packages, such as 16- and 20-ounce glass and plastic bottles, including Sobe, Sobe Life Water, Snapple, Arizona, Fuse, Ocean Spray, Honest Tea, Gold Peak Tea, Activate, Neuro and Vitamin Water, have added dietary ingredients to their products with a view to marketing their products as “functional” or energy beverages or as having “functional” benefits. In addition, certain large companies such as TCCC and PepsiCo, market and/or distribute products in that market segment such as Pepsi Max, Mountain Dew, Mountain Dew MDX, Mountain Dew Kickstart and Vault. Internationally, our energy drinks compete with Red Bull, Rockstar, Burn, V-Energy, Lucozade, Adrenaline Rush, Relentless and numerous local and private label brands that usually differ from country to country, such as Play, Power Play, Mother, Hell, Shock, Tiger, Boost, Speed, TNT, Shark, Hot 6, Shark Energy, Nalu, Battery, Bullit, Flash Up, Black, Non-Stop, Bomba, Semtex, Vive 100, Dark Dog, Speed, Guaraná, Ultra, Sting and a host of other international brands. Our Java Monster® product line competes directly with Starbucks Frappuccino, Starbucks Double Shot, Starbucks Double Shot Energy Plus Coffee and other Starbucks coffee drinks, Rockstar Roasted, Seattle’s Best and illy issimo coffee drinks. Our Muscle Monster® product line competes directly with Muscle Milk, Core Power, ABB Pure Pro and Gatorade Recover Protein Shake. Competitive pressures in the energy drink category could impact our revenues and/or we could experience price erosion and/or lower market share, any of which could have a material adverse effect on our business and results of operations.</w:t>
      </w:r>
    </w:p>
    <w:p>
      <w:pPr>
        <w:spacing w:after="0" w:line="19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7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do not directly manufacture our products, but instead outsource such manufacturing to bottlers and other contract packers. In the event of a disruption and/or delay,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including our Monster Energy® brand energy drinks, our Peace Tea® product line, our Hansen’s® brand energy drinks, our aseptic juice products, our Hubert’s® Lemonades, our Muscle Monster® product line, our Java Monster® product line and certain of our other products. While we believe a short-term disruption or delay in production would not significantly affect our revenue, a lengthy disruption or delay in the production of any of such products could significantly adversely affect our revenues from such products because alternative co-packing facilities in the United States and abroad with adequate long-term capacity may not be available for such products either at commercially reasonable rates, and/or within a reasonably short time period, if at all.</w:t>
      </w:r>
    </w:p>
    <w:p>
      <w:pPr>
        <w:spacing w:after="0" w:line="19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We rely on bottlers and distributors to distribute our DSD segment products. If we are unable to maintain good relationships with our existing bottlers and distributors and/or secure such bottlers and distributors, our business could suffer.</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Many of our bottlers and distributors are affiliated with and manufacture and/or distribute other soda, carbonated and non-carbonated brands and other beverage products (both alcoholic and non-alcoholic), including energy drinks. In many cases, such products compete directly with our products.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TCCC North American Bottlers, New CCE, Coca-Cola Hellenic and the AB Distributors are our primary domestic and international distributors of our Monster Energy® products. However, in February 2015, in accordance with its existing agreements with the applicable third-party distributors, the Company sent notices of termination to the majority of the AB Distributors in the U.S. for the termination of their respective distribution agreements, to be effective at various dates beginning in March 2015. The associated distribution rights will be transitioned to TCCC’s network of owned or controlled bottlers/distributors and independent bottling and distribution partners as of the effective date of termination of the AB Distributors’ rights in the applicable territories (see Note 8 “Distribution Agreements” in the notes to consolidated financial statements). As a result, if we are unable to maintain good relationships with the TCCC North American Bottlers and/or New CCE and/or Coca-Cola Hellenic, or if the TCCC North American Bottlers and/or New CCE and/or Coca-Cola Hellenic do not effectively focus on marketing, promoting, selling and distributing our products, sales of our Monster Energy® products could be adversely affected.</w:t>
      </w:r>
    </w:p>
    <w:p>
      <w:pPr>
        <w:spacing w:after="0" w:line="20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continually seek to expand and/or improve the distribution of our products by entering into agreements with regional bottlers and/or other direct store delivery distributors having established sales, marketing and distribution organizations.</w:t>
      </w:r>
    </w:p>
    <w:p>
      <w:pPr>
        <w:spacing w:after="0" w:line="17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The marketing efforts of our distributors are important for our success. If our DSD segment brands prove to be less attractive to our existing bottlers and distributors and/or if we fail to attract additional bottlers and distributors, and/or our bottlers and/or distributors do not market, promote and distribute our products effectively, our business, financial condition and results of operations could be adversely affected.</w:t>
      </w:r>
    </w:p>
    <w:p>
      <w:pPr>
        <w:spacing w:after="0" w:line="1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We rely upon our ongoing relationships with our key flavor suppliers. If we are unable to source our flavors on acceptable terms from our key suppliers, we could suffer disruptions in our business.</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Generally, flavor suppliers hold the proprietary rights to their flavors. Consequently, we do not have the list of flavor ingredients or formulae for our flavors and certain of our concentrates readily available to us and we may be unable to obtain comparable flavors or concentrates from alternative suppliers on short notice. If we must replace a flavor supplier, we could experience a temporary disruption in our ability to deliver products to our customers and/or a reduction in demand for our products containing replacement flavors, which could have a material adverse effect on our business and results of operations.</w:t>
      </w:r>
    </w:p>
    <w:p>
      <w:pPr>
        <w:sectPr>
          <w:pgSz w:w="11900" w:h="16883" w:orient="portrait"/>
          <w:cols w:equalWidth="0" w:num="1">
            <w:col w:w="11420"/>
          </w:cols>
          <w:pgMar w:left="240" w:top="118" w:right="239" w:bottom="0" w:gutter="0" w:footer="0" w:header="0"/>
        </w:sectPr>
      </w:pPr>
    </w:p>
    <w:bookmarkStart w:id="18" w:name="page19"/>
    <w:bookmarkEnd w:id="18"/>
    <w:p>
      <w:pPr>
        <w:spacing w:after="0" w:line="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Our customers are material to our success. If we are unable to maintain good relationships with our existing customers, our business could suffer.</w:t>
      </w:r>
    </w:p>
    <w:p>
      <w:pPr>
        <w:spacing w:after="0" w:line="17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Unilateral decisions could be taken by our distributors, convenience chains, grocery chains, specialty chain stores, club stores and other customers to discontinue carrying all or any of our products that they are carrying at any time, which could cause our business to suffer.</w:t>
      </w:r>
    </w:p>
    <w:p>
      <w:pPr>
        <w:spacing w:after="0" w:line="17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CCR accounted for approximately 29% of our net sales for both the years ended December 31, 2014 and 2013. A decision by CCR, CCRC, New CCE, Wal-Mart, Inc. (including Sam’s Club), Coca-Cola Hellenic, or any other large customer to decrease the amount purchased from us or to cease carrying our products could have a material adverse effect on our financial condition and consolidated results of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Increases in costs and/or shortages of raw materials and/or ingredients and/or fuel and/or costs of co-packing could harm our business.</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principal raw materials used by us are aluminum cans, PET plastic bottles, as well as flavors, juice concentrates, sugar, sucralose, milk, cream, protein, dietary ingredients and other packaging materials; the costs and availability of which are subject to fluctuations. In addition, certain of our co-pack arrangements allow such co-packers to increase their charges based on certain of their own cost increases. We are uncertain whether the prices of any of the above or any other raw materials or ingredients, certain of which have recently risen, will continue to rise or may rise in the future. We are unsure whether we will be able to pass any of such increases on to our customers. We generally do not use hedging agreements or alternative instruments to manage the risks associated with securing sufficient ingredients or raw materials although we do, from time to time, enter into purchase agreements for a significant portion of our annual anticipated requirements for certain raw materials such as aluminum cans, apple juice, sugar and sucralose.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some of these raw materials, including certain sizes of cans, are available from a limited number of suppliers.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failure to accurately estimate demand for our products could adversely affect our business and financial results.</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may not correctly estimate demand for our products. Our ability to estimate demand for our products is imprecise, particularly with regard to new products, and may be less precise during periods of rapid growth, particularly in new markets. If we materially underestimate demand for our products or are unable to secure sufficient ingredients or raw materials including, but not limited to, aluminum cans, PET plastic bottles, glass bottles, labels, sucralose, flavors, dietary ingredients, juice concentrates, certain sweeteners, coffee, tea, protein, packaging materials or co-packing arrangements, we might not be able to satisfy demand on a short-term basis. Moreover, industry-wide shortages of certain juice concentrates, dietary ingredients and sweeteners have been and could, from time to time in the future, be experienced. We generally do not use hedging agreements or alternative instruments to manage this risk. Such shortages could interfere with and/or delay production of certain of our products and could have a material adverse effect on our business and financial results.</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do not maintain sufficient inventory levels and/or if we are unable to deliver our products to our customers in sufficient quantities, and/or if our customers’ or retailers’ inventory levels are too high, our operating results could be adversely affected.</w:t>
      </w:r>
    </w:p>
    <w:p>
      <w:pPr>
        <w:spacing w:after="0" w:line="1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could unfavorably impact our future sales and adversely affect our operating results.</w:t>
      </w:r>
    </w:p>
    <w:p>
      <w:pPr>
        <w:spacing w:after="0" w:line="19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The costs of packaging supplies are subject to price increases from time to time and we may be unable to pass all or some of such increased costs on to our customers.</w:t>
      </w:r>
    </w:p>
    <w:p>
      <w:pPr>
        <w:spacing w:after="0" w:line="17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Many of our packaging supply contracts allow our suppliers to alter the costs they charge us for packaging supplies based on changes in the costs of the underlying commodities that are used to produce those packaging supplies, such as aluminum for cans, resin for PET plastic bottles, and pulp and paper for cartons and/or trays. These changes in the prices we pay 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intellectual property rights are critical to our success, and the loss of such rights could materially adversely affect our business.</w:t>
      </w:r>
    </w:p>
    <w:p>
      <w:pPr>
        <w:spacing w:after="0" w:line="23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third parties will</w:t>
      </w:r>
    </w:p>
    <w:p>
      <w:pPr>
        <w:sectPr>
          <w:pgSz w:w="11900" w:h="16907" w:orient="portrait"/>
          <w:cols w:equalWidth="0" w:num="1">
            <w:col w:w="11420"/>
          </w:cols>
          <w:pgMar w:left="240" w:top="342" w:right="239" w:bottom="0" w:gutter="0" w:footer="0" w:header="0"/>
        </w:sectPr>
      </w:pPr>
    </w:p>
    <w:bookmarkStart w:id="19" w:name="page20"/>
    <w:bookmarkEnd w:id="19"/>
    <w:p>
      <w:pPr>
        <w:jc w:val="both"/>
        <w:spacing w:after="0" w:line="268" w:lineRule="auto"/>
        <w:rPr>
          <w:sz w:val="20"/>
          <w:szCs w:val="20"/>
          <w:color w:val="auto"/>
        </w:rPr>
      </w:pPr>
      <w:r>
        <w:rPr>
          <w:rFonts w:ascii="Times New Roman" w:cs="Times New Roman" w:eastAsia="Times New Roman" w:hAnsi="Times New Roman"/>
          <w:sz w:val="20"/>
          <w:szCs w:val="20"/>
          <w:color w:val="auto"/>
        </w:rPr>
        <w:t>not infringe or misappropriate our trademarks, copyrights and similar proprietary rights. If we lose some or all of our intellectual property rights, our business may be materially adversely affected.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If we are unable to maintain our brand image or product quality, our business may suffer.</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success depends on our ability to build and maintain the brand image for our existing products, new products and brand extensions. There can be no assurance that our advertising, marketing and promotional programs will have the desired impact on our products’ brand image and on consumer preference and demand. Product quality and/or ingredient content issues, efficacy or lack thereof, real or imagined, or allegations of product contamination, even if false or unfounded, could tarnish the image of the affected brands and may cause consumers to choose other products. Furthermore, our brand image or perceived product quality could be adversely affected by litigation, unfavorable reports in the media, internet or elsewhere, studies in general and regulatory or other governmental inquiries, in each case whether involving our products or those of our competitors, as well as proposed or new legislation affecting our industry.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If we encounter product recalls, our business may suffer and we may incur material losses.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may be required from time to time to recall products entirely or from specific co-packers, markets or batches if such products become contaminated, damaged, mislabeled or otherwise materially not compliant with applicable regulatory requirements. Product recalls could adversely affect our profitability and our brand image. We do not maintain recall insurance.</w:t>
      </w:r>
    </w:p>
    <w:p>
      <w:pPr>
        <w:spacing w:after="0" w:line="1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are not able to retain the full-time services of senior management there may be an adverse effect on our operations and/or our operating performance until we find suitable replacements.</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Our business is dependent, to a large extent, upon the services of our senior management. We do not maintain key person life insurance on any members of our senior management. The loss of services of either Mr. Sacks, Chairman and Chief Executive Officer, Mr. Schlosberg, President and Chief Financial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Climate change may negatively affect our business.</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There is concern that a gradual increase in global average temperatures could cause significant changes in weather patterns around the globe and an increase in the frequency and severity of natural disasters. While warmer weather has historically been associated with increased sales of our products, changing weather patterns could result in decreased agricultural productivity in certain regions, which may limit availability and/or increase the cost of certain key ingredients, juice concentrates and dietary ingredients used in our products. Increased frequency or duration of extreme weather conditions could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also impair production capabilities, disrupt our supply chain including, without limitation, the availability of, and/or result in higher prices for juice concentrates, natural flavors and dietary ingredients or impact demand for our products. In addition,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 Sales of our products may also be influenced to some extent by weather conditions in the markets in which we operate. Weather conditions may influence consumer demand for certain of our beverages, which could have an adverse effect on our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Potential changes in accounting practices and/or taxation may adversely affect our financial results.</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after-tax income. Equally, increases in indirect taxes (including environmental taxes pertaining to the disposal of beverage containers and/or indirect taxes on beverages generally or energy drinks in particular) could affect our products’ affordability and reduce our sales.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Volatility of stock price may restrict sale opportunities.</w:t>
      </w:r>
    </w:p>
    <w:p>
      <w:pPr>
        <w:spacing w:after="0" w:line="2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parties as well as many other factors including litigation, many of which are beyond our control. We do not provide guidance on our future performance, including, but not limited to, our revenues, margins, product mix, operating expenses or net income. We may be unable to achieve analysts’ net revenue and/or earnings forecasts, which are based on their own projected revenues, sales volumes and sales mix of many product types and/or new products, certain of which are more profitable than others, as well as their own estimates of gross margin and operating expenses. There can be no assurance that we will achieve any projected levels or mixes of product sales and/or revenues and/or gross margins and/or operating profits and/or net income.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2014, our stock price high was $113.50 and our stock price low was $63.00.</w:t>
      </w:r>
    </w:p>
    <w:p>
      <w:pPr>
        <w:sectPr>
          <w:pgSz w:w="11900" w:h="16838" w:orient="portrait"/>
          <w:cols w:equalWidth="0" w:num="1">
            <w:col w:w="11420"/>
          </w:cols>
          <w:pgMar w:left="240" w:top="118" w:right="239" w:bottom="60" w:gutter="0" w:footer="0" w:header="0"/>
        </w:sectPr>
      </w:pPr>
    </w:p>
    <w:bookmarkStart w:id="20" w:name="page21"/>
    <w:bookmarkEnd w:id="20"/>
    <w:p>
      <w:pPr>
        <w:jc w:val="both"/>
        <w:ind w:right="20"/>
        <w:spacing w:after="0" w:line="272" w:lineRule="auto"/>
        <w:rPr>
          <w:sz w:val="20"/>
          <w:szCs w:val="20"/>
          <w:color w:val="auto"/>
        </w:rPr>
      </w:pPr>
      <w:r>
        <w:rPr>
          <w:rFonts w:ascii="Times New Roman" w:cs="Times New Roman" w:eastAsia="Times New Roman" w:hAnsi="Times New Roman"/>
          <w:sz w:val="20"/>
          <w:szCs w:val="20"/>
          <w:i w:val="1"/>
          <w:iCs w:val="1"/>
          <w:color w:val="auto"/>
        </w:rPr>
        <w:t>Provisions in our organizational documents and control by insiders may prevent changes in control even if such changes would be beneficial to other stockholders.</w:t>
      </w:r>
    </w:p>
    <w:p>
      <w:pPr>
        <w:spacing w:after="0" w:line="17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Our organizational documents may limit changes in control. Furthermore, as of February 17, 2015, Mr. Sacks and Mr. Schlosberg together may be deemed to beneficially own and/or exercise voting control over approximately 12% of our outstanding common stock. Consequently, Mr. Sacks and Mr. Schlosberg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cash flow may not be sufficient to fund our long term goals.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Although we currently have sufficient cash to support our planned operating activities in the current year, we may be unable to generate sufficient cash flow to support our capital expenditure plans and general operating activities in the future. In addition, the terms and/or availability of our credit facility and/or the activities of our debtors and/or creditors could affect the financing of our future growth.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investments in marketable securities are subject to risks which may cause losses and affect the liquidity of these investments.</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At December 31, 2014, we had $370.3 million in cash and cash equivalents, $781.1 million in short-term investments and $42.9 million of long-term investments. We have historically invested these amounts in U.S. Treasury bills, certificates of deposit, commercial paper, government agencies and municipal securities (which may have an auction reset feature), variable rate demand notes and money market funds meeting certain criteria.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fail to maintain effective disclosure controls and procedures and internal control over financial reporting on a consolidated basis, our stock price and investor confidence in our Company could be materially and adversely affected.</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are required to maintain both disclosure controls and procedures and internal control over financial reporting that are effective for the purposes described in “Part II, Item 9A – Controls and Procedures.” If we fail to do so, our business, results of operations, financial condition or the value of our stock could be materially harmed.</w:t>
      </w:r>
    </w:p>
    <w:p>
      <w:pPr>
        <w:spacing w:after="0" w:line="1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Litigation, legal proceedings, government and regulatory inquiries and/or proceedings could expose us to significant liabilities and thus negatively affect our financial results.</w:t>
      </w:r>
    </w:p>
    <w:p>
      <w:pPr>
        <w:spacing w:after="0" w:line="1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are a party, from time to time, to various litigation claims and legal proceedings, government and regulatory inquiries and/or proceedings, including, but not limited to, intellectual property, fraud, unfair business practices, false advertising, product liability, breach of contract claims, securities actions and shareholder derivative actions. Material legal proceedings are described more fully in “Part I, Item 3 – Legal Proceedings” and in “Part II, Item 8, Note 10” to our consolidated financial statements contained in this Form 10-K.</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Defending these proceedings can result in significant ongoing expenditures and the diversion of our management’s time and attention from the operation of our business, which could have a negative effect on our business operations.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must continually maintain, protect and/or upgrade our information technology systems.</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Information technology helps us operate efficiently, interface with customers, maintain financial accuracy and efficiency, and accurately produce our financial statements. If we do not allocate and effectively manage the resources necessary to build and sustain the proper technology infrastructure, we could be subject to transaction errors, processing inefficiencies, the loss of customers, business disruptions, or the loss of or damage to intellectual property through security breaches, including cybersecurity attacks. Cybersecurity attacks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We believe that we have adopted appropriate measures to mitigate potential risks to our technology and our operations from these information technology-related disruptions. However,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given the unpredictability of the timing, nature and scope of such disruptions, we could potentially be subject to operational interruption, damage to our brand image and private data exposure. Moreover, if our data management systems, including our SAP enterprise resource planning system, do not effectively collect, store, process and report relevant data for the operation of our business, whether due to equipment malfunction or constraints, software deficiencies, cybersecurity attack,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ectPr>
          <w:pgSz w:w="11900" w:h="16838" w:orient="portrait"/>
          <w:cols w:equalWidth="0" w:num="1">
            <w:col w:w="11420"/>
          </w:cols>
          <w:pgMar w:left="240" w:top="114" w:right="239" w:bottom="0" w:gutter="0" w:footer="0" w:header="0"/>
        </w:sectPr>
      </w:pPr>
    </w:p>
    <w:bookmarkStart w:id="21" w:name="page22"/>
    <w:bookmarkEnd w:id="21"/>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32"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3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Our owned corporate office is located at 1 Monster Way, Corona, California 92879, and consists of an approximately 141,000 square-foot, free standing, six-story building. Our main warehouse and distribution space is located in a leased 346,495 square-foot building in Corona, California. In addition, we lease significantly smaller office and warehouse space both domestically and in certain international locations.</w:t>
      </w:r>
    </w:p>
    <w:p>
      <w:pPr>
        <w:spacing w:after="0" w:line="16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On October 17, 2012, Wendy Crossland and Richard Fournier filed a lawsuit in the Superior Court of the State of California, County of Riverside, styled </w:t>
      </w:r>
      <w:r>
        <w:rPr>
          <w:rFonts w:ascii="Times New Roman" w:cs="Times New Roman" w:eastAsia="Times New Roman" w:hAnsi="Times New Roman"/>
          <w:sz w:val="20"/>
          <w:szCs w:val="20"/>
          <w:i w:val="1"/>
          <w:iCs w:val="1"/>
          <w:color w:val="auto"/>
        </w:rPr>
        <w:t>Wendy Crossland and Richard Fournier v. Monster Beverage Corporation</w:t>
      </w:r>
      <w:r>
        <w:rPr>
          <w:rFonts w:ascii="Times New Roman" w:cs="Times New Roman" w:eastAsia="Times New Roman" w:hAnsi="Times New Roman"/>
          <w:sz w:val="20"/>
          <w:szCs w:val="20"/>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 and a motion to strike the plaintiffs’ complaint on November 19, 2012, and the plaintiffs filed a first amended complaint on December 19, 2012. The Company filed its answer to the first amended complaint on June 7, 2013. The parties attended a court ordered mediation on January 23, 2014. Discovery has commenced and trial has been scheduled for August 21, 2015.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 position or results of operations in the event any damages were awarded.</w:t>
      </w:r>
    </w:p>
    <w:p>
      <w:pPr>
        <w:spacing w:after="0" w:line="18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Securities Litigation </w:t>
      </w:r>
      <w:r>
        <w:rPr>
          <w:rFonts w:ascii="Times New Roman" w:cs="Times New Roman" w:eastAsia="Times New Roman" w:hAnsi="Times New Roman"/>
          <w:sz w:val="20"/>
          <w:szCs w:val="20"/>
          <w:color w:val="auto"/>
        </w:rPr>
        <w:t>– On September 11, 2008, a federal securities class action complaint styled</w:t>
      </w:r>
      <w:r>
        <w:rPr>
          <w:rFonts w:ascii="Times New Roman" w:cs="Times New Roman" w:eastAsia="Times New Roman" w:hAnsi="Times New Roman"/>
          <w:sz w:val="20"/>
          <w:szCs w:val="20"/>
          <w:i w:val="1"/>
          <w:iCs w:val="1"/>
          <w:color w:val="auto"/>
        </w:rPr>
        <w:t xml:space="preserve"> Cunha v. Hansen Natural Corp., et al. </w:t>
      </w:r>
      <w:r>
        <w:rPr>
          <w:rFonts w:ascii="Times New Roman" w:cs="Times New Roman" w:eastAsia="Times New Roman" w:hAnsi="Times New Roman"/>
          <w:sz w:val="20"/>
          <w:szCs w:val="20"/>
          <w:color w:val="auto"/>
        </w:rPr>
        <w:t xml:space="preserve">was filed in the United States District Court for the Central District of California (the “District Court”). On September 17, 2008, a second federal securities class action complaint styled </w:t>
      </w:r>
      <w:r>
        <w:rPr>
          <w:rFonts w:ascii="Times New Roman" w:cs="Times New Roman" w:eastAsia="Times New Roman" w:hAnsi="Times New Roman"/>
          <w:sz w:val="20"/>
          <w:szCs w:val="20"/>
          <w:i w:val="1"/>
          <w:iCs w:val="1"/>
          <w:color w:val="auto"/>
        </w:rPr>
        <w:t>Brown v. Hansen Natural Corp., et al.</w:t>
      </w:r>
      <w:r>
        <w:rPr>
          <w:rFonts w:ascii="Times New Roman" w:cs="Times New Roman" w:eastAsia="Times New Roman" w:hAnsi="Times New Roman"/>
          <w:sz w:val="20"/>
          <w:szCs w:val="20"/>
          <w:color w:val="auto"/>
        </w:rPr>
        <w:t xml:space="preserve"> was also filed in the District Court. After the District Court consolidated the two actions and appointed the Structural Ironworkers Local Union #1 Pension Fund as lead plaintiff, a Consolidated Complaint for Violations of Federal Securities Laws was filed on August 28, 2009 (the “Consolidated Class Action Complaint”).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20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District Court dismissed the Consolidated Class Action Complaint, with leave to amend, on July 12, 2010. Plaintiff thereafter filed a Consolidated Amended Class Action Complaint for Violations of Federal Securities Laws on August 27, 2010 (the “Amended Class Action Complaint”). While similar in many respects to the Consolidated Class Action Complaint, the Amended Class Action Complaint dropped certain of the allegations set forth in the Consolidated Class Action Complaint and made certain new allegations, including that the Company engaged in “channel stuffing” during the Class Period that rendered false or misleading the Company’s reported sales results and certain other statements made by the defendants. In addition, it no longer named Thomas J. Kelly as a defendant.</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September 4, 2012, the District Court dismissed certain of the claims in the Amended Class Action Complaint, including plaintiff’s allegations relating to promotional expenses, but denied defendants’ motion to dismiss with regard to the majority of plaintiff’s claims, including plaintiff’s channel stuffing allegations. Plaintiff filed a motion seeking class certification on December 6, 2012, which the court denied, without prejudice, on January 17, 2014.</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Following a mediation conducted by an independent mediator, the Company entered into a Stipulation of Settlement on April 16, 2014 to resolve the litigation. Following a fairness hearing, on January 29, 2015, the District Court granted final approval of the settlement and entered a final judgment dismissing the action with prejudice.</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Under the terms of the settlement, certain of the Company’s insurance carriers paid $16.25 million into an escrow account for distribution to a settlement class, certified by the District Court for settlement purposes only and consisting of all persons who purchased or otherwise acquired the Company’s stock during the Class Period (with certain exclusions as specified in the settlement agreement). Under the settlement, defendants and various of their related persons and entities received a full release of all claims that were or could have been brought in the action as well as all claims that arise out of, are based upon or relate to the allegations, transactions, facts, representations, omissions or other matters involved in the complaints filed in the action or any statement communicated to the public during the Class Period, and the purchase, acquisition or sale of the Company’s stock during the Class Period.</w:t>
      </w:r>
    </w:p>
    <w:p>
      <w:pPr>
        <w:sectPr>
          <w:pgSz w:w="11900" w:h="16838" w:orient="portrait"/>
          <w:cols w:equalWidth="0" w:num="1">
            <w:col w:w="11420"/>
          </w:cols>
          <w:pgMar w:left="240" w:top="114" w:right="239" w:bottom="56" w:gutter="0" w:footer="0" w:header="0"/>
        </w:sectPr>
      </w:pPr>
    </w:p>
    <w:bookmarkStart w:id="22" w:name="page23"/>
    <w:bookmarkEnd w:id="22"/>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settlement contained no admission of any liability or wrongdoing on the part of the defendants, each of whom continues to deny all of the allegations against them and believes that the claims were without merit. Because the full amount of the settlement was paid by the Company’s insurance carriers, the settlement did not have an effect on the Company’s results of operations.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State Attorney General Inquiry </w:t>
      </w:r>
      <w:r>
        <w:rPr>
          <w:rFonts w:ascii="Times New Roman" w:cs="Times New Roman" w:eastAsia="Times New Roman" w:hAnsi="Times New Roman"/>
          <w:sz w:val="20"/>
          <w:szCs w:val="20"/>
          <w:color w:val="auto"/>
        </w:rPr>
        <w:t>– In July 2012, the Company received a subpoena from the Attorney General for the State of New York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connection with its investigation concerning the Company’s advertising, marketing, promotion, ingredients, usage and sale of its Monster Energy® brand of energy drinks. Production of documents pursuant to that subpoena was completed in approximately May 2014.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August 6, 2014, the Attorney General for the State of New York issued a second subpoena seeking additional documents and the deposition of a Company employee. On September 8, 2014, the Company moved to quash the second subpoena. The motion has been fully briefed and argument has been scheduled on the motion for March 17, 2015.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9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San Francisco City Attorney Litigation </w:t>
      </w:r>
      <w:r>
        <w:rPr>
          <w:rFonts w:ascii="Times New Roman" w:cs="Times New Roman" w:eastAsia="Times New Roman" w:hAnsi="Times New Roman"/>
          <w:sz w:val="20"/>
          <w:szCs w:val="20"/>
          <w:color w:val="auto"/>
        </w:rPr>
        <w:t>– On October 31, 2012, the Company received a written request for information from the City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1" w:lineRule="exact"/>
        <w:rPr>
          <w:sz w:val="20"/>
          <w:szCs w:val="20"/>
          <w:color w:val="auto"/>
        </w:rPr>
      </w:pPr>
    </w:p>
    <w:p>
      <w:pPr>
        <w:ind w:firstLine="8"/>
        <w:spacing w:after="0" w:line="246" w:lineRule="auto"/>
        <w:tabs>
          <w:tab w:leader="none" w:pos="23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“Reformulate its products to lower the caffeine content to safe levels”; - (ii) “Provide adequate warning labels”; (iii) “Cease promoting over-consumption in marketing”; (iv) “Cease use of alcohol and drug references in marketing”; and (v) “Cease targeting minors.”</w:t>
      </w:r>
    </w:p>
    <w:p>
      <w:pPr>
        <w:spacing w:after="0" w:line="191" w:lineRule="exact"/>
        <w:rPr>
          <w:rFonts w:ascii="Times New Roman" w:cs="Times New Roman" w:eastAsia="Times New Roman" w:hAnsi="Times New Roman"/>
          <w:sz w:val="20"/>
          <w:szCs w:val="20"/>
          <w:color w:val="auto"/>
        </w:rPr>
      </w:pPr>
    </w:p>
    <w:p>
      <w:pPr>
        <w:jc w:val="both"/>
        <w:ind w:firstLine="656"/>
        <w:spacing w:after="0" w:line="242" w:lineRule="auto"/>
        <w:tabs>
          <w:tab w:leader="none" w:pos="911"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The Company Action </w:t>
      </w:r>
      <w:r>
        <w:rPr>
          <w:rFonts w:ascii="Times New Roman" w:cs="Times New Roman" w:eastAsia="Times New Roman" w:hAnsi="Times New Roman"/>
          <w:sz w:val="20"/>
          <w:szCs w:val="20"/>
          <w:color w:val="auto"/>
        </w:rPr>
        <w:t>– On April 29, 2013, the Company and its wholly owned subsidiary, Monster Energy Company, filed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complaint for declaratory and injunctive relief against the San Francisco City Attorney (the “Company Action”) in United States District Court for the Central District of California (the “Central District Court”), styled </w:t>
      </w:r>
      <w:r>
        <w:rPr>
          <w:rFonts w:ascii="Times New Roman" w:cs="Times New Roman" w:eastAsia="Times New Roman" w:hAnsi="Times New Roman"/>
          <w:sz w:val="20"/>
          <w:szCs w:val="20"/>
          <w:i w:val="1"/>
          <w:iCs w:val="1"/>
          <w:color w:val="auto"/>
        </w:rPr>
        <w:t>Monster Beverage Corp., et al. v. Dennis Herrera</w:t>
      </w:r>
      <w:r>
        <w:rPr>
          <w:rFonts w:ascii="Times New Roman" w:cs="Times New Roman" w:eastAsia="Times New Roman" w:hAnsi="Times New Roman"/>
          <w:sz w:val="20"/>
          <w:szCs w:val="20"/>
          <w:color w:val="auto"/>
        </w:rPr>
        <w:t>. The Company sought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 Action, arguing in part that the complaint should be dismissed in light of the San Francisco Action (described below) filed on May 6, 2013. On August 22, 2013, the Central District Court granted in part and denied in part the City Attorney’s motion. On October 17, 2013 (after the San Francisco Action, described below, was remanded to San Francisco Superior Court), the City Attorney filed a renewed motion to dismiss the Company Action and on December 16, 2013, the Central District Court granted the City Attorney’s renewed motion, dismissing the Company Action. The Company filed a Notice of Appeal to the Ninth Circuit on December 18, 2013. The Company filed its opening brief on November 28, 2014. The City Attorney’s filed an answering brief on February 13, 2015, and the Company’s reply brief is currently due on February 27, 2015.</w:t>
      </w:r>
    </w:p>
    <w:p>
      <w:pPr>
        <w:spacing w:after="0" w:line="199" w:lineRule="exact"/>
        <w:rPr>
          <w:rFonts w:ascii="Times New Roman" w:cs="Times New Roman" w:eastAsia="Times New Roman" w:hAnsi="Times New Roman"/>
          <w:sz w:val="20"/>
          <w:szCs w:val="20"/>
          <w:color w:val="auto"/>
        </w:rPr>
      </w:pPr>
    </w:p>
    <w:p>
      <w:pPr>
        <w:jc w:val="both"/>
        <w:ind w:firstLine="656"/>
        <w:spacing w:after="0" w:line="257" w:lineRule="auto"/>
        <w:tabs>
          <w:tab w:leader="none" w:pos="953"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The San Francisco Action </w:t>
      </w:r>
      <w:r>
        <w:rPr>
          <w:rFonts w:ascii="Times New Roman" w:cs="Times New Roman" w:eastAsia="Times New Roman" w:hAnsi="Times New Roman"/>
          <w:sz w:val="19"/>
          <w:szCs w:val="19"/>
          <w:color w:val="auto"/>
        </w:rPr>
        <w:t>— On May 6, 2013, the San Francisco City Attorney filed a complaint for declaratory and injunctive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relief, civil penalties and restitution for alleged violation of California’s Unfair Competition Law, Business &amp; Professions Code sections 17200, </w:t>
      </w:r>
      <w:r>
        <w:rPr>
          <w:rFonts w:ascii="Times New Roman" w:cs="Times New Roman" w:eastAsia="Times New Roman" w:hAnsi="Times New Roman"/>
          <w:sz w:val="19"/>
          <w:szCs w:val="19"/>
          <w:i w:val="1"/>
          <w:iCs w:val="1"/>
          <w:color w:val="auto"/>
        </w:rPr>
        <w:t>et seq., styled People Of The State Of California ex rel. Dennis Herrera, San Francisco City Attorney v. Monster Beverage Corporation</w:t>
      </w:r>
      <w:r>
        <w:rPr>
          <w:rFonts w:ascii="Times New Roman" w:cs="Times New Roman" w:eastAsia="Times New Roman" w:hAnsi="Times New Roman"/>
          <w:sz w:val="19"/>
          <w:szCs w:val="19"/>
          <w:color w:val="auto"/>
        </w:rPr>
        <w:t>, in San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Francisco Superior Court (the “San Francisco Action”). The City Attorney alleges that the Company (1) mislabeled its products as a dietary supplement, in violation of California’s Sherman Food, Drug and Cosmetic Law, California Health &amp; Safety Code sections 109875 et. seq.;</w:t>
      </w:r>
    </w:p>
    <w:p>
      <w:pPr>
        <w:spacing w:after="0" w:line="4" w:lineRule="exact"/>
        <w:rPr>
          <w:rFonts w:ascii="Times New Roman" w:cs="Times New Roman" w:eastAsia="Times New Roman" w:hAnsi="Times New Roman"/>
          <w:sz w:val="19"/>
          <w:szCs w:val="19"/>
          <w:color w:val="auto"/>
        </w:rPr>
      </w:pPr>
    </w:p>
    <w:p>
      <w:pPr>
        <w:jc w:val="both"/>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 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sought a declaration that the Company has engaged in unfair and unlawful business acts and practices in violation of the Unfair Competition Law; an injunction from performing or proposing to perform any acts in violation of the Unfair Competition Law; restitution; and civil penalties. On June 3, 2013, the Company removed the San Francisco Action to the United States District Court for the Northern District of California (the “Northern District Court”). On July 3, 2013, the City Attorney filed a motion to remand the San Francisco Action back to state court. On September 18, 2013, the Northern District Court granted the City Attorney’s motion to remand the San Francisco Action back to state court.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January 15, 2014, the Company filed a demurrer to and motion to strike allegations in the complaint in the San Francisco Action. On March 5, 2014, the Court overruled the demurrer, granted the motion to strike as to one theory for relief pleaded by the City Attorney, and lifted the stay on discovery.</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March 20, 2014, the City Attorney filed an amended complaint, adding allegations supporting the theory for relief as to which the Court had granted the motion to strike. On April 18, 2014, the Company filed a renewed motion to strike, challenging the theory for relief previously rejected by the Court, as well as a motion asking the Court to bifurcate and/or stay claims relating to the safety of Monster Energy® drinks, pending resolution of the ongoing FDA investigation of the safety and labeling of food products to which caffeine is added. On May 22, 2014, the Court denied the Company’s motion to strike and motion to bifurcate and/or stay claims relating to safety.</w:t>
      </w:r>
    </w:p>
    <w:p>
      <w:pPr>
        <w:sectPr>
          <w:pgSz w:w="11900" w:h="16838" w:orient="portrait"/>
          <w:cols w:equalWidth="0" w:num="1">
            <w:col w:w="11420"/>
          </w:cols>
          <w:pgMar w:left="240" w:top="118" w:right="239" w:bottom="50" w:gutter="0" w:footer="0" w:header="0"/>
        </w:sectPr>
      </w:pPr>
    </w:p>
    <w:bookmarkStart w:id="23" w:name="page24"/>
    <w:bookmarkEnd w:id="23"/>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June 16, 2014, the Company filed a petition for writ of mandate with the Court of Appeal, asking for a writ directing the trial court to vacate its order denying the Company’s motion to bifurcate and/or stay the San Francisco Action, and instead to stay proceedings pending FDA’s investigation. On June 19, 2014, the Court of Appeal denied the petition. On June 25, 2014, the Company filed a petition for review with the California Supreme Court. On July 23, 2014, the Supreme Court denied the petition.</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August 27, 2014, the Court issued an order setting the case for a two-week bench trial beginning on February 8, 2016. On September 5, 2014, the City Attorney filed a second amended complaint, adding Monster Energy Company as a defendant. The Company and Monster Energy Company filed answers to the second amended complaint on October 4, 2014 and November 10, 2014, respectively. A case management conference is scheduled for March 10, 2015. Discovery is ongoing.</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December 31, 2014 and December 31, 2013, the Company’s consolidated balance sheets include accrued loss contingencies of approximately $3.7 million and $17.0 million, respectively, and receivables for insurance reimbursements of approximately $0.0 million and $16.25 million, respectively.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19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5. MARKET FOR THE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Market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Company’s common stock began trading in the over-the-counter market on November 8, 1990 and was subsequently quoted on the Nasdaq Capital Market under the symbol “HANS”. On July 5, 2007, the Company’s common stock began trading on the Nasdaq Global Select Market under the same symbol, “HANS”. On January 5, 2012, stockholders of the Company approved the Company’s name change from Hansen Natural Corporation to Monster Beverage Corporation. In addition, on January 9, 2012, the Company’s common stock began trading under the symbol “MNST”. As of February 17, 2015, there were 170,016,322 shares of the Company’s common stock outstanding held by approximately 247 holders of record. The holders of record do not include those stockholders whose shares are held of record by banks, brokers and other financial institutions.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Price and Dividend Information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high and low per share sales price of our common stock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Year Ended December 31, 2014</w:t>
            </w:r>
          </w:p>
        </w:tc>
        <w:tc>
          <w:tcPr>
            <w:tcW w:w="1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High</w:t>
            </w: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Low</w:t>
            </w:r>
          </w:p>
        </w:tc>
      </w:tr>
      <w:tr>
        <w:trPr>
          <w:trHeight w:val="200"/>
        </w:trPr>
        <w:tc>
          <w:tcPr>
            <w:tcW w:w="37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First Quarter</w:t>
            </w:r>
          </w:p>
        </w:tc>
        <w:tc>
          <w:tcPr>
            <w:tcW w:w="146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75.63</w:t>
            </w:r>
          </w:p>
        </w:tc>
        <w:tc>
          <w:tcPr>
            <w:tcW w:w="44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66.31</w:t>
            </w: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Second Quarter</w:t>
            </w:r>
          </w:p>
        </w:tc>
        <w:tc>
          <w:tcPr>
            <w:tcW w:w="14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73.38</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63.00</w:t>
            </w: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Third Quarter</w:t>
            </w:r>
          </w:p>
        </w:tc>
        <w:tc>
          <w:tcPr>
            <w:tcW w:w="14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94.93</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63.82</w:t>
            </w:r>
          </w:p>
        </w:tc>
      </w:tr>
      <w:tr>
        <w:trPr>
          <w:trHeight w:val="258"/>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Fourth Quarter</w:t>
            </w:r>
          </w:p>
        </w:tc>
        <w:tc>
          <w:tcPr>
            <w:tcW w:w="14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113.50</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89.56</w:t>
            </w:r>
          </w:p>
        </w:tc>
      </w:tr>
    </w:tbl>
    <w:p>
      <w:pPr>
        <w:sectPr>
          <w:pgSz w:w="11900" w:h="16838" w:orient="portrait"/>
          <w:cols w:equalWidth="0" w:num="1">
            <w:col w:w="11420"/>
          </w:cols>
          <w:pgMar w:left="240" w:top="118"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Year Ended December 31, 2013</w:t>
            </w:r>
          </w:p>
        </w:tc>
        <w:tc>
          <w:tcPr>
            <w:tcW w:w="1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High</w:t>
            </w: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Low</w:t>
            </w:r>
          </w:p>
        </w:tc>
      </w:tr>
      <w:tr>
        <w:trPr>
          <w:trHeight w:val="200"/>
        </w:trPr>
        <w:tc>
          <w:tcPr>
            <w:tcW w:w="37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First Quarter</w:t>
            </w:r>
          </w:p>
        </w:tc>
        <w:tc>
          <w:tcPr>
            <w:tcW w:w="146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54.34</w:t>
            </w:r>
          </w:p>
        </w:tc>
        <w:tc>
          <w:tcPr>
            <w:tcW w:w="44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45.38</w:t>
            </w: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Second Quarter</w:t>
            </w:r>
          </w:p>
        </w:tc>
        <w:tc>
          <w:tcPr>
            <w:tcW w:w="14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62.94</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47.16</w:t>
            </w: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Third Quarter</w:t>
            </w:r>
          </w:p>
        </w:tc>
        <w:tc>
          <w:tcPr>
            <w:tcW w:w="14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66.12</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51.85</w:t>
            </w:r>
          </w:p>
        </w:tc>
      </w:tr>
      <w:tr>
        <w:trPr>
          <w:trHeight w:val="258"/>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Fourth Quarter</w:t>
            </w:r>
          </w:p>
        </w:tc>
        <w:tc>
          <w:tcPr>
            <w:tcW w:w="14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68.33</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51.15</w:t>
            </w:r>
          </w:p>
        </w:tc>
      </w:tr>
    </w:tbl>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per share sales prices of our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We have not paid cash dividends to our stockholders since our inception and do not anticipate paying cash dividends in the foreseeable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April 7, 2013, the Company’s Board of Directors authorized a new share repurchase program for the repurchase of up to $200.0 million of the Company’s outstanding common stock (the “April 2013 Repurchase Plan”). During the year ended December 31, 2014, no shares of common stock were purchased under the April 2013 Repurchase Plan. During the year ended December 31, 2013, the Company purchased 0.95 million shares of common stock at an average purchase price of $56.98 per share for a total amount of $54.2 million (excluding broker commissions).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2014, 0.09 million shares were repurchased from employees in lieu of cash payments for options exercised or withholding taxes due for a total amount of $8.2 million. While such purchases are considered common stock repurchases, they are not counted as purchases against our authorized share repurchase programs, including the April 2013 Repurchase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sets forth information as of December 31, 2014 with respect to shares of our common stock that may be issued under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remaining available for future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 to</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Weighted-average</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issuance under equity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 issued upon exercise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exercise price of</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 plans (excluding</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outstanding options,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securities reflected in column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r>
        <w:trPr>
          <w:trHeight w:val="194"/>
        </w:trPr>
        <w:tc>
          <w:tcPr>
            <w:tcW w:w="10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Plan category</w:t>
            </w:r>
          </w:p>
        </w:tc>
        <w:tc>
          <w:tcPr>
            <w:tcW w:w="3200" w:type="dxa"/>
            <w:vAlign w:val="bottom"/>
          </w:tcPr>
          <w:p>
            <w:pPr>
              <w:spacing w:after="0"/>
              <w:rPr>
                <w:sz w:val="16"/>
                <w:szCs w:val="16"/>
                <w:color w:val="auto"/>
              </w:rPr>
            </w:pPr>
          </w:p>
        </w:tc>
        <w:tc>
          <w:tcPr>
            <w:tcW w:w="2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(a)</w:t>
            </w:r>
          </w:p>
        </w:tc>
        <w:tc>
          <w:tcPr>
            <w:tcW w:w="2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(b)</w:t>
            </w:r>
          </w:p>
        </w:tc>
        <w:tc>
          <w:tcPr>
            <w:tcW w:w="2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1"/>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2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200" w:type="dxa"/>
            <w:vAlign w:val="bottom"/>
            <w:gridSpan w:val="2"/>
            <w:vMerge w:val="continue"/>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13,214,554</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$19.73</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11,384,395</w:t>
            </w:r>
          </w:p>
        </w:tc>
        <w:tc>
          <w:tcPr>
            <w:tcW w:w="0" w:type="dxa"/>
            <w:vAlign w:val="bottom"/>
          </w:tcPr>
          <w:p>
            <w:pPr>
              <w:spacing w:after="0"/>
              <w:rPr>
                <w:sz w:val="1"/>
                <w:szCs w:val="1"/>
                <w:color w:val="auto"/>
              </w:rPr>
            </w:pPr>
          </w:p>
        </w:tc>
      </w:tr>
      <w:tr>
        <w:trPr>
          <w:trHeight w:val="30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2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31"/>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13,214,554</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$19.73</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11,384,395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188595</wp:posOffset>
            </wp:positionV>
            <wp:extent cx="4587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205740</wp:posOffset>
            </wp:positionV>
            <wp:extent cx="45878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graph shows a five-year comparison of cumulative total returns:</w:t>
      </w:r>
      <w:r>
        <w:rPr>
          <w:rFonts w:ascii="Times New Roman" w:cs="Times New Roman" w:eastAsia="Times New Roman" w:hAnsi="Times New Roman"/>
          <w:sz w:val="12"/>
          <w:szCs w:val="12"/>
          <w:color w:val="auto"/>
        </w:rPr>
        <w:t>1</w:t>
      </w:r>
    </w:p>
    <w:p>
      <w:pPr>
        <w:sectPr>
          <w:pgSz w:w="11900" w:h="16838" w:orient="portrait"/>
          <w:cols w:equalWidth="0" w:num="1">
            <w:col w:w="11420"/>
          </w:cols>
          <w:pgMar w:left="240" w:top="118" w:right="2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989330</wp:posOffset>
            </wp:positionH>
            <wp:positionV relativeFrom="page">
              <wp:posOffset>88900</wp:posOffset>
            </wp:positionV>
            <wp:extent cx="5591175" cy="3601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591175"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Annual return assumes reinvestment of dividends. Cumulative total return assumes an initial investment of $100 on December 31, 2009. The Company’s current self-selected peer group is comprised of TCCC, DPS Group, National Beverage Corporation, Jones Soda Company and Cott Corporation.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SELECTED FINANCIAL DATA</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consolidated statements of operations data set forth below with respect to each of the fiscal years ended December 31, 2012 through 2014 and the balance sheet data as of December 31, 2014 and 2013, are derived from our audited consolidated financial statements included herein, and should be read in conjunction with those financial statements and notes thereto, and with Management’s Discussion and Analysis of Financial Condition and Results of Operations included as Part II, Item 7 of this Annual Report on Form 10-K. The consolidated statements of operations data for the fiscal years ended December 31, 2011 and 2010 and the balance sheet data as of December 31, 2012, 2011 and 2010 are derived from the Company’s audited consolidated financial statements not included herein.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thousands, except</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per share</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8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2014</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2013</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2012</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2011</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2010</w:t>
            </w:r>
          </w:p>
        </w:tc>
      </w:tr>
      <w:tr>
        <w:trPr>
          <w:trHeight w:val="252"/>
        </w:trPr>
        <w:tc>
          <w:tcPr>
            <w:tcW w:w="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Gross sales*¹</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2,827,092</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2,586,531</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2,373,499</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1,950,490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1,488,516</w:t>
            </w:r>
          </w:p>
        </w:tc>
      </w:tr>
      <w:tr>
        <w:trPr>
          <w:trHeight w:val="328"/>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sales¹</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2,464,867</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2,246,428</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2,060,702</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1,703,230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1,303,942</w:t>
            </w:r>
          </w:p>
        </w:tc>
      </w:tr>
      <w:tr>
        <w:trPr>
          <w:trHeight w:val="351"/>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Gross profit¹</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1,339,810</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1,172,931</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1,065,656</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894,309</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680,240</w:t>
            </w:r>
          </w:p>
        </w:tc>
      </w:tr>
      <w:tr>
        <w:trPr>
          <w:trHeight w:val="336"/>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Gross profit as a percentage to net sales</w:t>
            </w:r>
          </w:p>
        </w:tc>
        <w:tc>
          <w:tcPr>
            <w:tcW w:w="880" w:type="dxa"/>
            <w:vAlign w:val="bottom"/>
          </w:tcPr>
          <w:p>
            <w:pPr>
              <w:spacing w:after="0"/>
              <w:rPr>
                <w:sz w:val="24"/>
                <w:szCs w:val="24"/>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54.4%</w:t>
            </w:r>
          </w:p>
        </w:tc>
        <w:tc>
          <w:tcPr>
            <w:tcW w:w="380" w:type="dxa"/>
            <w:vAlign w:val="bottom"/>
          </w:tcPr>
          <w:p>
            <w:pPr>
              <w:spacing w:after="0"/>
              <w:rPr>
                <w:sz w:val="24"/>
                <w:szCs w:val="24"/>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52.2%</w:t>
            </w:r>
          </w:p>
        </w:tc>
        <w:tc>
          <w:tcPr>
            <w:tcW w:w="360" w:type="dxa"/>
            <w:vAlign w:val="bottom"/>
          </w:tcPr>
          <w:p>
            <w:pPr>
              <w:spacing w:after="0"/>
              <w:rPr>
                <w:sz w:val="24"/>
                <w:szCs w:val="24"/>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51.7%</w:t>
            </w:r>
          </w:p>
        </w:tc>
        <w:tc>
          <w:tcPr>
            <w:tcW w:w="360" w:type="dxa"/>
            <w:vAlign w:val="bottom"/>
          </w:tcPr>
          <w:p>
            <w:pPr>
              <w:spacing w:after="0"/>
              <w:rPr>
                <w:sz w:val="24"/>
                <w:szCs w:val="24"/>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52.5%</w:t>
            </w:r>
          </w:p>
        </w:tc>
        <w:tc>
          <w:tcPr>
            <w:tcW w:w="3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52.2%</w:t>
            </w:r>
          </w:p>
        </w:tc>
      </w:tr>
      <w:tr>
        <w:trPr>
          <w:trHeight w:val="258"/>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income²</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747,505</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572,916</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550,623</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456,423</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347,814</w:t>
            </w:r>
          </w:p>
        </w:tc>
      </w:tr>
      <w:tr>
        <w:trPr>
          <w:trHeight w:val="351"/>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483,185</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338,661</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340,020</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286,219</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212,029</w:t>
            </w:r>
          </w:p>
        </w:tc>
      </w:tr>
      <w:tr>
        <w:trPr>
          <w:trHeight w:val="322"/>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per common share:</w:t>
            </w: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Basic</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2.89</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2.03</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1.96</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1.62</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1.20</w:t>
            </w:r>
          </w:p>
        </w:tc>
      </w:tr>
      <w:tr>
        <w:trPr>
          <w:trHeight w:val="258"/>
        </w:trPr>
        <w:tc>
          <w:tcPr>
            <w:tcW w:w="20" w:type="dxa"/>
            <w:vAlign w:val="bottom"/>
          </w:tcPr>
          <w:p>
            <w:pPr>
              <w:spacing w:after="0"/>
              <w:rPr>
                <w:sz w:val="22"/>
                <w:szCs w:val="22"/>
                <w:color w:val="auto"/>
              </w:rPr>
            </w:pPr>
          </w:p>
        </w:tc>
        <w:tc>
          <w:tcPr>
            <w:tcW w:w="3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Diluted</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2.77</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1.95</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1.86</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1.53</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1.14</w:t>
            </w:r>
          </w:p>
        </w:tc>
      </w:tr>
      <w:tr>
        <w:trPr>
          <w:trHeight w:val="351"/>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cash equivalents and investments</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1,194,397</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623,388</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340,949</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793,807</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643,680</w:t>
            </w:r>
          </w:p>
        </w:tc>
      </w:tr>
      <w:tr>
        <w:trPr>
          <w:trHeight w:val="446"/>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1,938,875</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1,420,509</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1,043,325</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1,362,399</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1,146,950</w:t>
            </w:r>
          </w:p>
        </w:tc>
      </w:tr>
      <w:tr>
        <w:trPr>
          <w:trHeight w:val="446"/>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1,515,150</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992,279</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644,397</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979,158</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828,398</w:t>
            </w:r>
          </w:p>
        </w:tc>
      </w:tr>
    </w:tbl>
    <w:p>
      <w:pPr>
        <w:spacing w:after="0" w:line="19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¹Includes $15.0 million, $14.8 million, $13.2 million, $13.0 million and $10.0 million for the years ended December 31, 2014, 2013, 2012, 2011 and 2010, respectively, related to the recognition of deferred revenue.</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²Includes ($0.2) million, $10.8 million, $1.5 million, $1.1 million and $0.3 million for the years ended December 31, 2014, 2013, 2012, 2011 and 2010, respectively, related to expenditures attributable to the costs associated with terminating existing distributors.</w:t>
      </w:r>
    </w:p>
    <w:p>
      <w:pPr>
        <w:spacing w:after="0" w:line="16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w:t>
      </w:r>
    </w:p>
    <w:p>
      <w:pPr>
        <w:sectPr>
          <w:pgSz w:w="11900" w:h="16866" w:orient="portrait"/>
          <w:cols w:equalWidth="0" w:num="1">
            <w:col w:w="11420"/>
          </w:cols>
          <w:pgMar w:left="240" w:top="1440" w:right="239" w:bottom="0" w:gutter="0" w:footer="0" w:header="0"/>
        </w:sectPr>
      </w:pPr>
    </w:p>
    <w:bookmarkStart w:id="26" w:name="page27"/>
    <w:bookmarkEnd w:id="26"/>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sales provides a useful measure of our operating performance. Gross sales is not a measure that is recognized under generally accepted accounting principles in the United States of America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 (See “Part II, Item 7 –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ind w:right="1260"/>
        <w:spacing w:after="0" w:line="273"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overview provides our perspective on the individual sections of MD&amp;A. MD&amp;A includes the following sections:</w:t>
      </w:r>
    </w:p>
    <w:p>
      <w:pPr>
        <w:spacing w:after="0" w:line="225" w:lineRule="exact"/>
        <w:rPr>
          <w:sz w:val="20"/>
          <w:szCs w:val="20"/>
          <w:color w:val="auto"/>
        </w:rPr>
      </w:pPr>
    </w:p>
    <w:p>
      <w:pPr>
        <w:ind w:left="1080" w:right="140" w:hanging="424"/>
        <w:spacing w:after="0" w:line="260"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Our Business </w:t>
      </w:r>
      <w:r>
        <w:rPr>
          <w:rFonts w:ascii="Times New Roman" w:cs="Times New Roman" w:eastAsia="Times New Roman" w:hAnsi="Times New Roman"/>
          <w:sz w:val="20"/>
          <w:szCs w:val="20"/>
          <w:color w:val="auto"/>
        </w:rPr>
        <w:t>– a general description of our business; the value drivers of our business; and opportunities and risks facing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w:t>
      </w:r>
    </w:p>
    <w:p>
      <w:pPr>
        <w:spacing w:after="0" w:line="1" w:lineRule="exact"/>
        <w:rPr>
          <w:rFonts w:ascii="Times New Roman" w:cs="Times New Roman" w:eastAsia="Times New Roman" w:hAnsi="Times New Roman"/>
          <w:sz w:val="18"/>
          <w:szCs w:val="18"/>
          <w:color w:val="auto"/>
        </w:rPr>
      </w:pPr>
    </w:p>
    <w:p>
      <w:pPr>
        <w:ind w:left="1080" w:right="120" w:hanging="424"/>
        <w:spacing w:after="0" w:line="260"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Results of Operations </w:t>
      </w:r>
      <w:r>
        <w:rPr>
          <w:rFonts w:ascii="Times New Roman" w:cs="Times New Roman" w:eastAsia="Times New Roman" w:hAnsi="Times New Roman"/>
          <w:sz w:val="20"/>
          <w:szCs w:val="20"/>
          <w:color w:val="auto"/>
        </w:rPr>
        <w:t>– an analysis of our consolidated results of operations for the three years presented in our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statements;</w:t>
      </w:r>
    </w:p>
    <w:p>
      <w:pPr>
        <w:spacing w:after="0" w:line="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Sales </w:t>
      </w:r>
      <w:r>
        <w:rPr>
          <w:rFonts w:ascii="Times New Roman" w:cs="Times New Roman" w:eastAsia="Times New Roman" w:hAnsi="Times New Roman"/>
          <w:sz w:val="20"/>
          <w:szCs w:val="20"/>
          <w:color w:val="auto"/>
        </w:rPr>
        <w:t>– details of our sales measured on a quarterly basis in both dollars and cases;</w:t>
      </w:r>
    </w:p>
    <w:p>
      <w:pPr>
        <w:spacing w:after="0" w:line="4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Inflation </w:t>
      </w:r>
      <w:r>
        <w:rPr>
          <w:rFonts w:ascii="Times New Roman" w:cs="Times New Roman" w:eastAsia="Times New Roman" w:hAnsi="Times New Roman"/>
          <w:sz w:val="20"/>
          <w:szCs w:val="20"/>
          <w:color w:val="auto"/>
        </w:rPr>
        <w:t>– information about the impact that inflation may or may not have on our results;</w:t>
      </w:r>
    </w:p>
    <w:p>
      <w:pPr>
        <w:spacing w:after="0" w:line="4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Liquidity and Capital Resources </w:t>
      </w:r>
      <w:r>
        <w:rPr>
          <w:rFonts w:ascii="Times New Roman" w:cs="Times New Roman" w:eastAsia="Times New Roman" w:hAnsi="Times New Roman"/>
          <w:sz w:val="20"/>
          <w:szCs w:val="20"/>
          <w:color w:val="auto"/>
        </w:rPr>
        <w:t>– an analysis of our cash flows, sources and uses of cash and contractual obligations;</w:t>
      </w:r>
    </w:p>
    <w:p>
      <w:pPr>
        <w:spacing w:after="0" w:line="40" w:lineRule="exact"/>
        <w:rPr>
          <w:rFonts w:ascii="Times New Roman" w:cs="Times New Roman" w:eastAsia="Times New Roman" w:hAnsi="Times New Roman"/>
          <w:sz w:val="18"/>
          <w:szCs w:val="18"/>
          <w:color w:val="auto"/>
        </w:rPr>
      </w:pPr>
    </w:p>
    <w:p>
      <w:pPr>
        <w:ind w:left="1080" w:right="120" w:hanging="424"/>
        <w:spacing w:after="0" w:line="260"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Accounting Policies and Pronouncements </w:t>
      </w:r>
      <w:r>
        <w:rPr>
          <w:rFonts w:ascii="Times New Roman" w:cs="Times New Roman" w:eastAsia="Times New Roman" w:hAnsi="Times New Roman"/>
          <w:sz w:val="20"/>
          <w:szCs w:val="20"/>
          <w:color w:val="auto"/>
        </w:rPr>
        <w:t>– a discussion of accounting policies that require critical judgments and estimates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newly issued accounting pronouncements;</w:t>
      </w:r>
    </w:p>
    <w:p>
      <w:pPr>
        <w:spacing w:after="0" w:line="1" w:lineRule="exact"/>
        <w:rPr>
          <w:rFonts w:ascii="Times New Roman" w:cs="Times New Roman" w:eastAsia="Times New Roman" w:hAnsi="Times New Roman"/>
          <w:sz w:val="18"/>
          <w:szCs w:val="18"/>
          <w:color w:val="auto"/>
        </w:rPr>
      </w:pPr>
    </w:p>
    <w:p>
      <w:pPr>
        <w:jc w:val="both"/>
        <w:ind w:left="1080" w:right="120" w:hanging="424"/>
        <w:spacing w:after="0" w:line="253"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Forward-Looking Statements </w:t>
      </w:r>
      <w:r>
        <w:rPr>
          <w:rFonts w:ascii="Times New Roman" w:cs="Times New Roman" w:eastAsia="Times New Roman" w:hAnsi="Times New Roman"/>
          <w:sz w:val="20"/>
          <w:szCs w:val="20"/>
          <w:color w:val="auto"/>
        </w:rPr>
        <w:t>– cautionary information about forward-looking statements and a description of certain risks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uncertainties that could cause our actual results to differ materially from the Company’s historical results or our current expectations or projections; and</w:t>
      </w:r>
    </w:p>
    <w:p>
      <w:pPr>
        <w:spacing w:after="0" w:line="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Market Risks </w:t>
      </w:r>
      <w:r>
        <w:rPr>
          <w:rFonts w:ascii="Times New Roman" w:cs="Times New Roman" w:eastAsia="Times New Roman" w:hAnsi="Times New Roman"/>
          <w:sz w:val="20"/>
          <w:szCs w:val="20"/>
          <w:color w:val="auto"/>
        </w:rPr>
        <w:t>– information about market risks and risk management. (See “Forward-Looking Statements” and “Part II, Item 7A</w:t>
      </w:r>
    </w:p>
    <w:p>
      <w:pPr>
        <w:spacing w:after="0" w:line="2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Qualitative and Quantitative Disclosures About Market Risks”).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Acquisitions and Divestitures</w:t>
      </w:r>
    </w:p>
    <w:p>
      <w:pPr>
        <w:spacing w:after="0" w:line="24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August 14, 2014, the Company and TCCC entered into definitive agreements for the TCCC Transaction. Pursuant to the TCCC Transaction Agreements, the Company will reorganize into a new holding company by merging Merger Sub into the Company, with the Company surviving as a wholly owned subsidiary of NewCo. In the merger, each outstanding share of the Company’s common stock will be converted into one share of NewCo’s common stock.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Subject to the terms and conditions of the TCCC Transaction Agreements, upon the closing of the TCCC Transaction, (1) NewCo will issue to TCCC newly issued shares of common stock representing approximately 16.7% of the total number of shares of issued and outstanding NewCo common stock (after giving effect to the new issuance) and TCCC will have the right to nominate two individuals (reduced to one upon the earlier of (i) 36 months after the closing of the TCCC Transaction and (ii) TCCC’s equity interest in NewCo exceeding 20% of the outstanding shares of NewCo common stock) to NewCo’s Board of Directors, (2) TCCC will transfer its global energy drink business (including the NOS®, Full Throttle®, Burn®, Mother®, Play® and Power Play®, and Relentless® brands)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NewCo, and the Company will transfer its non-energy drink business (including Hansen’s® Natural Sodas, Peace Tea®, Hubert’s® Lemonade and Hansen’s® Juice Products) to TCCC, (3) the Company and TCCC will amend their current distribution coordination agreements, which will contemplate expanding distribution of the Company’s products into additional territories pursuant to long-term distribution agreements with TCCC’s network of owned or controlled bottlers/distributors and independent bottling and distribution partners, and (4) TCCC will make a net cash payment of $2.15 billion to the Company (up to $625.0 million of which will be held in escrow, subject to release upon achievement of milestones relating to the transfer of distribution rights).</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waiting period under the HSR Act with respect to the TCCC Transaction expired on October 15, 2014, and all necessary approvals or consents from foreign antitrust authorities have been obtained. The closing of the transaction is subject to customary closing conditions and is expected to close in the second quarter of 2015.</w:t>
      </w:r>
    </w:p>
    <w:p>
      <w:pPr>
        <w:sectPr>
          <w:pgSz w:w="11900" w:h="16838" w:orient="portrait"/>
          <w:cols w:equalWidth="0" w:num="1">
            <w:col w:w="11420"/>
          </w:cols>
          <w:pgMar w:left="240" w:top="119" w:right="239" w:bottom="0" w:gutter="0" w:footer="0" w:header="0"/>
        </w:sectPr>
      </w:pP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i w:val="1"/>
          <w:iCs w:val="1"/>
          <w:color w:val="auto"/>
        </w:rPr>
        <w:t>Overview</w:t>
      </w:r>
    </w:p>
    <w:p>
      <w:pPr>
        <w:sectPr>
          <w:pgSz w:w="11900" w:h="16838" w:orient="portrait"/>
          <w:cols w:equalWidth="0" w:num="1">
            <w:col w:w="11420"/>
          </w:cols>
          <w:pgMar w:left="240" w:top="119" w:right="239" w:bottom="0" w:gutter="0" w:footer="0" w:header="0"/>
          <w:type w:val="continuous"/>
        </w:sectPr>
      </w:pPr>
    </w:p>
    <w:bookmarkStart w:id="27" w:name="page28"/>
    <w:bookmarkEnd w:id="27"/>
    <w:p>
      <w:pPr>
        <w:ind w:left="660"/>
        <w:spacing w:after="0"/>
        <w:rPr>
          <w:sz w:val="20"/>
          <w:szCs w:val="20"/>
          <w:color w:val="auto"/>
        </w:rPr>
      </w:pPr>
      <w:r>
        <w:rPr>
          <w:rFonts w:ascii="Times New Roman" w:cs="Times New Roman" w:eastAsia="Times New Roman" w:hAnsi="Times New Roman"/>
          <w:sz w:val="20"/>
          <w:szCs w:val="20"/>
          <w:color w:val="auto"/>
        </w:rPr>
        <w:t>We develop, market, sell and distribute “alternative” beverage category beverages primarily under the following brand names: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Monster Energy®</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Hansen’s®</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Monster Rehab®</w:t>
            </w:r>
          </w:p>
        </w:tc>
        <w:tc>
          <w:tcPr>
            <w:tcW w:w="35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Hansen’s Natural Cane Soda®</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Monster Energy Extra Strength Nitrous Technology®</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Junior Juice®</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Java Monster®</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Blue Sky®</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Muscle Monster®</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Hubert’s®</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Punch Monster®</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Peace Tea®</w:t>
            </w:r>
          </w:p>
        </w:tc>
      </w:tr>
    </w:tbl>
    <w:p>
      <w:pPr>
        <w:spacing w:after="0" w:line="201"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Our Monster Energy® drinks, which represented 93.3%, 92.5% and 92.3% of our net sales for the years ended December 31, 2014, 2013 and 2012, respectively, primarily include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Monster Energy®</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Java Monster® Kona Blend</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Lo-Carb Monster Energy®</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Java Monster® Loca Moca®</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Monster Assault®</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Java Monster® Mean Bean®</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Juice Monster™ Khaos®</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Java Monster® Vanilla Light</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Juice Monster™ Ripper®</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Java Monster® Irish Blend®</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Monster Energy® Absolutely Zero</w:t>
            </w: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Java Monster® Cappuccino</w:t>
            </w:r>
          </w:p>
        </w:tc>
      </w:tr>
      <w:tr>
        <w:trPr>
          <w:trHeight w:val="241"/>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Monster Energy® Import</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Monster Energy Extra Strength Nitrous Technology® Super</w:t>
            </w:r>
          </w:p>
        </w:tc>
      </w:tr>
      <w:tr>
        <w:trPr>
          <w:trHeight w:val="285"/>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Punch Monster® Baller’s Blend (formerly Dub Edition)</w:t>
            </w:r>
          </w:p>
        </w:tc>
        <w:tc>
          <w:tcPr>
            <w:tcW w:w="920" w:type="dxa"/>
            <w:vAlign w:val="bottom"/>
          </w:tcPr>
          <w:p>
            <w:pPr>
              <w:spacing w:after="0"/>
              <w:rPr>
                <w:sz w:val="24"/>
                <w:szCs w:val="24"/>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Dry™</w:t>
            </w:r>
          </w:p>
        </w:tc>
      </w:tr>
      <w:tr>
        <w:trPr>
          <w:trHeight w:val="241"/>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Punch Monster® Mad Dog (formerly Dub Edition)</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Monster Energy Extra Strength Nitrous Technology® Anti-</w:t>
            </w:r>
          </w:p>
        </w:tc>
      </w:tr>
      <w:tr>
        <w:trPr>
          <w:trHeight w:val="285"/>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Monster Rehab® Tea + Lemonade + Energy</w:t>
            </w:r>
          </w:p>
        </w:tc>
        <w:tc>
          <w:tcPr>
            <w:tcW w:w="920" w:type="dxa"/>
            <w:vAlign w:val="bottom"/>
          </w:tcPr>
          <w:p>
            <w:pPr>
              <w:spacing w:after="0"/>
              <w:rPr>
                <w:sz w:val="24"/>
                <w:szCs w:val="24"/>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Gravity®</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Monster Rehab® Rojo Tea + Energy</w:t>
            </w: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Monster Cuba-Lima®</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Monster Rehab® Green Tea + Energy</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Monster Energy® Zero Ultra</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Monster Rehab® Tea + Orangeade + Energy</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Monster Energy® Ultra Blue™</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Monster Rehab® Tea + Pink Lemonade + Energy</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Monster Energy® Ultra Red™</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Muscle Monster® Vanilla</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Monster Energy® Ultra Black™</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Muscle Monster® Chocolate</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Monster Energy® Ultra Sunrise™</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Muscle Monster® Coffee</w:t>
            </w: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Monster Energy® Unleaded</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Muscle Monster® Strawberry</w:t>
            </w: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Übermonster® Energy Brew™</w:t>
            </w:r>
          </w:p>
        </w:tc>
      </w:tr>
      <w:tr>
        <w:trPr>
          <w:trHeight w:val="270"/>
        </w:trPr>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Muscle Monster® Peanut Butter Cup</w:t>
            </w:r>
          </w:p>
        </w:tc>
        <w:tc>
          <w:tcPr>
            <w:tcW w:w="5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M3® Monster Energy® Super Concentrate</w:t>
            </w:r>
          </w:p>
        </w:tc>
      </w:tr>
    </w:tbl>
    <w:p>
      <w:pPr>
        <w:spacing w:after="0" w:line="12"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Monster Energy® Valentino Rossi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have two operating and reportable segments, namely Direct Store Delivery (“DSD”), the principal products of which comprise energy drinks, and Warehouse (“Warehouse”), the principal products of which comprise juice-based and soda beverages. The DSD segment develops, markets and sells products primarily through an exclusive distributor network, whereas the Warehouse segment develops, markets and sells products primarily direct to retailers. Following the consummation of the TCCC Transaction, the Company anticipates that it will have two operating and reporting segments: Concentrate, the principal products of which will likely include the various energy drink brands transferred to the Company from TCCC, and Finished Products, the principal products of which will likely include the Company’s Monster Energy® drink products that currently make up the majority of the DSD segment.</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2014, we continued to expand our existing product lines and flavors and further developed our markets. In particular, we continued to focus on developing and marketing beverages that fall within the category generally described as the “alternative” beverage category. During the year ended December 31, 2014, we introduced the following products:</w:t>
      </w:r>
    </w:p>
    <w:p>
      <w:pPr>
        <w:spacing w:after="0" w:line="202" w:lineRule="exact"/>
        <w:rPr>
          <w:sz w:val="20"/>
          <w:szCs w:val="20"/>
          <w:color w:val="auto"/>
        </w:rPr>
      </w:pPr>
    </w:p>
    <w:p>
      <w:pPr>
        <w:ind w:left="920" w:hanging="60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Punch Monster® Baller’s Blend (formerly Dub Edition) (January 2014).</w:t>
      </w:r>
    </w:p>
    <w:p>
      <w:pPr>
        <w:spacing w:after="0" w:line="40" w:lineRule="exact"/>
        <w:rPr>
          <w:rFonts w:ascii="Times New Roman" w:cs="Times New Roman" w:eastAsia="Times New Roman" w:hAnsi="Times New Roman"/>
          <w:sz w:val="18"/>
          <w:szCs w:val="18"/>
          <w:color w:val="auto"/>
        </w:rPr>
      </w:pPr>
    </w:p>
    <w:p>
      <w:pPr>
        <w:ind w:left="920" w:hanging="60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Punch Monster® Mad Dog (formerly Dub Edition) (January 2014).</w:t>
      </w:r>
    </w:p>
    <w:p>
      <w:pPr>
        <w:spacing w:after="0" w:line="40" w:lineRule="exact"/>
        <w:rPr>
          <w:rFonts w:ascii="Times New Roman" w:cs="Times New Roman" w:eastAsia="Times New Roman" w:hAnsi="Times New Roman"/>
          <w:sz w:val="18"/>
          <w:szCs w:val="18"/>
          <w:color w:val="auto"/>
        </w:rPr>
      </w:pPr>
    </w:p>
    <w:p>
      <w:pPr>
        <w:ind w:left="920" w:hanging="60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Peace Tea Beverage Company™ Viva Mango™, a mango flavored juice drink (February 2014).</w:t>
      </w:r>
    </w:p>
    <w:p>
      <w:pPr>
        <w:spacing w:after="0" w:line="40" w:lineRule="exact"/>
        <w:rPr>
          <w:rFonts w:ascii="Times New Roman" w:cs="Times New Roman" w:eastAsia="Times New Roman" w:hAnsi="Times New Roman"/>
          <w:sz w:val="18"/>
          <w:szCs w:val="18"/>
          <w:color w:val="auto"/>
        </w:rPr>
      </w:pPr>
    </w:p>
    <w:p>
      <w:pPr>
        <w:ind w:left="920" w:hanging="60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Monster Energy® Valentino Rossi, a carbonated energy drink (May 2014).</w:t>
      </w:r>
    </w:p>
    <w:p>
      <w:pPr>
        <w:spacing w:after="0" w:line="40" w:lineRule="exact"/>
        <w:rPr>
          <w:rFonts w:ascii="Times New Roman" w:cs="Times New Roman" w:eastAsia="Times New Roman" w:hAnsi="Times New Roman"/>
          <w:sz w:val="18"/>
          <w:szCs w:val="18"/>
          <w:color w:val="auto"/>
        </w:rPr>
      </w:pPr>
    </w:p>
    <w:p>
      <w:pPr>
        <w:ind w:left="920" w:hanging="60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Hubert’s® Organic Lemonade, a line of certified organic lemonades in a variety of flavors (May 2014).</w:t>
      </w:r>
    </w:p>
    <w:p>
      <w:pPr>
        <w:spacing w:after="0" w:line="40" w:lineRule="exact"/>
        <w:rPr>
          <w:rFonts w:ascii="Times New Roman" w:cs="Times New Roman" w:eastAsia="Times New Roman" w:hAnsi="Times New Roman"/>
          <w:sz w:val="18"/>
          <w:szCs w:val="18"/>
          <w:color w:val="auto"/>
        </w:rPr>
      </w:pPr>
    </w:p>
    <w:p>
      <w:pPr>
        <w:ind w:left="920" w:right="60" w:hanging="604"/>
        <w:spacing w:after="0" w:line="260"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Monster Energy® Ultra Black™, a carbonated energy drink which contains zero calories and zero sugar, launched as a summer promotion with 7-eleven (July 2014).</w:t>
      </w:r>
    </w:p>
    <w:p>
      <w:pPr>
        <w:spacing w:after="0" w:line="1" w:lineRule="exact"/>
        <w:rPr>
          <w:rFonts w:ascii="Times New Roman" w:cs="Times New Roman" w:eastAsia="Times New Roman" w:hAnsi="Times New Roman"/>
          <w:sz w:val="18"/>
          <w:szCs w:val="18"/>
          <w:color w:val="auto"/>
        </w:rPr>
      </w:pPr>
    </w:p>
    <w:p>
      <w:pPr>
        <w:ind w:left="920" w:hanging="60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Monster Energy® Unleaded, a carbonated energy drink which contains no caffeine (August 2014).</w:t>
      </w:r>
    </w:p>
    <w:p>
      <w:pPr>
        <w:spacing w:after="0" w:line="40" w:lineRule="exact"/>
        <w:rPr>
          <w:rFonts w:ascii="Times New Roman" w:cs="Times New Roman" w:eastAsia="Times New Roman" w:hAnsi="Times New Roman"/>
          <w:sz w:val="18"/>
          <w:szCs w:val="18"/>
          <w:color w:val="auto"/>
        </w:rPr>
      </w:pPr>
    </w:p>
    <w:p>
      <w:pPr>
        <w:ind w:left="920" w:hanging="60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Monster Energy® Ultra Sunrise™, a carbonated energy drink which contains zero calories and zero sugar (September 2014).</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In the normal course of business we discontinue certain products and/or product lines. Those products or product lines discontinued in 2014, either individually or in aggregate, did not have a material adverse impact on our financial position, results of operations or liquidity.</w:t>
      </w:r>
    </w:p>
    <w:p>
      <w:pPr>
        <w:spacing w:after="0" w:line="17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Our gross sales of $2,827.1 million for the year ended December 31, 2014 represented record annual sales. The vast majority of our gross sales are derived from our Monster Energy® brand energy drinks. Gross sales of our Monster Energy® brand energy drinks were</w:t>
      </w:r>
    </w:p>
    <w:p>
      <w:pPr>
        <w:sectPr>
          <w:pgSz w:w="11900" w:h="16838" w:orient="portrait"/>
          <w:cols w:equalWidth="0" w:num="1">
            <w:col w:w="11420"/>
          </w:cols>
          <w:pgMar w:left="240" w:top="346" w:right="239" w:bottom="0" w:gutter="0" w:footer="0" w:header="0"/>
        </w:sectPr>
      </w:pPr>
    </w:p>
    <w:bookmarkStart w:id="28" w:name="page29"/>
    <w:bookmarkEnd w:id="28"/>
    <w:p>
      <w:pPr>
        <w:jc w:val="both"/>
        <w:spacing w:after="0" w:line="249" w:lineRule="auto"/>
        <w:rPr>
          <w:sz w:val="20"/>
          <w:szCs w:val="20"/>
          <w:color w:val="auto"/>
        </w:rPr>
      </w:pPr>
      <w:r>
        <w:rPr>
          <w:rFonts w:ascii="Times New Roman" w:cs="Times New Roman" w:eastAsia="Times New Roman" w:hAnsi="Times New Roman"/>
          <w:sz w:val="20"/>
          <w:szCs w:val="20"/>
          <w:color w:val="auto"/>
        </w:rPr>
        <w:t>$2,649.3 million for the year ended December 31, 2014, an increase of $236.9 million, or 98.5% of our overall increase in gross sales for the year ended December 31, 2014. Any decrease in gross sales of our Monster Energy® brand energy drinks could have a significant adverse effect on our future revenues and net income. Competitive pressure in the energy drink category could also adversely affect our operating results.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DSD segment represented 96.1%, 95.6% and 95.4% of our consolidated net sales for the years ended December 31, 2014, 2013 and 2012, respectively. Our Warehouse segment represented 3.9%, 4.4% and 4.6% of our consolidated net sales for the years ended December 31, 2014, 2013 and 2012, respectively.</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personality endorsements (including from television and other well-known sports personalities), coupons,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historically marketed our Monster Energy®, Hansen’s® and Blue Energy® energy drink products as dietary supplements in accordance with the statutory definition of “dietary supplement” set forth in the FFDC Act. However, as permitted under the FFDC Act and FDA regulations, we transitioned the labeling and marketing of these energy drink products from dietary supplements to conventional foods beginning in the first quarter of 2013.</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All of our beverage products are manufactured by various third party bottlers and co-packers situated throughout the United States and abroad, under separate arrangements with each party.</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growth strategy includes expanding our international business. Gross sales to customers outside the United States amounted to $657.9 million, $580.6 million and $513.9 million for the years ended December 31, 2014, 2013 and 2012, respectively. Such sales were approximately 23%, 23% and 22% of gross sales for the years ended December 31, 2014, 2013 and 2012, respectively.</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years ended December 31, 2014, 2013 and 2012 are reflected below. Such information includes sales made by us directly to the customer types concerned, which include our full service beverage distributors in the United States. Such full service beverage distributors in turn sell certain of our products to some of the same customer types listed below. We limit our description of our customer types to include only our sales to our full service distributors without reference to such distributors’ sales to their own customers.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Full service distributors</w:t>
            </w:r>
          </w:p>
        </w:tc>
        <w:tc>
          <w:tcPr>
            <w:tcW w:w="2260" w:type="dxa"/>
            <w:vAlign w:val="bottom"/>
            <w:tcBorders>
              <w:bottom w:val="single" w:sz="8" w:color="auto"/>
            </w:tcBorders>
          </w:tcPr>
          <w:p>
            <w:pPr>
              <w:jc w:val="center"/>
              <w:ind w:left="101"/>
              <w:spacing w:after="0"/>
              <w:rPr>
                <w:sz w:val="20"/>
                <w:szCs w:val="20"/>
                <w:color w:val="auto"/>
              </w:rPr>
            </w:pPr>
            <w:r>
              <w:rPr>
                <w:rFonts w:ascii="Times New Roman" w:cs="Times New Roman" w:eastAsia="Times New Roman" w:hAnsi="Times New Roman"/>
                <w:sz w:val="20"/>
                <w:szCs w:val="20"/>
                <w:color w:val="auto"/>
                <w:w w:val="94"/>
              </w:rPr>
              <w:t>2014</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2013</w:t>
            </w:r>
          </w:p>
        </w:tc>
        <w:tc>
          <w:tcPr>
            <w:tcW w:w="1880" w:type="dxa"/>
            <w:vAlign w:val="bottom"/>
            <w:tcBorders>
              <w:bottom w:val="single" w:sz="8" w:color="auto"/>
            </w:tcBorders>
          </w:tcPr>
          <w:p>
            <w:pPr>
              <w:jc w:val="center"/>
              <w:ind w:left="81"/>
              <w:spacing w:after="0"/>
              <w:rPr>
                <w:sz w:val="20"/>
                <w:szCs w:val="20"/>
                <w:color w:val="auto"/>
              </w:rPr>
            </w:pPr>
            <w:r>
              <w:rPr>
                <w:rFonts w:ascii="Times New Roman" w:cs="Times New Roman" w:eastAsia="Times New Roman" w:hAnsi="Times New Roman"/>
                <w:sz w:val="20"/>
                <w:szCs w:val="20"/>
                <w:color w:val="auto"/>
                <w:w w:val="94"/>
              </w:rPr>
              <w:t>2012</w:t>
            </w:r>
          </w:p>
        </w:tc>
        <w:tc>
          <w:tcPr>
            <w:tcW w:w="0" w:type="dxa"/>
            <w:vAlign w:val="bottom"/>
          </w:tcPr>
          <w:p>
            <w:pPr>
              <w:spacing w:after="0"/>
              <w:rPr>
                <w:sz w:val="1"/>
                <w:szCs w:val="1"/>
                <w:color w:val="auto"/>
              </w:rPr>
            </w:pPr>
          </w:p>
        </w:tc>
      </w:tr>
      <w:tr>
        <w:trPr>
          <w:trHeight w:val="200"/>
        </w:trPr>
        <w:tc>
          <w:tcPr>
            <w:tcW w:w="5200" w:type="dxa"/>
            <w:vAlign w:val="bottom"/>
            <w:vMerge w:val="continue"/>
          </w:tcPr>
          <w:p>
            <w:pPr>
              <w:spacing w:after="0"/>
              <w:rPr>
                <w:sz w:val="17"/>
                <w:szCs w:val="17"/>
                <w:color w:val="auto"/>
              </w:rPr>
            </w:pPr>
          </w:p>
        </w:tc>
        <w:tc>
          <w:tcPr>
            <w:tcW w:w="2260" w:type="dxa"/>
            <w:vAlign w:val="bottom"/>
          </w:tcPr>
          <w:p>
            <w:pPr>
              <w:jc w:val="center"/>
              <w:ind w:left="101"/>
              <w:spacing w:after="0" w:line="200" w:lineRule="exact"/>
              <w:rPr>
                <w:sz w:val="20"/>
                <w:szCs w:val="20"/>
                <w:color w:val="auto"/>
              </w:rPr>
            </w:pPr>
            <w:r>
              <w:rPr>
                <w:rFonts w:ascii="Times New Roman" w:cs="Times New Roman" w:eastAsia="Times New Roman" w:hAnsi="Times New Roman"/>
                <w:sz w:val="20"/>
                <w:szCs w:val="20"/>
                <w:color w:val="auto"/>
              </w:rPr>
              <w:t>62%</w:t>
            </w:r>
          </w:p>
        </w:tc>
        <w:tc>
          <w:tcPr>
            <w:tcW w:w="20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63%</w:t>
            </w:r>
          </w:p>
        </w:tc>
        <w:tc>
          <w:tcPr>
            <w:tcW w:w="1880" w:type="dxa"/>
            <w:vAlign w:val="bottom"/>
          </w:tcPr>
          <w:p>
            <w:pPr>
              <w:jc w:val="center"/>
              <w:ind w:left="81"/>
              <w:spacing w:after="0" w:line="200" w:lineRule="exact"/>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Club stores, drug chains &amp; mass merchandisers</w:t>
            </w:r>
          </w:p>
        </w:tc>
        <w:tc>
          <w:tcPr>
            <w:tcW w:w="22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9%</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188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9%</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Outside the U.S.</w:t>
            </w:r>
          </w:p>
        </w:tc>
        <w:tc>
          <w:tcPr>
            <w:tcW w:w="22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23%</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23%</w:t>
            </w:r>
          </w:p>
        </w:tc>
        <w:tc>
          <w:tcPr>
            <w:tcW w:w="188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Retail grocery, specialty chains and wholesalers</w:t>
            </w:r>
          </w:p>
        </w:tc>
        <w:tc>
          <w:tcPr>
            <w:tcW w:w="22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w:t>
            </w:r>
          </w:p>
        </w:tc>
        <w:tc>
          <w:tcPr>
            <w:tcW w:w="188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4%</w:t>
            </w:r>
          </w:p>
        </w:tc>
        <w:tc>
          <w:tcPr>
            <w:tcW w:w="0" w:type="dxa"/>
            <w:vAlign w:val="bottom"/>
          </w:tcPr>
          <w:p>
            <w:pPr>
              <w:spacing w:after="0"/>
              <w:rPr>
                <w:sz w:val="1"/>
                <w:szCs w:val="1"/>
                <w:color w:val="auto"/>
              </w:rPr>
            </w:pPr>
          </w:p>
        </w:tc>
      </w:tr>
      <w:tr>
        <w:trPr>
          <w:trHeight w:val="258"/>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2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2%</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w:t>
            </w:r>
          </w:p>
        </w:tc>
        <w:tc>
          <w:tcPr>
            <w:tcW w:w="188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customers include the TCCC North American Bottlers, New CCE, certain bottlers of Coca-Cola Hellenic, Swire Coca-Cola, USA and certain other Coca-Cola independent bottlers, Asahi, Kalil Bottling Group, Wal-Mart, Inc. (including Sam’s Club) Costco and the AB Distributors. In February 2015, in accordance with its existing agreements with the applicable AB Distributors, the Company sent notices of termination to the majority of the AB Distributors in the U.S. for the termination of their respective distribution agreements, to be effective at various dates beginning in March 2015. The associated distribution rights will be transitioned to TCCC’s network of owned or controlled bottlers/distributors and independent bottling and distribution partners as of the effective date of termination of the AB Distributors’ rights in the applicable territories (see Note 8 “Distribution Agreements” in the notes to consolidated financial statements). CCR accounted for approximately 29%, 29% and 28% of our net sales for the years ended December 31, 2014, 2013 and 2012, respectively.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continue to incur expenditures in connection with the development and introduction of new products and flavors.</w:t>
      </w:r>
    </w:p>
    <w:p>
      <w:pPr>
        <w:sectPr>
          <w:pgSz w:w="11900" w:h="16838" w:orient="portrait"/>
          <w:cols w:equalWidth="0" w:num="1">
            <w:col w:w="11420"/>
          </w:cols>
          <w:pgMar w:left="240" w:top="118" w:right="239" w:bottom="0" w:gutter="0" w:footer="0" w:header="0"/>
        </w:sectPr>
      </w:pPr>
    </w:p>
    <w:bookmarkStart w:id="29" w:name="page30"/>
    <w:bookmarkEnd w:id="29"/>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Value Drivers of our Business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that the key value drivers of our business include the following:</w:t>
      </w:r>
    </w:p>
    <w:p>
      <w:pPr>
        <w:spacing w:after="0" w:line="225" w:lineRule="exact"/>
        <w:rPr>
          <w:sz w:val="20"/>
          <w:szCs w:val="20"/>
          <w:color w:val="auto"/>
        </w:rPr>
      </w:pPr>
    </w:p>
    <w:p>
      <w:pPr>
        <w:jc w:val="both"/>
        <w:ind w:left="1080" w:right="120" w:hanging="424"/>
        <w:spacing w:after="0" w:line="24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International Growth </w:t>
      </w:r>
      <w:r>
        <w:rPr>
          <w:rFonts w:ascii="Times New Roman" w:cs="Times New Roman" w:eastAsia="Times New Roman" w:hAnsi="Times New Roman"/>
          <w:sz w:val="20"/>
          <w:szCs w:val="20"/>
          <w:color w:val="auto"/>
        </w:rPr>
        <w:t>– The introduction, development and sustained profitability of our Monster Energy® brand internationally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remains a key value driver for our corporate growth. The TCCC Transaction is expected to secure fully aligned access to TCCC’s leading global distribution system, which we anticipate will accelerate our international performance. In addition, we anticipate that the TCCC Transaction will provide scale and platform synergies in a range of international geographies where we currently have limited presence, which is expected to increase our energy business in a number of international markets and establish a strong presence in additional countries.</w:t>
      </w:r>
    </w:p>
    <w:p>
      <w:pPr>
        <w:spacing w:after="0" w:line="192" w:lineRule="exact"/>
        <w:rPr>
          <w:rFonts w:ascii="Times New Roman" w:cs="Times New Roman" w:eastAsia="Times New Roman" w:hAnsi="Times New Roman"/>
          <w:sz w:val="18"/>
          <w:szCs w:val="18"/>
          <w:color w:val="auto"/>
        </w:rPr>
      </w:pPr>
    </w:p>
    <w:p>
      <w:pPr>
        <w:jc w:val="both"/>
        <w:ind w:left="1080" w:right="120" w:hanging="424"/>
        <w:spacing w:after="0" w:line="24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Profitable Growth </w:t>
      </w:r>
      <w:r>
        <w:rPr>
          <w:rFonts w:ascii="Times New Roman" w:cs="Times New Roman" w:eastAsia="Times New Roman" w:hAnsi="Times New Roman"/>
          <w:sz w:val="20"/>
          <w:szCs w:val="20"/>
          <w:color w:val="auto"/>
        </w:rPr>
        <w:t>– We believe “functional” value added brands properly supported by marketing and innovation, targeted to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diverse consumer base, drive profitable growth. We continue to broaden our family of brands. In particular, we are expanding our energy drinks, including through the addition of TCCC’s existing energy product lines in connection with the TCCC Transaction, to provide more alternatives to consumers. We are focused on maintaining profit margins and believe that tailored branding, packaging, pricing and distribution channel strategies help achieve profitable growth. We are implementing these strategies with a view to continuing profitable growth.</w:t>
      </w:r>
    </w:p>
    <w:p>
      <w:pPr>
        <w:spacing w:after="0" w:line="192" w:lineRule="exact"/>
        <w:rPr>
          <w:rFonts w:ascii="Times New Roman" w:cs="Times New Roman" w:eastAsia="Times New Roman" w:hAnsi="Times New Roman"/>
          <w:sz w:val="18"/>
          <w:szCs w:val="18"/>
          <w:color w:val="auto"/>
        </w:rPr>
      </w:pPr>
    </w:p>
    <w:p>
      <w:pPr>
        <w:jc w:val="both"/>
        <w:ind w:left="1080" w:right="120" w:hanging="424"/>
        <w:spacing w:after="0" w:line="24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Cost Management </w:t>
      </w:r>
      <w:r>
        <w:rPr>
          <w:rFonts w:ascii="Times New Roman" w:cs="Times New Roman" w:eastAsia="Times New Roman" w:hAnsi="Times New Roman"/>
          <w:sz w:val="20"/>
          <w:szCs w:val="20"/>
          <w:color w:val="auto"/>
        </w:rPr>
        <w:t>– The principal focus of cost management will continue to be on reducing input supply and production costs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a per-case basis, including raw material costs and co-packing fees. Another key area of focus is to decrease promotional allowances, selling and general and administrative costs, including sponsorships, sampling, promotional and marketing expenses, as a percentage of net sales. The reduction of accounts receivable and inventory days on hand also remains a further key area of focus.</w:t>
      </w:r>
    </w:p>
    <w:p>
      <w:pPr>
        <w:spacing w:after="0" w:line="189" w:lineRule="exact"/>
        <w:rPr>
          <w:rFonts w:ascii="Times New Roman" w:cs="Times New Roman" w:eastAsia="Times New Roman" w:hAnsi="Times New Roman"/>
          <w:sz w:val="18"/>
          <w:szCs w:val="18"/>
          <w:color w:val="auto"/>
        </w:rPr>
      </w:pPr>
    </w:p>
    <w:p>
      <w:pPr>
        <w:jc w:val="both"/>
        <w:ind w:left="1080" w:right="120" w:hanging="424"/>
        <w:spacing w:after="0" w:line="260"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i w:val="1"/>
          <w:iCs w:val="1"/>
          <w:color w:val="auto"/>
        </w:rPr>
        <w:t xml:space="preserve">Efficient Capital Structure </w:t>
      </w:r>
      <w:r>
        <w:rPr>
          <w:rFonts w:ascii="Times New Roman" w:cs="Times New Roman" w:eastAsia="Times New Roman" w:hAnsi="Times New Roman"/>
          <w:sz w:val="19"/>
          <w:szCs w:val="19"/>
          <w:color w:val="auto"/>
        </w:rPr>
        <w:t>– Our capital structure is intended to optimize our working capital to finance expansion, both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domestically and internationally. We believe our strong capital position, our ability to raise funds, if necessary, at a relatively low effective cost of borrowings, provide a competitive advantage. Furthermore, it is anticipated that, following the TCCC Transaction, we will have a substantial amount of cash and cash equivalents, and we expect that a substantial portion of our cash and cash equivalents will be used to return capital to our shareholders pursuant to share repurchases, which could be effected pursuant to a self-tender offer, accelerated share repurchase or otherwise, alone or potentially in conjunction with dividend payments. The timing, terms and amount of any such share repurchase will be determined by the NewCo board of directors.</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believe that, subject to increases in the costs of certain raw materials being contained, these value drivers, when properly implemented in the U.S. and internationally, will result in: (1) improving or maintaining our product gross profit margins; (2) providing additional leverage over time through reduced expenses as a percentage of net operating revenues; and (3) optimizing our cost of capital. The ultimate measure of success is and will be reflected in our current and future results of operations.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Gross and net sales, gross profit, operating income, net income and net income per share represent key measurements of the above value drivers. These measurements will continue to be a key management focus in 2015 and beyond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See “Part II, Item 7 – Results of Operations – Results of Operations for the Year Ended December 31, 2014 Compared to the Year Ended December 31, 2013”).</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As of December 31, 2014, the Company had working capital of $1,337.7 million compared to $867.0 million as of December 31, 2013. The increase in working capital was primarily the result of retained profits reflected in a combined overall increase in cash, cash equivalents and short-term investments. For the year ended December 31, 2014, our net cash provided by operating activities was approximately $585.6 million as compared to $342.0 million for the year ended December 31, 2013. Principal uses of cash flows in 2014 were purchases of investments, purchases of inventory, development of our Monster Energy® brand internationally, acquisition of property and equipment and acquisition of trademarks. These principal uses of cash flows are expected to be and remain our principal recurring use of cash and working capital funds in the future (See “Part II, Item 7 – Liquidity and Capital Resources”).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Opportunities, Challenges and Risks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Looking forward, our management has identified certain challenges and risks for the beverage industry and our Company, including, following the completion of the TCCC Transaction, those relating to the transition of the distribution of our products to TCCC’s distribution network, our significant commercial relationships with TCCC and TCCC’s status as a significant shareholder of NewCo, in each case as described above under “Part I, Item 1A – Risk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In addition, legislation has been proposed and/or adopted at the U.S. state and/or county and/or municipal level and proposed and/or adopted in certain foreign jurisdictions to restrict the sale of energy drinks (including prohibiting the sale of energy drinks at certain establishments or pursuant to certain governmental programs), limit caffeine content in beverages, require certain product labeling disclosures and/or warnings, impose taxes, limit product sizes or impose age restrictions for the sale of energy drinks. In addition, articles critical of the caffeine content in energy drinks and their perceived benefits and articles indicating certain health risks of energy drinks have been published. The proposal and/or adoption of such legislation and the publication of such articles, or the future proposal and/or adoption of similar legislation or publication of similar articles, may adversely affect our Company. In addition, uncertainty and/or volatility in our domestic and/or our international economic markets could negatively affect both the stability of our industry and our Company. Furthermore, our growth strategy includes expanding our international business which exposes us to risks inherent in conducting international operations, including the risks associated with foreign currency exchange rate fluctuations. Consumer discretionary spending also represents a challenge to the successful marketing and sale of our products. Increases in consumer and regulatory awareness of the health problems arising from obesity and inactive</w:t>
      </w:r>
    </w:p>
    <w:p>
      <w:pPr>
        <w:sectPr>
          <w:pgSz w:w="11900" w:h="16859" w:orient="portrait"/>
          <w:cols w:equalWidth="0" w:num="1">
            <w:col w:w="11420"/>
          </w:cols>
          <w:pgMar w:left="240" w:top="111" w:right="239" w:bottom="0" w:gutter="0" w:footer="0" w:header="0"/>
        </w:sectPr>
      </w:pPr>
    </w:p>
    <w:bookmarkStart w:id="30" w:name="page31"/>
    <w:bookmarkEnd w:id="30"/>
    <w:p>
      <w:pPr>
        <w:spacing w:after="0" w:line="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lifestyles continue to represent a challenge. We recognize that obesity is a complex and serious public health problem. Our commitment to consumers begins with our broad product line and a wide selection of diet, light and low calorie beverages within our energy drink product line. We continuously strive to meet changing consumer needs through beverage innovation, choice and variety. (See “Part I, Item 1A – Risk Factors”).</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historical success is attributable, in part, to our introduction of different and innovative beverages which have been positively accepted by consumers. Our future success will depend, in part, upon our continued ability to develop and introduce different and innovative beverages that meet consumer preferences, although there can be no assurance of our ability to do so. In order to retain and expand our market share, we must continue to develop and introduce different and innovative beverages and be competitive in the areas of quality, method of distribution, brand image and intellectual property protection. The beverage industry is subject to changing consumer preferences that may adversely affect us if we misjudge such preferences.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other key challenges and risks that could impact our Company’s future financial results include, but are not limited to:</w:t>
      </w:r>
    </w:p>
    <w:p>
      <w:pPr>
        <w:spacing w:after="0" w:line="229" w:lineRule="exact"/>
        <w:rPr>
          <w:sz w:val="20"/>
          <w:szCs w:val="20"/>
          <w:color w:val="auto"/>
        </w:rPr>
      </w:pPr>
    </w:p>
    <w:p>
      <w:pPr>
        <w:ind w:left="1020" w:right="120" w:hanging="364"/>
        <w:spacing w:after="0" w:line="260" w:lineRule="auto"/>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consummation of, and the realization of benefits from, the TCCC Transaction, including the transition of the distribution of our products to TCCC’s distribution network;</w:t>
      </w:r>
    </w:p>
    <w:p>
      <w:pPr>
        <w:spacing w:after="0" w:line="1"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consumer preferences and demand for our products;</w:t>
      </w:r>
    </w:p>
    <w:p>
      <w:pPr>
        <w:spacing w:after="0" w:line="40"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uncertainty in the United States, Europe and other countries in which we operate;</w:t>
      </w:r>
    </w:p>
    <w:p>
      <w:pPr>
        <w:spacing w:after="0" w:line="40"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foreign currency exchange rate fluctuations;</w:t>
      </w:r>
    </w:p>
    <w:p>
      <w:pPr>
        <w:spacing w:after="0" w:line="40"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maintenance of our brand image and product quality;</w:t>
      </w:r>
    </w:p>
    <w:p>
      <w:pPr>
        <w:spacing w:after="0" w:line="40" w:lineRule="exact"/>
        <w:rPr>
          <w:rFonts w:ascii="Times New Roman" w:cs="Times New Roman" w:eastAsia="Times New Roman" w:hAnsi="Times New Roman"/>
          <w:sz w:val="20"/>
          <w:szCs w:val="20"/>
          <w:color w:val="auto"/>
        </w:rPr>
      </w:pPr>
    </w:p>
    <w:p>
      <w:pPr>
        <w:ind w:left="1020" w:right="120" w:hanging="364"/>
        <w:spacing w:after="0" w:line="260" w:lineRule="auto"/>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concern over various health matters, including obesity, caffeine consumption and energy drinks generally, and changes in regulation and consumer preferences in response to those concerns;</w:t>
      </w:r>
    </w:p>
    <w:p>
      <w:pPr>
        <w:spacing w:after="0" w:line="1" w:lineRule="exact"/>
        <w:rPr>
          <w:rFonts w:ascii="Times New Roman" w:cs="Times New Roman" w:eastAsia="Times New Roman" w:hAnsi="Times New Roman"/>
          <w:sz w:val="20"/>
          <w:szCs w:val="20"/>
          <w:color w:val="auto"/>
        </w:rPr>
      </w:pPr>
    </w:p>
    <w:p>
      <w:pPr>
        <w:ind w:left="1020" w:right="140" w:hanging="364"/>
        <w:spacing w:after="0" w:line="260" w:lineRule="auto"/>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profitable expansion and growth of our family of brands in the competitive market place (See “Part I, Item 1 – Business – Competition” and “Part I, Item 1 – Sales and Marketing”);</w:t>
      </w:r>
    </w:p>
    <w:p>
      <w:pPr>
        <w:spacing w:after="0" w:line="1"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establishing and promoting our brands internationally;</w:t>
      </w:r>
    </w:p>
    <w:p>
      <w:pPr>
        <w:spacing w:after="0" w:line="40" w:lineRule="exact"/>
        <w:rPr>
          <w:rFonts w:ascii="Times New Roman" w:cs="Times New Roman" w:eastAsia="Times New Roman" w:hAnsi="Times New Roman"/>
          <w:sz w:val="20"/>
          <w:szCs w:val="20"/>
          <w:color w:val="auto"/>
        </w:rPr>
      </w:pPr>
    </w:p>
    <w:p>
      <w:pPr>
        <w:ind w:left="1020" w:right="140" w:hanging="364"/>
        <w:spacing w:after="0" w:line="260" w:lineRule="auto"/>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imports and sources of supply; duties or tariffs; changes in related government regulations; and disruptions in the timely import or export of our products and/or ingredients due to port strikes and related labor issues;</w:t>
      </w:r>
    </w:p>
    <w:p>
      <w:pPr>
        <w:spacing w:after="0" w:line="1" w:lineRule="exact"/>
        <w:rPr>
          <w:rFonts w:ascii="Times New Roman" w:cs="Times New Roman" w:eastAsia="Times New Roman" w:hAnsi="Times New Roman"/>
          <w:sz w:val="20"/>
          <w:szCs w:val="20"/>
          <w:color w:val="auto"/>
        </w:rPr>
      </w:pPr>
    </w:p>
    <w:p>
      <w:pPr>
        <w:ind w:left="1020" w:right="140" w:hanging="364"/>
        <w:spacing w:after="0" w:line="260" w:lineRule="auto"/>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protection of our existing intellectual property portfolio of trademarks and copyrights and the continuous pursuit to develop and protect new and innovative trademarks and copyrights for our expanding product lines;</w:t>
      </w:r>
    </w:p>
    <w:p>
      <w:pPr>
        <w:spacing w:after="0" w:line="1"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available quantities of certain package containers such as the 24-ounce cap-can and co-packing availability; and</w:t>
      </w:r>
    </w:p>
    <w:p>
      <w:pPr>
        <w:spacing w:after="0" w:line="40" w:lineRule="exact"/>
        <w:rPr>
          <w:rFonts w:ascii="Times New Roman" w:cs="Times New Roman" w:eastAsia="Times New Roman" w:hAnsi="Times New Roman"/>
          <w:sz w:val="20"/>
          <w:szCs w:val="20"/>
          <w:color w:val="auto"/>
        </w:rPr>
      </w:pPr>
    </w:p>
    <w:p>
      <w:pPr>
        <w:jc w:val="both"/>
        <w:ind w:left="1020" w:right="140" w:hanging="364"/>
        <w:spacing w:after="0" w:line="254" w:lineRule="auto"/>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additional regulation, including regulation restricting the sale of energy drinks, limiting caffeine content in beverages, requiring product labeling and/or warnings, imposing excise taxes and/or sales taxes, and/or limiting product size and/or age restrictions.</w:t>
      </w:r>
    </w:p>
    <w:p>
      <w:pPr>
        <w:spacing w:after="0" w:line="17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See “Part I, Item 1A – Risk Factors” for additional information about risks and uncertainties facing our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that the following opportunities exist for us:</w:t>
      </w:r>
    </w:p>
    <w:p>
      <w:pPr>
        <w:spacing w:after="0" w:line="216" w:lineRule="exact"/>
        <w:rPr>
          <w:sz w:val="20"/>
          <w:szCs w:val="20"/>
          <w:color w:val="auto"/>
        </w:rPr>
      </w:pPr>
    </w:p>
    <w:p>
      <w:pPr>
        <w:ind w:left="1020" w:right="120" w:hanging="364"/>
        <w:spacing w:after="0" w:line="260" w:lineRule="auto"/>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domestic and international growth potential of our products due to our transition to a leading global distribution network and the scale and platform synergies expected in connection with the TCCC Transaction;</w:t>
      </w:r>
    </w:p>
    <w:p>
      <w:pPr>
        <w:spacing w:after="0" w:line="1"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potential of the energy drink category, both domestically and internationally;</w:t>
      </w:r>
    </w:p>
    <w:p>
      <w:pPr>
        <w:spacing w:after="0" w:line="40"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and future new product and product line introductions with the objective of contributing to higher profitability;</w:t>
      </w:r>
    </w:p>
    <w:p>
      <w:pPr>
        <w:spacing w:after="0" w:line="40"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introduction of premium packages designed to generate strong revenue growth;</w:t>
      </w:r>
    </w:p>
    <w:p>
      <w:pPr>
        <w:spacing w:after="0" w:line="40"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package, pricing and channel opportunities to increase profitable growth;</w:t>
      </w:r>
    </w:p>
    <w:p>
      <w:pPr>
        <w:spacing w:after="0" w:line="40"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strategic positioning to capitalize on industry growth;</w:t>
      </w:r>
    </w:p>
    <w:p>
      <w:pPr>
        <w:spacing w:after="0" w:line="40"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broadening distribution/expansion opportunities in both domestic and international markets;</w:t>
      </w:r>
    </w:p>
    <w:p>
      <w:pPr>
        <w:spacing w:after="0" w:line="40"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our products into new geographic markets; and</w:t>
      </w:r>
    </w:p>
    <w:p>
      <w:pPr>
        <w:spacing w:after="0" w:line="40"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focus on reducing our cost base.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per share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20"/>
                <w:szCs w:val="20"/>
                <w:color w:val="auto"/>
              </w:rPr>
            </w:pPr>
          </w:p>
        </w:tc>
        <w:tc>
          <w:tcPr>
            <w:tcW w:w="29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Percentage Change</w:t>
            </w:r>
          </w:p>
        </w:tc>
        <w:tc>
          <w:tcPr>
            <w:tcW w:w="0" w:type="dxa"/>
            <w:vAlign w:val="bottom"/>
          </w:tcPr>
          <w:p>
            <w:pPr>
              <w:spacing w:after="0"/>
              <w:rPr>
                <w:sz w:val="1"/>
                <w:szCs w:val="1"/>
                <w:color w:val="auto"/>
              </w:rPr>
            </w:pPr>
          </w:p>
        </w:tc>
      </w:tr>
      <w:tr>
        <w:trPr>
          <w:trHeight w:val="21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sales, net of discounts &amp; returns*</w:t>
            </w:r>
          </w:p>
        </w:tc>
        <w:tc>
          <w:tcPr>
            <w:tcW w:w="3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14 vs. 13</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 vs. 12</w:t>
            </w:r>
          </w:p>
        </w:tc>
        <w:tc>
          <w:tcPr>
            <w:tcW w:w="0" w:type="dxa"/>
            <w:vAlign w:val="bottom"/>
          </w:tcPr>
          <w:p>
            <w:pPr>
              <w:spacing w:after="0"/>
              <w:rPr>
                <w:sz w:val="1"/>
                <w:szCs w:val="1"/>
                <w:color w:val="auto"/>
              </w:rPr>
            </w:pPr>
          </w:p>
        </w:tc>
      </w:tr>
      <w:tr>
        <w:trPr>
          <w:trHeight w:val="191"/>
        </w:trPr>
        <w:tc>
          <w:tcPr>
            <w:tcW w:w="3440" w:type="dxa"/>
            <w:vAlign w:val="bottom"/>
            <w:vMerge w:val="continue"/>
          </w:tcPr>
          <w:p>
            <w:pPr>
              <w:spacing w:after="0"/>
              <w:rPr>
                <w:sz w:val="16"/>
                <w:szCs w:val="16"/>
                <w:color w:val="auto"/>
              </w:rPr>
            </w:pPr>
          </w:p>
        </w:tc>
        <w:tc>
          <w:tcPr>
            <w:tcW w:w="36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2,827,092</w:t>
            </w:r>
          </w:p>
        </w:tc>
        <w:tc>
          <w:tcPr>
            <w:tcW w:w="240" w:type="dxa"/>
            <w:vAlign w:val="bottom"/>
          </w:tcPr>
          <w:p>
            <w:pPr>
              <w:spacing w:after="0"/>
              <w:rPr>
                <w:sz w:val="16"/>
                <w:szCs w:val="16"/>
                <w:color w:val="auto"/>
              </w:rPr>
            </w:pPr>
          </w:p>
        </w:tc>
        <w:tc>
          <w:tcPr>
            <w:tcW w:w="34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2,586,531</w:t>
            </w:r>
          </w:p>
        </w:tc>
        <w:tc>
          <w:tcPr>
            <w:tcW w:w="220" w:type="dxa"/>
            <w:vAlign w:val="bottom"/>
          </w:tcPr>
          <w:p>
            <w:pPr>
              <w:spacing w:after="0"/>
              <w:rPr>
                <w:sz w:val="16"/>
                <w:szCs w:val="16"/>
                <w:color w:val="auto"/>
              </w:rPr>
            </w:pPr>
          </w:p>
        </w:tc>
        <w:tc>
          <w:tcPr>
            <w:tcW w:w="34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2,373,499</w:t>
            </w:r>
          </w:p>
        </w:tc>
        <w:tc>
          <w:tcPr>
            <w:tcW w:w="220" w:type="dxa"/>
            <w:vAlign w:val="bottom"/>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Less: Promotional and other allowances**</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362,225</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340,103</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312,797</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1"/>
        </w:trPr>
        <w:tc>
          <w:tcPr>
            <w:tcW w:w="3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2,464,867</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2,246,428</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2,060,702</w:t>
            </w:r>
          </w:p>
        </w:tc>
        <w:tc>
          <w:tcPr>
            <w:tcW w:w="220" w:type="dxa"/>
            <w:vAlign w:val="bottom"/>
          </w:tcPr>
          <w:p>
            <w:pPr>
              <w:spacing w:after="0"/>
              <w:rPr>
                <w:sz w:val="16"/>
                <w:szCs w:val="16"/>
                <w:color w:val="auto"/>
              </w:rPr>
            </w:pP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6"/>
                <w:szCs w:val="16"/>
                <w:color w:val="auto"/>
              </w:rPr>
            </w:pP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1,125,057</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1,073,497</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995,046</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1,339,810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1,172,931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1,065,656</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ectPr>
          <w:pgSz w:w="11900" w:h="16848" w:orient="portrait"/>
          <w:cols w:equalWidth="0" w:num="1">
            <w:col w:w="11420"/>
          </w:cols>
          <w:pgMar w:left="240" w:top="118" w:right="239" w:bottom="0" w:gutter="0" w:footer="0" w:header="0"/>
        </w:sectPr>
      </w:pPr>
    </w:p>
    <w:bookmarkStart w:id="31" w:name="page32"/>
    <w:bookmarkEnd w:id="31"/>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592,305</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600,015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515,033</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42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as a percentage of net</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747,505</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572,916</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550,623</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a percentage of net</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31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investments and put option,</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2,715</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28"/>
        </w:trPr>
        <w:tc>
          <w:tcPr>
            <w:tcW w:w="3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745,788</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563,894</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549,154</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4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262,603</w:t>
            </w: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225,233</w:t>
            </w: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209,134</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2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as a percentage of income</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before taxes</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483,185</w:t>
            </w:r>
          </w:p>
        </w:tc>
        <w:tc>
          <w:tcPr>
            <w:tcW w:w="240" w:type="dxa"/>
            <w:vAlign w:val="bottom"/>
          </w:tcPr>
          <w:p>
            <w:pPr>
              <w:spacing w:after="0"/>
              <w:rPr>
                <w:sz w:val="24"/>
                <w:szCs w:val="24"/>
                <w:color w:val="auto"/>
              </w:rPr>
            </w:pP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338,661</w:t>
            </w:r>
          </w:p>
        </w:tc>
        <w:tc>
          <w:tcPr>
            <w:tcW w:w="220" w:type="dxa"/>
            <w:vAlign w:val="bottom"/>
          </w:tcPr>
          <w:p>
            <w:pPr>
              <w:spacing w:after="0"/>
              <w:rPr>
                <w:sz w:val="24"/>
                <w:szCs w:val="24"/>
                <w:color w:val="auto"/>
              </w:rPr>
            </w:pP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340,020</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as a percentage of net sales</w:t>
            </w: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4"/>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Case sales (in thousands) (in 192-ounce</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case equivalents)</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238,280</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221,348</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202,918</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i w:val="1"/>
          <w:iCs w:val="1"/>
          <w:color w:val="auto"/>
        </w:rPr>
        <w:t>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 (See “Part II, Item 6 – Selected Financial Data”).</w:t>
      </w:r>
    </w:p>
    <w:p>
      <w:pPr>
        <w:spacing w:after="0" w:line="162" w:lineRule="exact"/>
        <w:rPr>
          <w:sz w:val="20"/>
          <w:szCs w:val="20"/>
          <w:color w:val="auto"/>
        </w:rPr>
      </w:pPr>
    </w:p>
    <w:p>
      <w:pPr>
        <w:jc w:val="both"/>
        <w:ind w:firstLine="8"/>
        <w:spacing w:after="0" w:line="268" w:lineRule="auto"/>
        <w:tabs>
          <w:tab w:leader="none" w:pos="207" w:val="left"/>
        </w:tabs>
        <w:numPr>
          <w:ilvl w:val="0"/>
          <w:numId w:val="1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w:t>
      </w:r>
    </w:p>
    <w:p>
      <w:pPr>
        <w:spacing w:after="0" w:line="1" w:lineRule="exact"/>
        <w:rPr>
          <w:rFonts w:ascii="Times New Roman" w:cs="Times New Roman" w:eastAsia="Times New Roman" w:hAnsi="Times New Roman"/>
          <w:sz w:val="16"/>
          <w:szCs w:val="16"/>
          <w:i w:val="1"/>
          <w:iCs w:val="1"/>
          <w:color w:val="auto"/>
        </w:rPr>
      </w:pPr>
    </w:p>
    <w:p>
      <w:pPr>
        <w:jc w:val="both"/>
        <w:spacing w:after="0" w:line="267"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 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(vii) contractual fees given to the Company’s distributors related to sales made by the Company direct to certain customers that fall within the 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Year Ended December 31, 2014 Compared to the Year Ended December 31, 2013.</w:t>
      </w:r>
    </w:p>
    <w:p>
      <w:pPr>
        <w:spacing w:after="0" w:line="2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Gross Sales. </w:t>
      </w:r>
      <w:r>
        <w:rPr>
          <w:rFonts w:ascii="Times New Roman" w:cs="Times New Roman" w:eastAsia="Times New Roman" w:hAnsi="Times New Roman"/>
          <w:sz w:val="19"/>
          <w:szCs w:val="19"/>
          <w:color w:val="auto"/>
        </w:rPr>
        <w:t>Gross sales were $2,827.1 million for the year ended December 31, 2014, an increase of approximately $240.6 million,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9.3% higher than gross sales of $2,586.5 million for the year ended December 31, 2013. The increase in the gross sales of our Monster Energy® brand energy drinks represented approximately $236.9 million, or 98.5%, of the overall increase in gross sales. Gross sales of our Monster Energy® brand energy drinks increased primarily due to increased sales by volume as a result of increased domestic and international consumer demand as well as our expansion into new international markets. Price increases on our 24-ounce Monster Energy® brand energy drinks and our Peace Tea® line represented approximately 7% of the overall increase in gross sales. No other individual product line contributed either a material increase or decrease to gross sales for the year ended December 31, 2014. Promotional and other allowances, as described in the footnote above, were $362.2 million for the year ended December 31, 2014, an increase of $22.1 million, or 6.5% higher than</w:t>
      </w:r>
    </w:p>
    <w:p>
      <w:pPr>
        <w:sectPr>
          <w:pgSz w:w="11900" w:h="16866" w:orient="portrait"/>
          <w:cols w:equalWidth="0" w:num="1">
            <w:col w:w="11420"/>
          </w:cols>
          <w:pgMar w:left="240" w:top="121" w:right="239" w:bottom="0" w:gutter="0" w:footer="0" w:header="0"/>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20"/>
          <w:szCs w:val="20"/>
          <w:color w:val="auto"/>
        </w:rPr>
        <w:t>promotional and other allowances of $340.1 million for the year ended December 31, 2013. Promotional and other allowances as a percentage of gross sales decreased to 12.8% from 13.1% for the year ended December 31, 2014 and 2013, respectively. As a result, the percentage increase in net sales for the year ended December 31, 2014 was higher than the percentage increase in gross sales.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Collective changes in foreign currency exchange rates did not have a material impact on gross sales for the year ended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2014.</w:t>
      </w:r>
    </w:p>
    <w:p>
      <w:pPr>
        <w:spacing w:after="0" w:line="203" w:lineRule="exact"/>
        <w:rPr>
          <w:sz w:val="20"/>
          <w:szCs w:val="20"/>
          <w:color w:val="auto"/>
        </w:rPr>
      </w:pPr>
    </w:p>
    <w:p>
      <w:pPr>
        <w:jc w:val="both"/>
        <w:ind w:firstLine="687"/>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Net Sales. </w:t>
      </w:r>
      <w:r>
        <w:rPr>
          <w:rFonts w:ascii="Times New Roman" w:cs="Times New Roman" w:eastAsia="Times New Roman" w:hAnsi="Times New Roman"/>
          <w:sz w:val="20"/>
          <w:szCs w:val="20"/>
          <w:color w:val="auto"/>
        </w:rPr>
        <w:t>Net sales were $2,464.9 million for the year ended December 31, 2014, an increase of approximately $218.4 million,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9.7% higher than net sales of $2,246.4 million for the year ended December 31, 2013. The increase in net sales of our Monster Energy® brand energy drinks represented approximately $220.4 million, or 100.9%, of the overall increase in net sales. Net sales of our Monster Energy® brand energy drinks increased primarily due to increased sales by volume as a result of increased domestic and international consumer demand as well as our expansion into new international markets. Price increases on our 24-ounce Monster Energy® brand energy drinks and our Peace Tea® line represented approximately 7% of the overall increase in net sales. No other individual product line contributed either a material increase or decrease to net sales for the year ended December 31, 2014.</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Collective changes in foreign currency exchange rates did not have a material impact on net sales for the year ended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2014.</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Case sales, in 192-ounce case equivalents, were 238.3 million cases for the year ended December 31, 2014, an increase of approximately 16.9 million cases or 7.6% higher than case sales of 221.3 million cases for the year ended December 31, 2013. The overall average net sales per case increased to $10.34 for the year ended December 31, 2014, which was 1.9% higher than the average net sales per case of $10.15 for the year ended December 31, 2013.</w:t>
      </w:r>
    </w:p>
    <w:p>
      <w:pPr>
        <w:spacing w:after="0" w:line="194" w:lineRule="exact"/>
        <w:rPr>
          <w:sz w:val="20"/>
          <w:szCs w:val="20"/>
          <w:color w:val="auto"/>
        </w:rPr>
      </w:pPr>
    </w:p>
    <w:p>
      <w:pPr>
        <w:jc w:val="both"/>
        <w:ind w:firstLine="687"/>
        <w:spacing w:after="0" w:line="243" w:lineRule="auto"/>
        <w:rPr>
          <w:sz w:val="20"/>
          <w:szCs w:val="20"/>
          <w:color w:val="auto"/>
        </w:rPr>
      </w:pPr>
      <w:r>
        <w:rPr>
          <w:rFonts w:ascii="Times New Roman" w:cs="Times New Roman" w:eastAsia="Times New Roman" w:hAnsi="Times New Roman"/>
          <w:sz w:val="20"/>
          <w:szCs w:val="20"/>
          <w:color w:val="auto"/>
        </w:rPr>
        <w:t>Net sales for the DSD segment were $2,369.2 million for the year ended December 31, 2014, an increase of approximately $221.9 million, or 10.3% higher than net sales of $2,147.4 million for the year ended December 31, 2013. The increase in net sales of our Monster Energy® brand energy drinks represented approximately $220.4 million, or 99.4%,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Price increases on our 24-ounce Monster Energy® brand energy drinks and our Peace Tea® line represented approximately 7% of the overall increase in net sales for the DSD segment. No other individual product line contributed either a material increase or decrease to net sales for the DSD segment for the year ended December 31, 2014.</w:t>
      </w:r>
    </w:p>
    <w:p>
      <w:pPr>
        <w:spacing w:after="0" w:line="20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sales for the Warehouse segment were $95.7 million for the year ended December 31, 2014, a decrease of approximately $3.4 million, or 3.4% lower than net sales of $99.1 million for the year ended December 31, 2013. The decrease in net sales for the Warehouse segment was primarily attributable to decreased sales by volume of Hubert’s® lemonades and apple juice. The decrease in net sales for the Warehouse segment was partially offset by increased sales by volume of aseptic juices.</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was $1,339.8 million for the year ended December 31, 2014, an increase of approximately $166.9 million,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14.2% higher than the gross profit of $1,172.9 million for the year ended December 31, 2013. Gross profit as a percentage of net sales increased to 54.4% for the year ended December 31, 2014 from 52.2% for the year ended December 31, 2013. The increase in gross profit dollars was primarily the result of the $236.9 million increase in gross sales of our Monster Energy® brand energy drinks. The increase in gross profit as a percentage of net sales was largely attributable to lower promotional and other allowances as a percentage of gross sales, price increases on our 24-ounce Monster Energy® brand energy drinks and our Peace Tea® line, changes in product sales mix, lower costs of certain sweeteners and other raw materials as well as an increase in production efficiencies.</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Operating Expenses</w:t>
      </w:r>
      <w:r>
        <w:rPr>
          <w:rFonts w:ascii="Times New Roman" w:cs="Times New Roman" w:eastAsia="Times New Roman" w:hAnsi="Times New Roman"/>
          <w:sz w:val="20"/>
          <w:szCs w:val="20"/>
          <w:color w:val="auto"/>
        </w:rPr>
        <w:t>. Total operating expenses were $592.3 million for the year ended December 31, 2014, a decrease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$7.7 million, or 1.3% lower than total operating expenses of $600.0 million for the year ended December 31, 2013. The decrease in operating expenses was partially attributable to decreased expenditures of $10.9 million relating to the costs associated with terminating existing distributors, decreased expenditures of $9.9 million for premiums, decreased expenditures of $8.6 million for allocated trade development, a $2.5 million non-routine indirect tax related provision recorded in the third quarter of 2013, subsequently reversed in the second quarter of 2014 for non-realization, and decreased expenditures of $4.0 million for point-of-sale materials. The decrease in operating expenses was partially offset by increased out-bound freight and warehouse costs of $7.2 million, increased expenditures of $6.3 million for sponsorships and endorsements, increased payroll expenses of $6.4 million (inclusive of decreased stock-based compensation of $0.2 million), increased expenditures of $2.7 million related to regulatory matters and litigation concerning our Monster Energy® brand energy drinks and expenditures of $4.8 million for professional service costs related to the TCCC Transaction.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Contribution Margin. </w:t>
      </w:r>
      <w:r>
        <w:rPr>
          <w:rFonts w:ascii="Times New Roman" w:cs="Times New Roman" w:eastAsia="Times New Roman" w:hAnsi="Times New Roman"/>
          <w:sz w:val="20"/>
          <w:szCs w:val="20"/>
          <w:color w:val="auto"/>
        </w:rPr>
        <w:t>Contribution margin for the DSD segment was $908.8 million for the year ended December 31, 2014,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increase of approximately $182.0 million, or 25.0% higher than contribution margin of $726.8 million for the year ended December 31, 2013. The increase in the contribution margin for the DSD segment was primarily the result of the $236.9 million increase in gross sales of our Monster Energy® brand energy drinks. Contribution margin for the Warehouse segment was $3.0 million for the year ended December 31, 2014, approximately $4.7 million higher than contribution loss of ($1.7) million for the year ended December 31, 2013.</w:t>
      </w:r>
    </w:p>
    <w:p>
      <w:pPr>
        <w:sectPr>
          <w:pgSz w:w="11900" w:h="16838" w:orient="portrait"/>
          <w:cols w:equalWidth="0" w:num="1">
            <w:col w:w="11420"/>
          </w:cols>
          <w:pgMar w:left="240" w:top="118" w:right="239" w:bottom="0" w:gutter="0" w:footer="0" w:header="0"/>
        </w:sectPr>
      </w:pPr>
    </w:p>
    <w:bookmarkStart w:id="33" w:name="page34"/>
    <w:bookmarkEnd w:id="33"/>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Operating Income. </w:t>
      </w:r>
      <w:r>
        <w:rPr>
          <w:rFonts w:ascii="Times New Roman" w:cs="Times New Roman" w:eastAsia="Times New Roman" w:hAnsi="Times New Roman"/>
          <w:sz w:val="20"/>
          <w:szCs w:val="20"/>
          <w:color w:val="auto"/>
        </w:rPr>
        <w:t>Operating income was $747.5 million for the year ended December 31, 2014, an increase of approximately $174.6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or 30.5% higher than operating income of $572.9 million for the year ended December 31, 2013. Operating income as a percentage of net sales increased to 30.3% for the year ended December 31, 2014 from 25.5% for the year ended December 31, 2013, primarily due to the increase in gross profit as a percentage of net sales as well as the decrease in operating expenses as a percentage of net sales. The increase in operating income in dollars was primarily due to an increase of $166.9 million in gross profit. Operating income (loss) was $37.8 million and ($12.9) million for the years ended December 31, 2014 and 2013, respectively, in relation to our operations in Africa, Asia, Australia, Europe, the Middle East and South America.</w:t>
      </w:r>
    </w:p>
    <w:p>
      <w:pPr>
        <w:spacing w:after="0" w:line="19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Other (Expense) Income</w:t>
      </w:r>
      <w:r>
        <w:rPr>
          <w:rFonts w:ascii="Times New Roman" w:cs="Times New Roman" w:eastAsia="Times New Roman" w:hAnsi="Times New Roman"/>
          <w:sz w:val="20"/>
          <w:szCs w:val="20"/>
          <w:color w:val="auto"/>
        </w:rPr>
        <w:t>. Other (expense) income was ($1.7) million for the year ended December 31, 2014, as compared to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 income of ($9.0) million for the year ended December 31, 2013. Foreign currency transaction losses were ($3.4) million and ($12.9) million for the years ended December 31, 2014 and 2013, respectively. The decrease in foreign currency losses during the year ended December 31, 2014 was primarily related to our foreign currency transactions in Australia, Japan, Ireland and South Africa. Interest income was $1.7 million and $1.0 million for the years ended December 31, 2014 and 2013, respectively.</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Provision for Income Taxes</w:t>
      </w:r>
      <w:r>
        <w:rPr>
          <w:rFonts w:ascii="Times New Roman" w:cs="Times New Roman" w:eastAsia="Times New Roman" w:hAnsi="Times New Roman"/>
          <w:sz w:val="20"/>
          <w:szCs w:val="20"/>
          <w:color w:val="auto"/>
        </w:rPr>
        <w:t>. Provision for income taxes was $262.6 million for the year ended December 31, 2014, an increase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$37.4 million or 16.6% higher than the provision for income taxes of $225.2 million for the year ended December 31, 2013. The effective combined federal, state and foreign tax rate decreased to 35.2% from 39.9% for the years ended December 31, 2014 and 2013, respectively. The decrease in the effective tax rate was primarily the result of profits earned in certain foreign subsidiaries that have no related income tax expense, as a result of the prior establishment of valuation allowances on their deferred tax assets.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Net Income</w:t>
      </w:r>
      <w:r>
        <w:rPr>
          <w:rFonts w:ascii="Times New Roman" w:cs="Times New Roman" w:eastAsia="Times New Roman" w:hAnsi="Times New Roman"/>
          <w:sz w:val="20"/>
          <w:szCs w:val="20"/>
          <w:color w:val="auto"/>
        </w:rPr>
        <w:t>. Net income was $483.2 million for the year ended December 31, 2014, an increase of $144.5 million or 42.7% higher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net income of $338.7 million for the year ended December 31, 2013. The increase in net income was primarily attributable to an increase in gross profit of $166.9 million. The increase in net income was partially offset by an increase in the provision for income taxes of $37.4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Year Ended December 31, 2013 Compared to the Year Ended December 31, 2012.</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Gross Sales. </w:t>
      </w:r>
      <w:r>
        <w:rPr>
          <w:rFonts w:ascii="Times New Roman" w:cs="Times New Roman" w:eastAsia="Times New Roman" w:hAnsi="Times New Roman"/>
          <w:sz w:val="20"/>
          <w:szCs w:val="20"/>
          <w:color w:val="auto"/>
        </w:rPr>
        <w:t>Gross sales were $2,586.5 million for the year ended December 31, 2013, an increase of approximately $213.0 million,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9.0% higher than gross sales of $2,373.5 million for the year ended December 31, 2012. The increase in the gross sales of our Monster Energy® brand energy drinks represented approximately $207.4 million, or 97.4%, of the overall increase in gross sales. Gross sales of our Monster Energy® brand energy drinks increased primarily due to increased sales by volume as a result of increased domestic and international demand as well as our expansion into new international markets. The increase in gross sales of our Hubert’s® lemonades represented approximately $10.5 million, or 4.9%, of the overall increase in gross sales. Gross sales of our Hubert’s® lemonades increased primarily due to increased sales by volume as a result of increased distribution and increased domestic demand. Pricing changes did not have a material impact on the increase in gross sales. No other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individual product line contributed either a material increase or decrease to gross sales for the year ended December 31, 2013. Promotional and other allowances, as described in the footnote above, were $340.1 million for the year ended December 31, 2013, an increase of $27.3 million, or 8.7% higher than promotional and other allowances of $312.8 million for the year ended December 31, 2012. Promotional and other allowances as a percentage of gross sales increased to 13.1% from 13.2% for the years ended December 31, 2013 and 2012, respectively.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Collective changes in foreign currency exchange rates did not have a material impact on gross sales for the year ended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2013.</w:t>
      </w:r>
    </w:p>
    <w:p>
      <w:pPr>
        <w:spacing w:after="0" w:line="203" w:lineRule="exact"/>
        <w:rPr>
          <w:sz w:val="20"/>
          <w:szCs w:val="20"/>
          <w:color w:val="auto"/>
        </w:rPr>
      </w:pPr>
    </w:p>
    <w:p>
      <w:pPr>
        <w:jc w:val="both"/>
        <w:ind w:firstLine="687"/>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Net Sales. </w:t>
      </w:r>
      <w:r>
        <w:rPr>
          <w:rFonts w:ascii="Times New Roman" w:cs="Times New Roman" w:eastAsia="Times New Roman" w:hAnsi="Times New Roman"/>
          <w:sz w:val="19"/>
          <w:szCs w:val="19"/>
          <w:color w:val="auto"/>
        </w:rPr>
        <w:t>Net sales were $2,246.4 million for the year ended December 31, 2013, an increase of approximately $185.7 million,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9.0% higher than net sales of $2,060.7 million for the year ended December 31, 2012. The increase in net sales of our Monster Energy® brand energy drinks represented approximately $177.5 million, or 95.6%, of the overall increase in net sales. Net sales of our Monster Energy® brand energy drinks increased primarily due to increased sales by volume as a result of increased domestic and international demand as well as our expansion into new international markets. The increase in net sales of our Hubert’s® lemonades represented approximately $8.4 million, or 4.5%, of the overall increase in net sales. Net sales of our Hubert’s® lemonades increased primarily due to increased sales by volume as a result of increased distribution and increased domestic demand. Pricing changes did not have a material impact on the increase in net sales. No other individual product line contributed either a material increase or decrease to net sales for the year ended December 31, 2013.</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Collective changes in foreign currency exchange rates did not have a material impact on net sales for the year ended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2013.</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Case sales, in 192-ounce case equivalents, were 221.3 million cases for the year ended December 31, 2013, an increase of approximately 18.4 million cases or 9.1% higher than case sales of 202.9 million cases for the year ended December 31, 2012. The overall average net sales per case decreased to $10.15 for the year ended December 31, 2013, which was 0.1% lower than the average net sales per case of $10.16 for the year ended December 31, 2012.</w:t>
      </w:r>
    </w:p>
    <w:p>
      <w:pPr>
        <w:spacing w:after="0" w:line="194" w:lineRule="exact"/>
        <w:rPr>
          <w:sz w:val="20"/>
          <w:szCs w:val="20"/>
          <w:color w:val="auto"/>
        </w:rPr>
      </w:pPr>
    </w:p>
    <w:p>
      <w:pPr>
        <w:jc w:val="both"/>
        <w:ind w:firstLine="687"/>
        <w:spacing w:after="0" w:line="263" w:lineRule="auto"/>
        <w:rPr>
          <w:sz w:val="20"/>
          <w:szCs w:val="20"/>
          <w:color w:val="auto"/>
        </w:rPr>
      </w:pPr>
      <w:r>
        <w:rPr>
          <w:rFonts w:ascii="Times New Roman" w:cs="Times New Roman" w:eastAsia="Times New Roman" w:hAnsi="Times New Roman"/>
          <w:sz w:val="19"/>
          <w:szCs w:val="19"/>
          <w:color w:val="auto"/>
        </w:rPr>
        <w:t>Net sales for the DSD segment were $2,147.4 million for the year ended December 31, 2013, an increase of approximately $180.9 million, or 9.2% higher than net sales of $1,966.5 million for the year ended December 31, 2012. The increase in net sales of our Monster Energy® brand energy drinks represented approximately $177.5 million, or 98.1%, of the overall increase in net sales for the DSD segment. Net sales for the DSD segment of our Monster Energy® brand energy drinks increased primarily due to increased sales by volume as a result of increased domestic and international demand as well as our expansion into new international markets. Pricing changes did not have a material</w:t>
      </w:r>
    </w:p>
    <w:p>
      <w:pPr>
        <w:sectPr>
          <w:pgSz w:w="11900" w:h="16838" w:orient="portrait"/>
          <w:cols w:equalWidth="0" w:num="1">
            <w:col w:w="11420"/>
          </w:cols>
          <w:pgMar w:left="240" w:top="114" w:right="239" w:bottom="0" w:gutter="0" w:footer="0" w:header="0"/>
        </w:sectPr>
      </w:pPr>
    </w:p>
    <w:bookmarkStart w:id="34" w:name="page35"/>
    <w:bookmarkEnd w:id="34"/>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impact on the increase in net sales for the DSD segment. No other individual product line contributed either a material increase or decrease to net sales for the DSD segment for the year ended December 31, 2013.</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sales for the Warehouse segment were $99.1 million for the year ended December 31, 2013, an increase of approximately $4.9 million, or 5.1% higher than net sales of $94.2 million for the year ended December 31, 2012. The increase in net sales for the Warehouse segment was primarily attributable to increased sales by volume of Hubert’s® lemonades. The increase in net sales for the Warehouse segment was partially offset by decreased sales by volume of Hansen’s® soda.</w:t>
      </w:r>
    </w:p>
    <w:p>
      <w:pPr>
        <w:spacing w:after="0" w:line="19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was $1,172.9 million for the year ended December 31, 2013, an increase of approximately $107.3 million,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10.1% higher than the gross profit of $1,065.7 million for the year ended December 31, 2012. Gross profit as a percentage of net sales increased to 52.2% for the year ended December 31, 2013 from 51.7% for the year ended December 31, 2012. The increase in gross profit dollars was primarily the result of the $207.4 million increase in gross sales of our Monster Energy® brand energy drinks. The increase in gross profit as a percentage of net sales was largely attributable to changes in product sales mix as well as a reduction in the cost of certain containers.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Operating Expenses</w:t>
      </w:r>
      <w:r>
        <w:rPr>
          <w:rFonts w:ascii="Times New Roman" w:cs="Times New Roman" w:eastAsia="Times New Roman" w:hAnsi="Times New Roman"/>
          <w:sz w:val="20"/>
          <w:szCs w:val="20"/>
          <w:color w:val="auto"/>
        </w:rPr>
        <w:t>. Total operating expenses were $600.0 million for the year ended December 31, 2013, an increase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$85.0 million, or 16.5% higher than total operating expenses of $515.0 million for the year ended December 31, 2012. The increase in operating expenses was partially attributable to increased expenditures of $19.4 million for professional service costs, including legal and accounting fees (of which $15.9 million related to regulatory matters and litigation concerning our Monster Energy® brand energy drinks), increased payroll expenses of $13.7 million (of which $0.4 million was related to an increase in stock-based compensation), increased out-bound freight and warehouse costs of $11.9 million, increased expenditures of $9.3 million relating to the costs associated with terminating existing distributors, increased expenditures of $7.3 million for sponsorships and endorsements and increased expenditures of $5.2 million for merchandise displays. Total operating expenses as a percentage of net sales was 26.7% for the year ended December 31, 2013, compared to 25.0% for the year ended December 31, 2012.</w:t>
      </w:r>
    </w:p>
    <w:p>
      <w:pPr>
        <w:spacing w:after="0" w:line="20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Contribution Margin. </w:t>
      </w:r>
      <w:r>
        <w:rPr>
          <w:rFonts w:ascii="Times New Roman" w:cs="Times New Roman" w:eastAsia="Times New Roman" w:hAnsi="Times New Roman"/>
          <w:sz w:val="20"/>
          <w:szCs w:val="20"/>
          <w:color w:val="auto"/>
        </w:rPr>
        <w:t>Contribution margin for the DSD segment was $726.8 million for the year ended December 31, 2013,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increase of approximately $66.2 million, or 10.0% higher than the contribution margin of $660.6 million for the year ended December 31, 2012. The increase in the contribution margin for the DSD segment was primarily the result of the $207.4 million increase in gross sales of our Monster Energy® brand energy drinks. Contribution margin for the Warehouse segment was ($1.7) million for the year ended December 31, 2013, approximately $5.2 million lower than the contribution margin of $3.5 million for the year ended December 31, 2012. The decrease in the contribution margin for the Warehouse segment was primarily attributable to increased promotional and other allowances as well as increased operating expenses.</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Operating Income. </w:t>
      </w:r>
      <w:r>
        <w:rPr>
          <w:rFonts w:ascii="Times New Roman" w:cs="Times New Roman" w:eastAsia="Times New Roman" w:hAnsi="Times New Roman"/>
          <w:sz w:val="20"/>
          <w:szCs w:val="20"/>
          <w:color w:val="auto"/>
        </w:rPr>
        <w:t>Operating income was $572.9 million for the year ended December 31, 2013, an increase of approximately $22.3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or 4.0% higher than operating income of $550.6 million for the year ended December 31, 2012. Operating income as a percentage of net sales decreased to 25.5% for the year ended December 31, 2013 from 26.7% for the year ended December 31, 2012, primarily due to the increase in operating expenses as a percentage of net sales. The increase in operating income dollars was primarily due to an increase in gross profit of $107.3 million, partially offset by an $85.0 million increase in operating expenses. Operating income was negatively affected by combined operating losses of $12.9 million and $10.1 million for the years ended December 31, 2013 and 2012, respectively, in relation to our operations in Africa, Asia, Australia, Europe, the Middle East and South America.</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Other (Expense) Income</w:t>
      </w:r>
      <w:r>
        <w:rPr>
          <w:rFonts w:ascii="Times New Roman" w:cs="Times New Roman" w:eastAsia="Times New Roman" w:hAnsi="Times New Roman"/>
          <w:sz w:val="20"/>
          <w:szCs w:val="20"/>
          <w:color w:val="auto"/>
        </w:rPr>
        <w:t>. Other (expense) was ($9.0) million for the year ended December 31, 2013, as compared to other (expense)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($1.5) million for the year ended December 31, 2012. Foreign currency transaction losses were $12.9 million and $3.7 million for the years ended December 31, 2013 and 2012, respectively. The increase in foreign currency losses during the year ended December 31, 2013 was primarily related to our operations in Australia, Europe, Japan and South Africa. Interest income was $1.0 million and $1.4 million for the years ended December 31, 2013 and 2012, respectively.</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Provision for Income Taxes</w:t>
      </w:r>
      <w:r>
        <w:rPr>
          <w:rFonts w:ascii="Times New Roman" w:cs="Times New Roman" w:eastAsia="Times New Roman" w:hAnsi="Times New Roman"/>
          <w:sz w:val="20"/>
          <w:szCs w:val="20"/>
          <w:color w:val="auto"/>
        </w:rPr>
        <w:t>. Provision for income taxes was $225.2 million for the year ended December 31, 2013, an increase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$16.1 million or 7.7% higher than the provision for income taxes of $209.1 million for year ended December 31, 2012. The effective combined federal, state and foreign tax rate increased to 39.9% from 38.1% for the years ended December 31, 2013 and 2012, respectively. The increase in the effective tax rate during the year ended December 31, 2013 was primarily the result of the impact of increased losses in certain foreign subsidiaries for which there is no tax benefit and the establishment of a full valuation allowance against the deferred tax assets of certain foreign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Net Income</w:t>
      </w:r>
      <w:r>
        <w:rPr>
          <w:rFonts w:ascii="Times New Roman" w:cs="Times New Roman" w:eastAsia="Times New Roman" w:hAnsi="Times New Roman"/>
          <w:sz w:val="20"/>
          <w:szCs w:val="20"/>
          <w:color w:val="auto"/>
        </w:rPr>
        <w:t>. Net income was $338.7 million for the year ended December 31, 2013, a decrease of $1.4 million or 0.4% lower than net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of $340.0 million for the year ended December 31, 2012. The decrease in net income was partially attributable to: (i) an increase in professional service costs of $15.9 million related to regulatory matters and litigation concerning the advertising, marketing, promotion, ingredients, usage, safety and sale of our Monster Energy® brand energy drinks; (ii) an increase in expenditures attributable to the costs associated with terminating existing distributors of $9.3 million; (iii) an increase in foreign currency losses of $9.2 million primarily related to our operations in Australia, Europe, Japan and South Africa; and (iv) an increase in the effective combined federal, state and foreign tax rate from 38.1% to 39.9% due in part to a $4.7 million increase in the impact of both existing and newly established valuation allowances against the deferred tax assets of certain foreign subsidiaries.</w:t>
      </w:r>
    </w:p>
    <w:p>
      <w:pPr>
        <w:sectPr>
          <w:pgSz w:w="11900" w:h="16838" w:orient="portrait"/>
          <w:cols w:equalWidth="0" w:num="1">
            <w:col w:w="11420"/>
          </w:cols>
          <w:pgMar w:left="240" w:top="118" w:right="239" w:bottom="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Sales</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table set forth below discloses selected quarterly data regarding sales for the past five years. Data from any one or more quarters is not necessarily indicative of annual results or continuing trends.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beverages sold by us.</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In addition, our experience with our energy drink products suggests they are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distributors and customers, changes in the sales mix of our products and changes in and/or increased advertising and promotional expenses. (See “Part I, Item 1 – Business – Seasonality”).</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6"/>
              </w:rPr>
              <w:t>Unit Case Volume / Sales</w:t>
            </w:r>
          </w:p>
        </w:tc>
        <w:tc>
          <w:tcPr>
            <w:tcW w:w="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2014</w:t>
            </w:r>
          </w:p>
        </w:tc>
        <w:tc>
          <w:tcPr>
            <w:tcW w:w="4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2013</w:t>
            </w:r>
          </w:p>
        </w:tc>
        <w:tc>
          <w:tcPr>
            <w:tcW w:w="2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2012</w:t>
            </w: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2011</w:t>
            </w: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2010</w:t>
            </w:r>
          </w:p>
        </w:tc>
        <w:tc>
          <w:tcPr>
            <w:tcW w:w="0" w:type="dxa"/>
            <w:vAlign w:val="bottom"/>
          </w:tcPr>
          <w:p>
            <w:pPr>
              <w:spacing w:after="0"/>
              <w:rPr>
                <w:sz w:val="1"/>
                <w:szCs w:val="1"/>
                <w:color w:val="auto"/>
              </w:rPr>
            </w:pPr>
          </w:p>
        </w:tc>
      </w:tr>
      <w:tr>
        <w:trPr>
          <w:trHeight w:val="169"/>
        </w:trPr>
        <w:tc>
          <w:tcPr>
            <w:tcW w:w="2020" w:type="dxa"/>
            <w:vAlign w:val="bottom"/>
            <w:tcBorders>
              <w:bottom w:val="single" w:sz="8" w:color="auto"/>
            </w:tcBorders>
            <w:gridSpan w:val="2"/>
            <w:vMerge w:val="continue"/>
          </w:tcPr>
          <w:p>
            <w:pPr>
              <w:spacing w:after="0"/>
              <w:rPr>
                <w:sz w:val="14"/>
                <w:szCs w:val="14"/>
                <w:color w:val="auto"/>
              </w:rPr>
            </w:pPr>
          </w:p>
        </w:tc>
        <w:tc>
          <w:tcPr>
            <w:tcW w:w="1240" w:type="dxa"/>
            <w:vAlign w:val="bottom"/>
            <w:tcBorders>
              <w:bottom w:val="single" w:sz="8" w:color="auto"/>
            </w:tcBorders>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auto"/>
              </w:rPr>
              <w:t>(in Thousands)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47,749</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44,396</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34,681</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24,205</w:t>
            </w:r>
          </w:p>
        </w:tc>
        <w:tc>
          <w:tcPr>
            <w:tcW w:w="0" w:type="dxa"/>
            <w:vAlign w:val="bottom"/>
          </w:tcPr>
          <w:p>
            <w:pPr>
              <w:spacing w:after="0"/>
              <w:rPr>
                <w:sz w:val="1"/>
                <w:szCs w:val="1"/>
                <w:color w:val="auto"/>
              </w:rPr>
            </w:pPr>
          </w:p>
        </w:tc>
      </w:tr>
      <w:tr>
        <w:trPr>
          <w:trHeight w:val="227"/>
        </w:trPr>
        <w:tc>
          <w:tcPr>
            <w:tcW w:w="2220" w:type="dxa"/>
            <w:vAlign w:val="bottom"/>
            <w:gridSpan w:val="4"/>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51,926</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Quarter 2</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65,587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61,615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57,525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44,272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35,861</w:t>
            </w:r>
          </w:p>
        </w:tc>
        <w:tc>
          <w:tcPr>
            <w:tcW w:w="0" w:type="dxa"/>
            <w:vAlign w:val="bottom"/>
          </w:tcPr>
          <w:p>
            <w:pPr>
              <w:spacing w:after="0"/>
              <w:rPr>
                <w:sz w:val="1"/>
                <w:szCs w:val="1"/>
                <w:color w:val="auto"/>
              </w:rPr>
            </w:pPr>
          </w:p>
        </w:tc>
      </w:tr>
      <w:tr>
        <w:trPr>
          <w:trHeight w:val="230"/>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Quarter 3</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62,204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59,204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54,611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46,277</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37,856</w:t>
            </w:r>
          </w:p>
        </w:tc>
        <w:tc>
          <w:tcPr>
            <w:tcW w:w="0" w:type="dxa"/>
            <w:vAlign w:val="bottom"/>
          </w:tcPr>
          <w:p>
            <w:pPr>
              <w:spacing w:after="0"/>
              <w:rPr>
                <w:sz w:val="1"/>
                <w:szCs w:val="1"/>
                <w:color w:val="auto"/>
              </w:rPr>
            </w:pPr>
          </w:p>
        </w:tc>
      </w:tr>
      <w:tr>
        <w:trPr>
          <w:trHeight w:val="252"/>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Quarter 4</w:t>
            </w:r>
          </w:p>
        </w:tc>
        <w:tc>
          <w:tcPr>
            <w:tcW w:w="2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58,563</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52,780</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46,386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39,431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31,109</w:t>
            </w:r>
          </w:p>
        </w:tc>
        <w:tc>
          <w:tcPr>
            <w:tcW w:w="0" w:type="dxa"/>
            <w:vAlign w:val="bottom"/>
          </w:tcPr>
          <w:p>
            <w:pPr>
              <w:spacing w:after="0"/>
              <w:rPr>
                <w:sz w:val="1"/>
                <w:szCs w:val="1"/>
                <w:color w:val="auto"/>
              </w:rPr>
            </w:pPr>
          </w:p>
        </w:tc>
      </w:tr>
      <w:tr>
        <w:trPr>
          <w:trHeight w:val="223"/>
        </w:trPr>
        <w:tc>
          <w:tcPr>
            <w:tcW w:w="20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238,280</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221,348</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202,918</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164,661</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129,031</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Net Sales (in Thousands)</w:t>
            </w:r>
          </w:p>
        </w:tc>
        <w:tc>
          <w:tcPr>
            <w:tcW w:w="26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536,129</w:t>
            </w:r>
          </w:p>
        </w:tc>
        <w:tc>
          <w:tcPr>
            <w:tcW w:w="220" w:type="dxa"/>
            <w:vAlign w:val="bottom"/>
          </w:tcPr>
          <w:p>
            <w:pPr>
              <w:spacing w:after="0"/>
              <w:rPr>
                <w:sz w:val="24"/>
                <w:szCs w:val="24"/>
                <w:color w:val="auto"/>
              </w:rPr>
            </w:pPr>
          </w:p>
        </w:tc>
        <w:tc>
          <w:tcPr>
            <w:tcW w:w="44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484,223</w:t>
            </w:r>
          </w:p>
        </w:tc>
        <w:tc>
          <w:tcPr>
            <w:tcW w:w="240" w:type="dxa"/>
            <w:vAlign w:val="bottom"/>
          </w:tcPr>
          <w:p>
            <w:pPr>
              <w:spacing w:after="0"/>
              <w:rPr>
                <w:sz w:val="24"/>
                <w:szCs w:val="24"/>
                <w:color w:val="auto"/>
              </w:rPr>
            </w:pPr>
          </w:p>
        </w:tc>
        <w:tc>
          <w:tcPr>
            <w:tcW w:w="44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454,605</w:t>
            </w:r>
          </w:p>
        </w:tc>
        <w:tc>
          <w:tcPr>
            <w:tcW w:w="220" w:type="dxa"/>
            <w:vAlign w:val="bottom"/>
          </w:tcPr>
          <w:p>
            <w:pPr>
              <w:spacing w:after="0"/>
              <w:rPr>
                <w:sz w:val="24"/>
                <w:szCs w:val="24"/>
                <w:color w:val="auto"/>
              </w:rPr>
            </w:pPr>
          </w:p>
        </w:tc>
        <w:tc>
          <w:tcPr>
            <w:tcW w:w="42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356,419</w:t>
            </w:r>
          </w:p>
        </w:tc>
        <w:tc>
          <w:tcPr>
            <w:tcW w:w="220" w:type="dxa"/>
            <w:vAlign w:val="bottom"/>
          </w:tcPr>
          <w:p>
            <w:pPr>
              <w:spacing w:after="0"/>
              <w:rPr>
                <w:sz w:val="24"/>
                <w:szCs w:val="24"/>
                <w:color w:val="auto"/>
              </w:rPr>
            </w:pPr>
          </w:p>
        </w:tc>
        <w:tc>
          <w:tcPr>
            <w:tcW w:w="42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238,110</w:t>
            </w:r>
          </w:p>
        </w:tc>
        <w:tc>
          <w:tcPr>
            <w:tcW w:w="0" w:type="dxa"/>
            <w:vAlign w:val="bottom"/>
          </w:tcPr>
          <w:p>
            <w:pPr>
              <w:spacing w:after="0"/>
              <w:rPr>
                <w:sz w:val="1"/>
                <w:szCs w:val="1"/>
                <w:color w:val="auto"/>
              </w:rPr>
            </w:pPr>
          </w:p>
        </w:tc>
      </w:tr>
      <w:tr>
        <w:trPr>
          <w:trHeight w:val="227"/>
        </w:trPr>
        <w:tc>
          <w:tcPr>
            <w:tcW w:w="198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240" w:type="dxa"/>
            <w:vAlign w:val="bottom"/>
            <w:gridSpan w:val="3"/>
          </w:tcPr>
          <w:p>
            <w:pPr>
              <w:spacing w:after="0"/>
              <w:rPr>
                <w:sz w:val="19"/>
                <w:szCs w:val="19"/>
                <w:color w:val="auto"/>
              </w:rPr>
            </w:pPr>
          </w:p>
        </w:tc>
        <w:tc>
          <w:tcPr>
            <w:tcW w:w="26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Quarter 2</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687,199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630,934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592,640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462,145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365,701</w:t>
            </w:r>
          </w:p>
        </w:tc>
        <w:tc>
          <w:tcPr>
            <w:tcW w:w="0" w:type="dxa"/>
            <w:vAlign w:val="bottom"/>
          </w:tcPr>
          <w:p>
            <w:pPr>
              <w:spacing w:after="0"/>
              <w:rPr>
                <w:sz w:val="1"/>
                <w:szCs w:val="1"/>
                <w:color w:val="auto"/>
              </w:rPr>
            </w:pPr>
          </w:p>
        </w:tc>
      </w:tr>
      <w:tr>
        <w:trPr>
          <w:trHeight w:val="230"/>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Quarter 3</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635,972</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590,422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541,940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474,709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381,466</w:t>
            </w:r>
          </w:p>
        </w:tc>
        <w:tc>
          <w:tcPr>
            <w:tcW w:w="0" w:type="dxa"/>
            <w:vAlign w:val="bottom"/>
          </w:tcPr>
          <w:p>
            <w:pPr>
              <w:spacing w:after="0"/>
              <w:rPr>
                <w:sz w:val="1"/>
                <w:szCs w:val="1"/>
                <w:color w:val="auto"/>
              </w:rPr>
            </w:pPr>
          </w:p>
        </w:tc>
      </w:tr>
      <w:tr>
        <w:trPr>
          <w:trHeight w:val="252"/>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Quarter 4</w:t>
            </w:r>
          </w:p>
        </w:tc>
        <w:tc>
          <w:tcPr>
            <w:tcW w:w="2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605,567</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540,849</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471,517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409,957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318,665</w:t>
            </w:r>
          </w:p>
        </w:tc>
        <w:tc>
          <w:tcPr>
            <w:tcW w:w="0" w:type="dxa"/>
            <w:vAlign w:val="bottom"/>
          </w:tcPr>
          <w:p>
            <w:pPr>
              <w:spacing w:after="0"/>
              <w:rPr>
                <w:sz w:val="1"/>
                <w:szCs w:val="1"/>
                <w:color w:val="auto"/>
              </w:rPr>
            </w:pPr>
          </w:p>
        </w:tc>
      </w:tr>
      <w:tr>
        <w:trPr>
          <w:trHeight w:val="223"/>
        </w:trPr>
        <w:tc>
          <w:tcPr>
            <w:tcW w:w="20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2,464,867</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2,246,428</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2,060,702</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1,703,230</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1,303,942</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7"/>
              </w:rPr>
              <w:t>Average Net Sales Per Case</w:t>
            </w:r>
          </w:p>
        </w:tc>
        <w:tc>
          <w:tcPr>
            <w:tcW w:w="20" w:type="dxa"/>
            <w:vAlign w:val="bottom"/>
          </w:tcPr>
          <w:p>
            <w:pPr>
              <w:spacing w:after="0"/>
              <w:rPr>
                <w:sz w:val="24"/>
                <w:szCs w:val="24"/>
                <w:color w:val="auto"/>
              </w:rPr>
            </w:pPr>
          </w:p>
        </w:tc>
        <w:tc>
          <w:tcPr>
            <w:tcW w:w="26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10.32</w:t>
            </w:r>
          </w:p>
        </w:tc>
        <w:tc>
          <w:tcPr>
            <w:tcW w:w="220" w:type="dxa"/>
            <w:vAlign w:val="bottom"/>
          </w:tcPr>
          <w:p>
            <w:pPr>
              <w:spacing w:after="0"/>
              <w:rPr>
                <w:sz w:val="24"/>
                <w:szCs w:val="24"/>
                <w:color w:val="auto"/>
              </w:rPr>
            </w:pPr>
          </w:p>
        </w:tc>
        <w:tc>
          <w:tcPr>
            <w:tcW w:w="44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10.14</w:t>
            </w:r>
          </w:p>
        </w:tc>
        <w:tc>
          <w:tcPr>
            <w:tcW w:w="240" w:type="dxa"/>
            <w:vAlign w:val="bottom"/>
          </w:tcPr>
          <w:p>
            <w:pPr>
              <w:spacing w:after="0"/>
              <w:rPr>
                <w:sz w:val="24"/>
                <w:szCs w:val="24"/>
                <w:color w:val="auto"/>
              </w:rPr>
            </w:pPr>
          </w:p>
        </w:tc>
        <w:tc>
          <w:tcPr>
            <w:tcW w:w="44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10.24</w:t>
            </w:r>
          </w:p>
        </w:tc>
        <w:tc>
          <w:tcPr>
            <w:tcW w:w="220" w:type="dxa"/>
            <w:vAlign w:val="bottom"/>
          </w:tcPr>
          <w:p>
            <w:pPr>
              <w:spacing w:after="0"/>
              <w:rPr>
                <w:sz w:val="24"/>
                <w:szCs w:val="24"/>
                <w:color w:val="auto"/>
              </w:rPr>
            </w:pPr>
          </w:p>
        </w:tc>
        <w:tc>
          <w:tcPr>
            <w:tcW w:w="42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10.28</w:t>
            </w:r>
          </w:p>
        </w:tc>
        <w:tc>
          <w:tcPr>
            <w:tcW w:w="220" w:type="dxa"/>
            <w:vAlign w:val="bottom"/>
          </w:tcPr>
          <w:p>
            <w:pPr>
              <w:spacing w:after="0"/>
              <w:rPr>
                <w:sz w:val="24"/>
                <w:szCs w:val="24"/>
                <w:color w:val="auto"/>
              </w:rPr>
            </w:pPr>
          </w:p>
        </w:tc>
        <w:tc>
          <w:tcPr>
            <w:tcW w:w="42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9.84</w:t>
            </w:r>
          </w:p>
        </w:tc>
        <w:tc>
          <w:tcPr>
            <w:tcW w:w="0" w:type="dxa"/>
            <w:vAlign w:val="bottom"/>
          </w:tcPr>
          <w:p>
            <w:pPr>
              <w:spacing w:after="0"/>
              <w:rPr>
                <w:sz w:val="1"/>
                <w:szCs w:val="1"/>
                <w:color w:val="auto"/>
              </w:rPr>
            </w:pPr>
          </w:p>
        </w:tc>
      </w:tr>
      <w:tr>
        <w:trPr>
          <w:trHeight w:val="227"/>
        </w:trPr>
        <w:tc>
          <w:tcPr>
            <w:tcW w:w="2220" w:type="dxa"/>
            <w:vAlign w:val="bottom"/>
            <w:gridSpan w:val="4"/>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26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Quarter 2</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10.48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10.30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10.44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10.20</w:t>
            </w:r>
          </w:p>
        </w:tc>
        <w:tc>
          <w:tcPr>
            <w:tcW w:w="0" w:type="dxa"/>
            <w:vAlign w:val="bottom"/>
          </w:tcPr>
          <w:p>
            <w:pPr>
              <w:spacing w:after="0"/>
              <w:rPr>
                <w:sz w:val="1"/>
                <w:szCs w:val="1"/>
                <w:color w:val="auto"/>
              </w:rPr>
            </w:pPr>
          </w:p>
        </w:tc>
      </w:tr>
      <w:tr>
        <w:trPr>
          <w:trHeight w:val="230"/>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Quarter 3</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10.22</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10.26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10.08</w:t>
            </w:r>
          </w:p>
        </w:tc>
        <w:tc>
          <w:tcPr>
            <w:tcW w:w="0" w:type="dxa"/>
            <w:vAlign w:val="bottom"/>
          </w:tcPr>
          <w:p>
            <w:pPr>
              <w:spacing w:after="0"/>
              <w:rPr>
                <w:sz w:val="1"/>
                <w:szCs w:val="1"/>
                <w:color w:val="auto"/>
              </w:rPr>
            </w:pPr>
          </w:p>
        </w:tc>
      </w:tr>
      <w:tr>
        <w:trPr>
          <w:trHeight w:val="252"/>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Quarter 4</w:t>
            </w:r>
          </w:p>
        </w:tc>
        <w:tc>
          <w:tcPr>
            <w:tcW w:w="2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10.34</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10.17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10.40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10.24</w:t>
            </w:r>
          </w:p>
        </w:tc>
        <w:tc>
          <w:tcPr>
            <w:tcW w:w="0" w:type="dxa"/>
            <w:vAlign w:val="bottom"/>
          </w:tcPr>
          <w:p>
            <w:pPr>
              <w:spacing w:after="0"/>
              <w:rPr>
                <w:sz w:val="1"/>
                <w:szCs w:val="1"/>
                <w:color w:val="auto"/>
              </w:rPr>
            </w:pPr>
          </w:p>
        </w:tc>
      </w:tr>
      <w:tr>
        <w:trPr>
          <w:trHeight w:val="223"/>
        </w:trPr>
        <w:tc>
          <w:tcPr>
            <w:tcW w:w="20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10.34</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10.15</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10.16</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10.34</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10.11</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do not believe that inflation had a significant impact on our results of operations for the years ended December 31, 2014, 2013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Cash flows provided by operating activities – </w:t>
      </w:r>
      <w:r>
        <w:rPr>
          <w:rFonts w:ascii="Times New Roman" w:cs="Times New Roman" w:eastAsia="Times New Roman" w:hAnsi="Times New Roman"/>
          <w:sz w:val="19"/>
          <w:szCs w:val="19"/>
          <w:color w:val="auto"/>
        </w:rPr>
        <w:t>Net cash provided by operating activities was $585.6 million for the year ended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December 31, 2014, as compared with net cash provided by operating activities of $342.0 million for the year ended December 31, 2013. For the year ended December 31, 2014, cash provided by operating activities was primarily attributable to net income earned of $483.2 million and adjustments for certain non-cash expenses consisting of $28.6 million of stock-based compensation and $25.7 million of depreciation and other amortization. For the year ended December 31, 2014, cash provided by operating activities also increased due to a $42.8 million decrease in inventory, a $20.5 million increase in accrued promotional allowances, a $11.3 million increase in accounts payable, a $8.4 million increase in income taxes payable, a $4.6 million decrease in distributor receivables, a $3.4 million increase in accrued compensation and a $3.0 million increase in accrued liabilities. For the year ended December 31, 2014, cash provided by operating activities was reduced due to a $14.3 million increase in accounts receivable, an $11.9 million increase in tax benefit from the exercise of stock options, a $9.8 million increase in deferred income taxes, an $8.1 million decrease in deferred revenue and a $2.3 million decrease in accrued distributor terminations.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For the year ended December 31, 2013, cash provided by operating activities was primarily attributable to net income earned of $338.7 million and adjustments for certain non-cash expenses consisting of $28.8 million of stock-based compensation and $22.7 million of depreciation and other amortization. For the year ended December 31, 2013, cash provided by operating activities also increased due to a $34.3 million increase in income taxes payable, a $24.0 million decrease in prepaid income taxes, a $8.9 million increase in accrued promotional allowances, a $3.0 million increase in deferred revenue, a $2.3 million increase in accrued liabilities, a $2.0 million increase in accrued compensation and a $1.6 million increase in accrued distributor terminations. For the year ended December 31, 2013, cash provided by operating activities was reduced due to a $43.0 million increase in accounts receivable, a $30.3 million increase in tax benefit from the exercise of stock options, a $21.6 million increase in inventory, a $7.1 million increase in deferred income taxes, a $8.2 million decrease in accounts</w:t>
      </w:r>
    </w:p>
    <w:p>
      <w:pPr>
        <w:sectPr>
          <w:pgSz w:w="11900" w:h="16838" w:orient="portrait"/>
          <w:cols w:equalWidth="0" w:num="1">
            <w:col w:w="11420"/>
          </w:cols>
          <w:pgMar w:left="240" w:top="329" w:right="239" w:bottom="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20"/>
          <w:szCs w:val="20"/>
          <w:color w:val="auto"/>
        </w:rPr>
        <w:t>payable, a $4.5 million increase in prepaid expenses and other current assets, a $7.4 million increase in distributor receivables, and a $3.6 million gain on investments.</w:t>
      </w:r>
    </w:p>
    <w:p>
      <w:pPr>
        <w:spacing w:after="0" w:line="17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Cash flows (used in) provided by investing activities – </w:t>
      </w:r>
      <w:r>
        <w:rPr>
          <w:rFonts w:ascii="Times New Roman" w:cs="Times New Roman" w:eastAsia="Times New Roman" w:hAnsi="Times New Roman"/>
          <w:sz w:val="20"/>
          <w:szCs w:val="20"/>
          <w:color w:val="auto"/>
        </w:rPr>
        <w:t>Net cash used in investing activities was $440.4 million for the year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2014, as compared to net cash used in investing activities of $339.8 million for the year ended December 31, 2013. For the year ended December 31, 2014, cash used in investing activities was primarily attributable to purchases of held-to-maturity and available for sale investments, purchases of property and equipment, and additions to intangibles. For the year ended December 31, 2013, cash used in investing activities was primarily attributable to purchases of held-to-maturity investments, purchases of property and equipment (including the Company’s new corporate offices), and additions to intangibles. For the year ended December 31, 2014, cash provided by investing activities was primarily attributable to maturities of held-to-maturity investments, sales of trading investments and proceeds from the sale of property and equipment. For the year ended December 31, 2013, cash provided by investing activities was primarily attributable to maturities of held-to-maturity investments and proceeds from the sale of property and equipment.</w:t>
      </w:r>
    </w:p>
    <w:p>
      <w:pPr>
        <w:spacing w:after="0" w:line="20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For both the years ended December 31, 2014 and 2013,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portion of our cash in excess of our requirements for operations for purchasing short-term and long-term investments, and for other corporate purposes, including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7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Cash flows provided by (used in) financing activities – </w:t>
      </w:r>
      <w:r>
        <w:rPr>
          <w:rFonts w:ascii="Times New Roman" w:cs="Times New Roman" w:eastAsia="Times New Roman" w:hAnsi="Times New Roman"/>
          <w:sz w:val="20"/>
          <w:szCs w:val="20"/>
          <w:color w:val="auto"/>
        </w:rPr>
        <w:t>Net cash provided by financing activities was $19.3 million for the year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2014, as compared to net cash used in financing activities of $17.9 million for the year ended December 31, 2013. For the year ended December 31, 2014, cash provided by financing activities was primarily attributable to $17.2 million received from the issuance of common stock in connection with the exercise of certain stock options and an $11.9 million tax benefit from the exercise of stock options. For the year ended December 31, 2014, cash used in financing activities was primarily attributable to $8.2 million of re-purchases of common stock. For the year ended December 31, 2013, cash provided by financing activities was primarily attributable to a $30.3 million tax benefit from the exercise of stock options and $21.3 million received from the issuance of common stock in connection with the exercise of certain stock options. For the year ended December 31, 2013, cash used in financing activities was primarily attributable to $67.6 million of re-purchases of common stock.</w:t>
      </w: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Purchases of inventories, increases in accounts receivable and other assets, acquisition of property and equipment, leasehold improvements, acquisition and maintenance of trademarks, payments of accounts payable, income taxes payable and purchases of our common stock are expected to remain our principal recurring uses of cash.</w:t>
      </w:r>
    </w:p>
    <w:p>
      <w:pPr>
        <w:spacing w:after="0" w:line="18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short-term and long-term investments – </w:t>
      </w:r>
      <w:r>
        <w:rPr>
          <w:rFonts w:ascii="Times New Roman" w:cs="Times New Roman" w:eastAsia="Times New Roman" w:hAnsi="Times New Roman"/>
          <w:sz w:val="20"/>
          <w:szCs w:val="20"/>
          <w:color w:val="auto"/>
        </w:rPr>
        <w:t>As of December 31, 2014, we had $370.3 million in cash and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equivalents and $824.1 million in short-term and long-term investments. We have historically invested these amounts in U.S. Treasury bills, U.S. government agency securities and municipal securities (which may have an auction reset feature), certificates of deposit, commercial paper,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204" w:lineRule="exact"/>
        <w:rPr>
          <w:sz w:val="20"/>
          <w:szCs w:val="20"/>
          <w:color w:val="auto"/>
        </w:rPr>
      </w:pPr>
    </w:p>
    <w:p>
      <w:pPr>
        <w:jc w:val="both"/>
        <w:ind w:right="20" w:firstLine="648"/>
        <w:spacing w:after="0" w:line="247" w:lineRule="auto"/>
        <w:rPr>
          <w:sz w:val="20"/>
          <w:szCs w:val="20"/>
          <w:color w:val="auto"/>
        </w:rPr>
      </w:pPr>
      <w:r>
        <w:rPr>
          <w:rFonts w:ascii="Times New Roman" w:cs="Times New Roman" w:eastAsia="Times New Roman" w:hAnsi="Times New Roman"/>
          <w:sz w:val="20"/>
          <w:szCs w:val="20"/>
          <w:color w:val="auto"/>
        </w:rPr>
        <w:t>Of our $370.3 million of cash and cash equivalents held at December 31, 2014, $117.8 million was held by our foreign subsidiaries. No short-term or long-term investments were held by our foreign subsidiaries at December 31, 2014.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believe that cash available from operations, including our cash resources and our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purchases of capital assets, equipment and properties, through at least the next 12 months. Based on our current plans, at this time we estimate that capital expenditures are likely to be less than $120.0 million through December 31, 2015. However, future business opportunities may cause a change in this estimate.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represents a summary of the Company’s contractual commitments and related scheduled maturities as of December 31,</w:t>
      </w:r>
    </w:p>
    <w:p>
      <w:pPr>
        <w:sectPr>
          <w:pgSz w:w="11900" w:h="16838" w:orient="portrait"/>
          <w:cols w:equalWidth="0" w:num="1">
            <w:col w:w="11420"/>
          </w:cols>
          <w:pgMar w:left="240" w:top="118" w:right="239" w:bottom="0" w:gutter="0" w:footer="0" w:header="0"/>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2014:</w:t>
      </w:r>
    </w:p>
    <w:p>
      <w:pPr>
        <w:sectPr>
          <w:pgSz w:w="11900" w:h="16838" w:orient="portrait"/>
          <w:cols w:equalWidth="0" w:num="1">
            <w:col w:w="11420"/>
          </w:cols>
          <w:pgMar w:left="240" w:top="118" w:right="239" w:bottom="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71"/>
        </w:trPr>
        <w:tc>
          <w:tcPr>
            <w:tcW w:w="29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82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22"/>
                <w:szCs w:val="22"/>
                <w:color w:val="auto"/>
              </w:rPr>
              <w:t>Payments due by period (in thousands)</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09"/>
        </w:trPr>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560"/>
              <w:spacing w:after="0" w:line="209" w:lineRule="exact"/>
              <w:rPr>
                <w:sz w:val="20"/>
                <w:szCs w:val="20"/>
                <w:color w:val="auto"/>
              </w:rPr>
            </w:pPr>
            <w:r>
              <w:rPr>
                <w:rFonts w:ascii="Times New Roman" w:cs="Times New Roman" w:eastAsia="Times New Roman" w:hAnsi="Times New Roman"/>
                <w:sz w:val="22"/>
                <w:szCs w:val="22"/>
                <w:color w:val="auto"/>
                <w:w w:val="97"/>
              </w:rPr>
              <w:t>Less than</w:t>
            </w:r>
          </w:p>
        </w:tc>
        <w:tc>
          <w:tcPr>
            <w:tcW w:w="380" w:type="dxa"/>
            <w:vAlign w:val="bottom"/>
          </w:tcPr>
          <w:p>
            <w:pPr>
              <w:spacing w:after="0"/>
              <w:rPr>
                <w:sz w:val="18"/>
                <w:szCs w:val="18"/>
                <w:color w:val="auto"/>
              </w:rPr>
            </w:pPr>
          </w:p>
        </w:tc>
        <w:tc>
          <w:tcPr>
            <w:tcW w:w="1120" w:type="dxa"/>
            <w:vAlign w:val="bottom"/>
          </w:tcPr>
          <w:p>
            <w:pPr>
              <w:jc w:val="right"/>
              <w:ind w:right="492"/>
              <w:spacing w:after="0" w:line="209" w:lineRule="exact"/>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472"/>
              <w:spacing w:after="0" w:line="209" w:lineRule="exact"/>
              <w:rPr>
                <w:sz w:val="20"/>
                <w:szCs w:val="20"/>
                <w:color w:val="auto"/>
              </w:rPr>
            </w:pPr>
            <w:r>
              <w:rPr>
                <w:rFonts w:ascii="Times New Roman" w:cs="Times New Roman" w:eastAsia="Times New Roman" w:hAnsi="Times New Roman"/>
                <w:sz w:val="22"/>
                <w:szCs w:val="22"/>
                <w:color w:val="auto"/>
              </w:rPr>
              <w:t>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92"/>
              <w:spacing w:after="0" w:line="209" w:lineRule="exact"/>
              <w:rPr>
                <w:sz w:val="20"/>
                <w:szCs w:val="20"/>
                <w:color w:val="auto"/>
              </w:rPr>
            </w:pPr>
            <w:r>
              <w:rPr>
                <w:rFonts w:ascii="Times New Roman" w:cs="Times New Roman" w:eastAsia="Times New Roman" w:hAnsi="Times New Roman"/>
                <w:sz w:val="22"/>
                <w:szCs w:val="22"/>
                <w:color w:val="auto"/>
                <w:w w:val="96"/>
              </w:rPr>
              <w:t>More than</w:t>
            </w:r>
          </w:p>
        </w:tc>
      </w:tr>
      <w:tr>
        <w:trPr>
          <w:trHeight w:val="271"/>
        </w:trPr>
        <w:tc>
          <w:tcPr>
            <w:tcW w:w="29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Obligations</w:t>
            </w:r>
          </w:p>
        </w:tc>
        <w:tc>
          <w:tcPr>
            <w:tcW w:w="400" w:type="dxa"/>
            <w:vAlign w:val="bottom"/>
          </w:tcPr>
          <w:p>
            <w:pPr>
              <w:spacing w:after="0"/>
              <w:rPr>
                <w:sz w:val="23"/>
                <w:szCs w:val="2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Total</w:t>
            </w:r>
          </w:p>
        </w:tc>
        <w:tc>
          <w:tcPr>
            <w:tcW w:w="320" w:type="dxa"/>
            <w:vAlign w:val="bottom"/>
          </w:tcPr>
          <w:p>
            <w:pPr>
              <w:spacing w:after="0"/>
              <w:rPr>
                <w:sz w:val="23"/>
                <w:szCs w:val="23"/>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22"/>
                <w:szCs w:val="22"/>
                <w:color w:val="auto"/>
                <w:w w:val="95"/>
              </w:rPr>
              <w:t>1 year</w:t>
            </w:r>
          </w:p>
        </w:tc>
        <w:tc>
          <w:tcPr>
            <w:tcW w:w="380" w:type="dxa"/>
            <w:vAlign w:val="bottom"/>
          </w:tcPr>
          <w:p>
            <w:pPr>
              <w:spacing w:after="0"/>
              <w:rPr>
                <w:sz w:val="23"/>
                <w:szCs w:val="2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years</w:t>
            </w:r>
          </w:p>
        </w:tc>
        <w:tc>
          <w:tcPr>
            <w:tcW w:w="380" w:type="dxa"/>
            <w:vAlign w:val="bottom"/>
          </w:tcPr>
          <w:p>
            <w:pPr>
              <w:spacing w:after="0"/>
              <w:rPr>
                <w:sz w:val="23"/>
                <w:szCs w:val="2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years</w:t>
            </w:r>
          </w:p>
        </w:tc>
        <w:tc>
          <w:tcPr>
            <w:tcW w:w="280" w:type="dxa"/>
            <w:vAlign w:val="bottom"/>
          </w:tcPr>
          <w:p>
            <w:pPr>
              <w:spacing w:after="0"/>
              <w:rPr>
                <w:sz w:val="23"/>
                <w:szCs w:val="23"/>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 years</w:t>
            </w:r>
          </w:p>
        </w:tc>
      </w:tr>
      <w:tr>
        <w:trPr>
          <w:trHeight w:val="425"/>
        </w:trPr>
        <w:tc>
          <w:tcPr>
            <w:tcW w:w="2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Contractual Obligations¹</w:t>
            </w:r>
          </w:p>
        </w:tc>
        <w:tc>
          <w:tcPr>
            <w:tcW w:w="4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77,981</w:t>
            </w:r>
          </w:p>
        </w:tc>
        <w:tc>
          <w:tcPr>
            <w:tcW w:w="220" w:type="dxa"/>
            <w:vAlign w:val="bottom"/>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46,290</w:t>
            </w:r>
          </w:p>
        </w:tc>
        <w:tc>
          <w:tcPr>
            <w:tcW w:w="240" w:type="dxa"/>
            <w:vAlign w:val="bottom"/>
          </w:tcPr>
          <w:p>
            <w:pPr>
              <w:spacing w:after="0"/>
              <w:rPr>
                <w:sz w:val="24"/>
                <w:szCs w:val="24"/>
                <w:color w:val="auto"/>
              </w:rPr>
            </w:pPr>
          </w:p>
        </w:tc>
        <w:tc>
          <w:tcPr>
            <w:tcW w:w="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28,898</w:t>
            </w:r>
          </w:p>
        </w:tc>
        <w:tc>
          <w:tcPr>
            <w:tcW w:w="220" w:type="dxa"/>
            <w:vAlign w:val="bottom"/>
          </w:tcPr>
          <w:p>
            <w:pPr>
              <w:spacing w:after="0"/>
              <w:rPr>
                <w:sz w:val="24"/>
                <w:szCs w:val="24"/>
                <w:color w:val="auto"/>
              </w:rPr>
            </w:pPr>
          </w:p>
        </w:tc>
        <w:tc>
          <w:tcPr>
            <w:tcW w:w="3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2,793</w:t>
            </w:r>
          </w:p>
        </w:tc>
        <w:tc>
          <w:tcPr>
            <w:tcW w:w="22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2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Capital Leases</w:t>
            </w:r>
          </w:p>
        </w:tc>
        <w:tc>
          <w:tcPr>
            <w:tcW w:w="40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467</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2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Operating Leases</w:t>
            </w:r>
          </w:p>
        </w:tc>
        <w:tc>
          <w:tcPr>
            <w:tcW w:w="40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12,973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5,310</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5,507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1,166</w:t>
            </w:r>
          </w:p>
        </w:tc>
      </w:tr>
      <w:tr>
        <w:trPr>
          <w:trHeight w:val="271"/>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Purchase Commitments²</w:t>
            </w: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31,253</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31,253</w:t>
            </w:r>
          </w:p>
        </w:tc>
        <w:tc>
          <w:tcPr>
            <w:tcW w:w="2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2980" w:type="dxa"/>
            <w:vAlign w:val="bottom"/>
          </w:tcPr>
          <w:p>
            <w:pPr>
              <w:spacing w:after="0"/>
              <w:rPr>
                <w:sz w:val="20"/>
                <w:szCs w:val="20"/>
                <w:color w:val="auto"/>
              </w:rPr>
            </w:pPr>
          </w:p>
        </w:tc>
        <w:tc>
          <w:tcPr>
            <w:tcW w:w="400" w:type="dxa"/>
            <w:vAlign w:val="bottom"/>
            <w:tcBorders>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122,674</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83,320</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34,405</w:t>
            </w:r>
          </w:p>
        </w:tc>
        <w:tc>
          <w:tcPr>
            <w:tcW w:w="220" w:type="dxa"/>
            <w:vAlign w:val="bottom"/>
          </w:tcPr>
          <w:p>
            <w:pPr>
              <w:spacing w:after="0"/>
              <w:rPr>
                <w:sz w:val="20"/>
                <w:szCs w:val="20"/>
                <w:color w:val="auto"/>
              </w:rPr>
            </w:pPr>
          </w:p>
        </w:tc>
        <w:tc>
          <w:tcPr>
            <w:tcW w:w="380" w:type="dxa"/>
            <w:vAlign w:val="bottom"/>
            <w:tcBorders>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3,783</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1,166</w:t>
            </w:r>
          </w:p>
        </w:tc>
      </w:tr>
      <w:tr>
        <w:trPr>
          <w:trHeight w:val="20"/>
        </w:trPr>
        <w:tc>
          <w:tcPr>
            <w:tcW w:w="2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¹Contractual obligations include our obligations related to sponsorships and other commitments.</w:t>
      </w:r>
    </w:p>
    <w:p>
      <w:pPr>
        <w:spacing w:after="0" w:line="316"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addition, approximately $0.9 million of recognized tax benefits have been recorded as liabilities as of December 31, 2014. It is expected that any change in the amount of unrecognized tax benefit within the next 12 months will not be significant. We have also recorded a liability for potential penalties and interest of $0.4 million as of December 31,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Policies and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Policies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GAAP requires us to make estimates and assumptions that affect the reported amounts in our consolidated financial statements. The following summarizes our most significant accounting and reporting policies and practices:</w:t>
      </w:r>
    </w:p>
    <w:p>
      <w:pPr>
        <w:spacing w:after="0" w:line="184"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Investments </w:t>
      </w:r>
      <w:r>
        <w:rPr>
          <w:rFonts w:ascii="Times New Roman" w:cs="Times New Roman" w:eastAsia="Times New Roman" w:hAnsi="Times New Roman"/>
          <w:sz w:val="20"/>
          <w:szCs w:val="20"/>
          <w:color w:val="auto"/>
        </w:rPr>
        <w:t>– Our investments in debt securities are classified as either held-to-maturity, available-for-sale or trading, in accordance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the Financial Accounting Standards Board (the “FASB”) Accounting Standards Codification (“ASC”) 320. Held-to-maturity securities are those securities that we have the positive intent and ability to hold until maturity. Trading securities are those securities that we intend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(see Note 3 “Fair Value of Certain Financial Assets and Liabilities” in the notes to consolidated financial statements). Under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income (loss), net of applicable taxes. We evaluate whether the decline in fair value of our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87"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Accounts Receivable </w:t>
      </w:r>
      <w:r>
        <w:rPr>
          <w:rFonts w:ascii="Times New Roman" w:cs="Times New Roman" w:eastAsia="Times New Roman" w:hAnsi="Times New Roman"/>
          <w:sz w:val="20"/>
          <w:szCs w:val="20"/>
          <w:color w:val="auto"/>
        </w:rPr>
        <w:t>– We evaluate the collectability of our trade accounts receivable based on a number of factors. In circumstances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where we become aware of a specific customer’s inability to meet its financial obligations to us, a specific reserve for bad debts is estimated and recorded, which reduces the recognized receivable to the estimated amount we believe will ultimately be collected. In addition to specific customer identification of potential bad debts, bad debt charges are recorded based on our recent loss history and an overall assessment of past due trade accounts receivable outstanding.</w:t>
      </w:r>
    </w:p>
    <w:p>
      <w:pPr>
        <w:spacing w:after="0" w:line="1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Inventories </w:t>
      </w:r>
      <w:r>
        <w:rPr>
          <w:rFonts w:ascii="Times New Roman" w:cs="Times New Roman" w:eastAsia="Times New Roman" w:hAnsi="Times New Roman"/>
          <w:sz w:val="19"/>
          <w:szCs w:val="19"/>
          <w:color w:val="auto"/>
        </w:rPr>
        <w:t>– Inventories are stated at the lower of cost to purchase and/or manufacture the inventory or the current estimated market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value of the inventory. We regularly review our inventory quantities on hand and record a provision for excess and obsolete inventory based primarily on our estimated forecast of product demand, production availability and/or our ability to sell the product(s) concerned. Demand for our products can fluctuate significantly. Factors that could affect demand for our products include unanticipated changes in consumer preferences, general market and economic conditions or other factors that may result in cancellations of advance orders or reductions in the rate of reorders placed by customers and/or continued weakening of economic conditions. Additionally,</w:t>
      </w:r>
    </w:p>
    <w:p>
      <w:pPr>
        <w:sectPr>
          <w:pgSz w:w="11900" w:h="16838" w:orient="portrait"/>
          <w:cols w:equalWidth="0" w:num="1">
            <w:col w:w="11420"/>
          </w:cols>
          <w:pgMar w:left="240" w:top="328" w:right="239" w:bottom="0" w:gutter="0" w:footer="0" w:header="0"/>
        </w:sectPr>
      </w:pPr>
    </w:p>
    <w:bookmarkStart w:id="38" w:name="page39"/>
    <w:bookmarkEnd w:id="38"/>
    <w:p>
      <w:pPr>
        <w:spacing w:after="0" w:line="18"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20"/>
          <w:szCs w:val="20"/>
          <w:color w:val="auto"/>
        </w:rPr>
        <w:t>management’s estimates of future product demand may be inaccurate, which could result in an understated or overstated provision required for excess and obsolete inventory.</w:t>
      </w:r>
    </w:p>
    <w:p>
      <w:pPr>
        <w:spacing w:after="0" w:line="170"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Long-Lived Assets </w:t>
      </w:r>
      <w:r>
        <w:rPr>
          <w:rFonts w:ascii="Times New Roman" w:cs="Times New Roman" w:eastAsia="Times New Roman" w:hAnsi="Times New Roman"/>
          <w:sz w:val="20"/>
          <w:szCs w:val="20"/>
          <w:color w:val="auto"/>
        </w:rPr>
        <w:t>– Management regularly reviews property and equipment and other long-lived assets, including certain definite-lived identifiable intangible assets, 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value of the future cash flows discounted at a rate commensurate with management’s estimates of the business risks. No impairment indicators were identified as of December 31, 2014 or 2013. Long-lived assets held for sale are recorded at the lower of their carrying amount or fair value less cost to sell.</w:t>
      </w:r>
    </w:p>
    <w:p>
      <w:pPr>
        <w:spacing w:after="0" w:line="20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Management believes that the accounting estimate related to impairment of its long-lived assets, including its trademarks (as discussed below), is a “critical accounting estimate” because: (1) the estimate is highly susceptible to change from period to period because it requires Company management to make assumptions about cash flows and discount rates; and (2) the impact that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recognizing an impairment would have on the assets reported on our consolidated balance sheet, as well as net income, could be material. Management’s assumptions about cash flows and discount rates require significant judgment because actual revenues and expenses have fluctuated in the past and are expected to continue to do so.</w:t>
      </w:r>
    </w:p>
    <w:p>
      <w:pPr>
        <w:spacing w:after="0" w:line="211"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Intangibles </w:t>
      </w:r>
      <w:r>
        <w:rPr>
          <w:rFonts w:ascii="Times New Roman" w:cs="Times New Roman" w:eastAsia="Times New Roman" w:hAnsi="Times New Roman"/>
          <w:sz w:val="20"/>
          <w:szCs w:val="20"/>
          <w:color w:val="auto"/>
        </w:rPr>
        <w:t xml:space="preserve">– Intangibles are comprised primarily of trademarks that represent our exclusive ownership of the Monster Energy®, </w:t>
      </w:r>
      <w:r>
        <w:rPr>
          <w:sz w:val="1"/>
          <w:szCs w:val="1"/>
          <w:color w:val="auto"/>
        </w:rPr>
        <w:drawing>
          <wp:inline distT="0" distB="0" distL="0" distR="0">
            <wp:extent cx="102870" cy="1371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Monster Rehab®, Java Monster®, Muscle Monster®, Unleash the Beast®, Punch Monster®, Juice Monster™, Peace Tea®, Hansen’s®, Blue Sky®, and the Junior Juice® trademarks, all used in connection with the manufacture, sale and distribution of supplements and beverages. We also own in our own right a number of other trademarks in the United States, as well as in a number of countries around the world. During 2002, we adopted ASC 350. Under the provisions of ASC 350, we discontinued amortization on indefinite-lived trademarks while continuing to amortize remaining definite-lived trademarks over one to 25 years.</w:t>
      </w:r>
    </w:p>
    <w:p>
      <w:pPr>
        <w:spacing w:after="0" w:line="19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color w:val="auto"/>
        </w:rPr>
        <w:t>In accordance with ASC 350, we evaluate our trademarks annually for impairment or earlier if there is an indication of impairment. If there is an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The fair value is calculated using the income approach. However, preparation of estimated expected future cash flows is inherently subjective and is based on management’s best estimate of assumptions concerning expected future conditions. Based on management’s impairment analysis performed for the year ended December 31, 2014, the estimated fair values of trademarks exceeded the carrying values.</w:t>
      </w:r>
    </w:p>
    <w:p>
      <w:pPr>
        <w:spacing w:after="0" w:line="18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In estimating future revenues, we use internal budgets. Internal budgets are developed based on recent revenue data and future marketing plans for existing product lines and planned timing of future introductions of new products and their impact on our future cash flows.</w:t>
      </w:r>
    </w:p>
    <w:p>
      <w:pPr>
        <w:spacing w:after="0" w:line="184"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We recognize revenue when persuasive evidence of an arrangement exists, delivery has occurred, the sales price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fixed or determinable and collectability is reasonably assured. Generally, ownership of and title to our products pass to customers upon delivery of the products to customers. Certain of our distributors may also perform a separate function as a co-packer on our behalf. In such cases, ownership of and title to our products that are co-packed on our behalf by those co-packers who are also distributors, passes to such distributors when we are notified by them that they have taken transfer or possession of the relevant portion of our finished goods. Net sales are determined after deducting promotional and other allowances in accordance with ASC 605-50. The Company’s promotional and other allowances are calculated based on various programs with its distributors and retail customers, and accruals are established during the year for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 and actual expenses for promotional and other allowances have historically been insignificant and are recognized in earnings in the period such differences are determined. Amounts received pursuant to new and/or amended distribution agreements entered into with certain distributors, relating to the costs associated with terminating our prior distributors, are accounted for as revenue ratably over the anticipated life of the respective distribution agreement, which is generally 20 years.</w:t>
      </w:r>
    </w:p>
    <w:p>
      <w:pPr>
        <w:spacing w:after="0" w:line="201"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color w:val="auto"/>
        </w:rPr>
        <w:t>Management believes that adequate provision has been made for cash discounts, returns and spoilage based on our historical experience.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Cost of Sales </w:t>
      </w:r>
      <w:r>
        <w:rPr>
          <w:rFonts w:ascii="Times New Roman" w:cs="Times New Roman" w:eastAsia="Times New Roman" w:hAnsi="Times New Roman"/>
          <w:sz w:val="20"/>
          <w:szCs w:val="20"/>
          <w:color w:val="auto"/>
        </w:rPr>
        <w:t>– Cost of sales consists of the costs of raw materials utilized in the manufacture of products, co-packing fees, repacking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fees, in-bound freight charges, as well as certain internal transfer costs, warehouse expenses incurred prior to the manufacture of our finished products and certain quality control costs. Raw materials account for the largest portion of the cost of sales. Raw materials include cans, bottles, other containers, flavors, ingredients and packaging materials.</w:t>
      </w:r>
    </w:p>
    <w:p>
      <w:pPr>
        <w:sectPr>
          <w:pgSz w:w="11900" w:h="16856" w:orient="portrait"/>
          <w:cols w:equalWidth="0" w:num="1">
            <w:col w:w="11420"/>
          </w:cols>
          <w:pgMar w:left="240" w:top="118" w:right="239" w:bottom="0" w:gutter="0" w:footer="0" w:header="0"/>
        </w:sectPr>
      </w:pPr>
    </w:p>
    <w:bookmarkStart w:id="39" w:name="page40"/>
    <w:bookmarkEnd w:id="39"/>
    <w:p>
      <w:pPr>
        <w:spacing w:after="0" w:line="10"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Operating Expenses </w:t>
      </w:r>
      <w:r>
        <w:rPr>
          <w:rFonts w:ascii="Times New Roman" w:cs="Times New Roman" w:eastAsia="Times New Roman" w:hAnsi="Times New Roman"/>
          <w:sz w:val="20"/>
          <w:szCs w:val="20"/>
          <w:color w:val="auto"/>
        </w:rPr>
        <w:t>– Operating expenses include selling expenses such as distribution expenses to transport products to customers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warehousing expenses after manufacture, as well as expenses for advertising, commissions, sampling and in-store demonstration costs, costs for merchandise displays, point-of-sale materials and premium items, sponsorship expenses, other marketing expenses and design expenses. Operating expenses also include payroll costs, travel costs, professional service fees including legal fees, termination payments made to certain of our prior distributors, entertainment costs, insurance costs, postage costs, depreciation and other general and administrative costs.</w:t>
      </w:r>
    </w:p>
    <w:p>
      <w:pPr>
        <w:spacing w:after="0" w:line="193"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Stock-Based Compensation </w:t>
      </w:r>
      <w:r>
        <w:rPr>
          <w:rFonts w:ascii="Times New Roman" w:cs="Times New Roman" w:eastAsia="Times New Roman" w:hAnsi="Times New Roman"/>
          <w:sz w:val="19"/>
          <w:szCs w:val="19"/>
          <w:color w:val="auto"/>
        </w:rPr>
        <w:t>– The Company accounts for stock-based compensation under the provisions of ASC 718. The Company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on which a commitment for performance by the non-employee to earn the stock option is reached or (2) the date on which the non-employee’s performance is complete, using the Black-Scholes-Merton option pricing formula. 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18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Income Taxes </w:t>
      </w:r>
      <w:r>
        <w:rPr>
          <w:rFonts w:ascii="Times New Roman" w:cs="Times New Roman" w:eastAsia="Times New Roman" w:hAnsi="Times New Roman"/>
          <w:sz w:val="20"/>
          <w:szCs w:val="20"/>
          <w:color w:val="auto"/>
        </w:rPr>
        <w:t>– We utilize the liability method of accounting for income taxes as set forth in ASC 740. Under the liability method,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we consider projected future taxable income and the availability of tax planning strategies. If in the future we determine that we would not be able to realize our recorded deferred tax assets, an increase in the valuation allowance would be recorded, decreasing earnings in the period in which such determination is made.</w:t>
      </w:r>
    </w:p>
    <w:p>
      <w:pPr>
        <w:spacing w:after="0" w:line="197"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We assess our income tax positions and record tax benefits for all years subject to examination based upon our evaluation of the facts, circumstances and information available as of the reporting date. For those tax positions where there is a greater than 50% likelihood that a tax benefit will be sustained, we have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See “Part II, Item 8 – Financial Statements and Supplementary Data – Note 1 – Organization and Summary of Significant Accounting Policies – Recent Accounting Pronouncements” for a full description of recent accounting pronouncements including the respective expected dates of adoption and expected effects on the Company’s consolidated financial position, results of operations or liquidity.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(the “Securities Act”), and Section 21E of the Exchange Act, as amended) regarding our expectations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“estimates,” and similar expressions are intended to identify forward-looking statements.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8" w:lineRule="exact"/>
        <w:rPr>
          <w:sz w:val="20"/>
          <w:szCs w:val="20"/>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consummate the TCCC Transaction or recognize any benefits from the TCCC Transaction;</w:t>
      </w:r>
    </w:p>
    <w:p>
      <w:pPr>
        <w:spacing w:after="0" w:line="21" w:lineRule="exact"/>
        <w:rPr>
          <w:rFonts w:ascii="Times New Roman" w:cs="Times New Roman" w:eastAsia="Times New Roman" w:hAnsi="Times New Roman"/>
          <w:sz w:val="18"/>
          <w:szCs w:val="18"/>
          <w:color w:val="auto"/>
        </w:rPr>
      </w:pPr>
    </w:p>
    <w:p>
      <w:pPr>
        <w:ind w:left="340" w:hanging="332"/>
        <w:spacing w:after="0" w:line="239" w:lineRule="auto"/>
        <w:tabs>
          <w:tab w:leader="none" w:pos="6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Following the TCCC Transaction, the effect of extensive commercial arrangements between NewCo and TCCC on NewCo’s future performance;</w:t>
      </w:r>
    </w:p>
    <w:p>
      <w:pPr>
        <w:spacing w:after="0" w:line="1" w:lineRule="exact"/>
        <w:rPr>
          <w:rFonts w:ascii="Times New Roman" w:cs="Times New Roman" w:eastAsia="Times New Roman" w:hAnsi="Times New Roman"/>
          <w:sz w:val="18"/>
          <w:szCs w:val="18"/>
          <w:color w:val="auto"/>
        </w:rPr>
      </w:pPr>
    </w:p>
    <w:p>
      <w:pPr>
        <w:ind w:left="340" w:hanging="332"/>
        <w:spacing w:after="0" w:line="239" w:lineRule="auto"/>
        <w:tabs>
          <w:tab w:leader="none" w:pos="6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Following the TCCC Transaction, the effect of TCCC becoming a significant shareholder of NewCo and the potential divergence of TCCC’s interests from those of other NewCo stockholders;</w:t>
      </w:r>
    </w:p>
    <w:p>
      <w:pPr>
        <w:spacing w:after="0" w:line="1" w:lineRule="exact"/>
        <w:rPr>
          <w:rFonts w:ascii="Times New Roman" w:cs="Times New Roman" w:eastAsia="Times New Roman" w:hAnsi="Times New Roman"/>
          <w:sz w:val="18"/>
          <w:szCs w:val="18"/>
          <w:color w:val="auto"/>
        </w:rPr>
      </w:pPr>
    </w:p>
    <w:p>
      <w:pPr>
        <w:ind w:left="340" w:right="20" w:hanging="332"/>
        <w:spacing w:after="0" w:line="239" w:lineRule="auto"/>
        <w:tabs>
          <w:tab w:leader="none" w:pos="3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Lack of anticipated demand for our products in international markets;</w:t>
      </w: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Unfavorable regulations, including taxation requirements, product registration requirements, tariffs and/or trade restrictions;</w:t>
      </w:r>
    </w:p>
    <w:p>
      <w:pPr>
        <w:jc w:val="both"/>
        <w:ind w:left="340" w:hanging="332"/>
        <w:spacing w:after="0" w:line="241"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effect of inquiries from and/or actions by state attorneys general, the Federal Trade Commission (the “FTC”), the FDA, municipalities or city attorneys and/or other government agencies and/or quasi-government agencies and/or government officials, including members of Congress, into the advertising, marketing, promotion, ingredients, sale and/or consumption of our energy drink products, including voluntary changes to our business practices;</w:t>
      </w:r>
    </w:p>
    <w:p>
      <w:pPr>
        <w:sectPr>
          <w:pgSz w:w="11900" w:h="16848" w:orient="portrait"/>
          <w:cols w:equalWidth="0" w:num="1">
            <w:col w:w="11420"/>
          </w:cols>
          <w:pgMar w:left="240" w:top="342" w:right="239" w:bottom="0" w:gutter="0" w:footer="0" w:header="0"/>
        </w:sectPr>
      </w:pPr>
    </w:p>
    <w:bookmarkStart w:id="40" w:name="page41"/>
    <w:bookmarkEnd w:id="40"/>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achieve profitability from our operations outside the United States;</w:t>
      </w:r>
    </w:p>
    <w:p>
      <w:pPr>
        <w:spacing w:after="0" w:line="20" w:lineRule="exact"/>
        <w:rPr>
          <w:rFonts w:ascii="Times New Roman" w:cs="Times New Roman" w:eastAsia="Times New Roman" w:hAnsi="Times New Roman"/>
          <w:sz w:val="18"/>
          <w:szCs w:val="18"/>
          <w:color w:val="auto"/>
        </w:rPr>
      </w:pPr>
    </w:p>
    <w:p>
      <w:pPr>
        <w:ind w:left="340" w:hanging="332"/>
        <w:spacing w:after="0" w:line="239" w:lineRule="auto"/>
        <w:tabs>
          <w:tab w:leader="none" w:pos="5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produce our products in international markets in which they are sold, thereby reducing freight costs and/or product damages;</w:t>
      </w: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effectively manage our inventories and/or our accounts receivables;</w:t>
      </w:r>
    </w:p>
    <w:p>
      <w:pPr>
        <w:ind w:left="340" w:right="20" w:hanging="332"/>
        <w:spacing w:after="0" w:line="239" w:lineRule="auto"/>
        <w:tabs>
          <w:tab w:leader="none" w:pos="4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Times New Roman" w:cs="Times New Roman" w:eastAsia="Times New Roman" w:hAnsi="Times New Roman"/>
          <w:sz w:val="18"/>
          <w:szCs w:val="18"/>
          <w:color w:val="auto"/>
        </w:rPr>
      </w:pPr>
    </w:p>
    <w:p>
      <w:pPr>
        <w:ind w:left="300" w:hanging="274"/>
        <w:spacing w:after="0"/>
        <w:tabs>
          <w:tab w:leader="none" w:pos="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Changes in accounting standards may affect our reported profitability;</w:t>
      </w:r>
    </w:p>
    <w:p>
      <w:pPr>
        <w:ind w:left="340" w:hanging="332"/>
        <w:spacing w:after="0" w:line="246" w:lineRule="auto"/>
        <w:tabs>
          <w:tab w:leader="none" w:pos="4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proceedings which may be brought against us by the Securities and Exchange Commission (the “SEC”), the FDA, the FTC or other governmental agencies or bodies;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40" w:hanging="332"/>
        <w:spacing w:after="0" w:line="251" w:lineRule="auto"/>
        <w:tabs>
          <w:tab w:leader="none" w:pos="3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outcome of shareholder securities litigation and/or shareholder derivative actions filed against us and/or against certain of our officers and directors, and the possibility of other private shareholder litigation;</w:t>
      </w: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possibility of future shareholder derivative actions or shareholder securities litigation filed against us;</w:t>
      </w:r>
    </w:p>
    <w:p>
      <w:pPr>
        <w:jc w:val="both"/>
        <w:ind w:left="340" w:hanging="332"/>
        <w:spacing w:after="0" w:line="239" w:lineRule="auto"/>
        <w:tabs>
          <w:tab w:leader="none" w:pos="3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current uncertainty and volatility in the national and global economy;</w:t>
      </w: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address any significant deficiencies or material weakness in our internal control over financial reporting;</w:t>
      </w: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continue to generate sufficient cash flows to support capital expansion plans and general operating activities;</w:t>
      </w:r>
    </w:p>
    <w:p>
      <w:pPr>
        <w:ind w:left="340" w:hanging="332"/>
        <w:spacing w:after="0" w:line="239" w:lineRule="auto"/>
        <w:tabs>
          <w:tab w:leader="none" w:pos="6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Decreased demand for our products resulting from changes in consumer preferences and/or from decreased consumer discretionary spending power and/or from higher gasoline prices;</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Changes in demand that are weather related, particularly in areas outside of California;</w:t>
      </w:r>
    </w:p>
    <w:p>
      <w:pPr>
        <w:ind w:left="340" w:hanging="332"/>
        <w:spacing w:after="0" w:line="239" w:lineRule="auto"/>
        <w:tabs>
          <w:tab w:leader="none" w:pos="3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Competitive products and pricing pressures and our ability to gain or maintain our share of sales in the marketplace as a result of actions by competitors;</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introduce new products;</w:t>
      </w: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inability to achieve volume growth through product and packaging initiatives;</w:t>
      </w:r>
    </w:p>
    <w:p>
      <w:pPr>
        <w:ind w:left="340" w:right="20" w:hanging="332"/>
        <w:spacing w:after="0" w:line="239" w:lineRule="auto"/>
        <w:tabs>
          <w:tab w:leader="none" w:pos="5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sustain the current level of sales and/or increase the sales of our Monster Energy® brand energy drinks and/or our other products, including, following the TCCC Transaction, the energy drinks we will acquire from TCCC;</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39" w:lineRule="auto"/>
        <w:tabs>
          <w:tab w:leader="none" w:pos="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or impose age restrictions for the sale of energy drinks;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39" w:lineRule="auto"/>
        <w:tabs>
          <w:tab w:leader="none" w:pos="3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FFDC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Federal Trade Commission;</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39" w:lineRule="auto"/>
        <w:tabs>
          <w:tab w:leader="none" w:pos="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Disruptions in the timely import or export of our products and/or ingredients due to port strikes and related labor issues;</w:t>
      </w: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effect of unfavorable or adverse public relations and/or press and/or articles, comments and/or media attention;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340" w:hanging="332"/>
        <w:spacing w:after="0" w:line="247"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Changes in the cost, quality and availability of containers, packaging materials, raw materials and other ingredients and juice concentrates, and our ability to obtain and/or maintain favorable supply arrangements and relationships and procure timely and/or sufficient production of all or any of our products to meet customer demand;</w:t>
      </w:r>
    </w:p>
    <w:p>
      <w:pPr>
        <w:ind w:left="340" w:right="20" w:hanging="332"/>
        <w:spacing w:after="0" w:line="239" w:lineRule="auto"/>
        <w:tabs>
          <w:tab w:leader="none" w:pos="3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pass on to our customers all or a portion of any increases in the costs of raw materials and/or ingredients and/or commodities and/or other cost inputs affecting our business;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39" w:lineRule="auto"/>
        <w:tabs>
          <w:tab w:leader="none" w:pos="3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Times New Roman" w:cs="Times New Roman" w:eastAsia="Times New Roman" w:hAnsi="Times New Roman"/>
          <w:sz w:val="18"/>
          <w:szCs w:val="18"/>
          <w:color w:val="auto"/>
        </w:rPr>
      </w:pPr>
    </w:p>
    <w:p>
      <w:pPr>
        <w:ind w:left="340" w:hanging="332"/>
        <w:spacing w:after="0" w:line="239" w:lineRule="auto"/>
        <w:tabs>
          <w:tab w:leader="none" w:pos="4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Economic or political instability in one or more of our international markets;</w:t>
      </w: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secure and/or retain competent and/or effective distributors internationally;</w:t>
      </w:r>
    </w:p>
    <w:p>
      <w:pPr>
        <w:sectPr>
          <w:pgSz w:w="11900" w:h="16838" w:orient="portrait"/>
          <w:cols w:equalWidth="0" w:num="1">
            <w:col w:w="11420"/>
          </w:cols>
          <w:pgMar w:left="240" w:top="118" w:right="239" w:bottom="0" w:gutter="0" w:footer="0" w:header="0"/>
        </w:sectPr>
      </w:pPr>
    </w:p>
    <w:bookmarkStart w:id="41" w:name="page42"/>
    <w:bookmarkEnd w:id="41"/>
    <w:p>
      <w:pPr>
        <w:spacing w:after="0" w:line="18" w:lineRule="exact"/>
        <w:rPr>
          <w:sz w:val="20"/>
          <w:szCs w:val="20"/>
          <w:color w:val="auto"/>
        </w:rPr>
      </w:pPr>
    </w:p>
    <w:p>
      <w:pPr>
        <w:ind w:left="340" w:hanging="332"/>
        <w:spacing w:after="0" w:line="250" w:lineRule="auto"/>
        <w:tabs>
          <w:tab w:leader="none" w:pos="4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effectiveness of sales and/or marketing efforts of distributors of our products, most of which distribute products that are competitive with our products;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39" w:lineRule="auto"/>
        <w:tabs>
          <w:tab w:leader="none" w:pos="7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costs and/or effectiveness, now or in the future, of our advertising, marketing and promotional strategies;</w:t>
      </w: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Changes in product category consumption;</w:t>
      </w: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Unforeseen economic and political changes;</w:t>
      </w: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Possible recalls of our products and/or defective production;</w:t>
      </w:r>
    </w:p>
    <w:p>
      <w:pPr>
        <w:ind w:left="340" w:hanging="332"/>
        <w:spacing w:after="0" w:line="239" w:lineRule="auto"/>
        <w:tabs>
          <w:tab w:leader="none" w:pos="3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make suitable arrangements for the co-packing of any of our products both domestically and internationally and/or the timely replacement of discontinued co-packing arrangements;</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make suitable arrangements for the timely procurement of non-defective raw materials;</w:t>
      </w:r>
    </w:p>
    <w:p>
      <w:pPr>
        <w:ind w:left="340" w:hanging="332"/>
        <w:spacing w:after="0" w:line="239" w:lineRule="auto"/>
        <w:tabs>
          <w:tab w:leader="none" w:pos="4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inability to protect and/or the loss of our intellectual property rights and/or our inability to use our trademarks and/or trade names or designs in certain countries;</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Volatility of stock prices which may restrict stock sales, stock purchases or other opportunities;</w:t>
      </w:r>
    </w:p>
    <w:p>
      <w:pPr>
        <w:ind w:left="340" w:hanging="332"/>
        <w:spacing w:after="0" w:line="239" w:lineRule="auto"/>
        <w:tabs>
          <w:tab w:leader="none" w:pos="3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failure of our bottlers and contract packers to manufacture our products on a timely basis or at all;</w:t>
      </w: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Exposure to significant liabilities due to litigation, legal or regulatory proceedings;</w:t>
      </w:r>
    </w:p>
    <w:p>
      <w:pPr>
        <w:ind w:left="340" w:hanging="332"/>
        <w:spacing w:after="0" w:line="239" w:lineRule="auto"/>
        <w:tabs>
          <w:tab w:leader="none" w:pos="5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disruption in and/or lack of effectiveness of our information technology systems that disrupts our business or negatively impacts customer relationships; and</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Recruitment and retention of senior management, other key employees and our employee base in general.</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9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the normal course of business, our financial position is routinely subject to a variety of risks. The principal market risks (i.e., the risk of loss arising from adverse changes in market rates and prices) to which we are exposed are fluctuations in commodity prices affecting the costs of our raw materials (including, but not limited to, increases in the costs of juice concentrates, increases in the price of aluminum for cans, resin for PET plastic bottles, as well as cane sugar and other sweeteners, glucose, sucrose, milk, cream and protein, all of which are used in some or many of our products), fluctuations in energy and fuel prices, and limited availability of certain raw materials. We generally do not use hedging agreements or alternative instruments to manage the risks associated with securing sufficient ingredients or raw materials. We are also subject to market risks with respect to the cost of commodities because our ability to recover increased costs through higher pricing is limited by the competitive environment in which we operate.</w:t>
      </w:r>
    </w:p>
    <w:p>
      <w:pPr>
        <w:spacing w:after="0" w:line="20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do not use derivative financial instruments to protect ourselves from fluctuations in interest rates and do not hedge against fluctuations in commodity prices.</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gross sales to customers outside of the United States were approximately 23% of consolidated gross sales for both the years ended December 31, 2014 and 2013. Our growth strategy includes expanding our international business. As a result, we are subject to risks from changes in foreign currency exchange rates. During the year ended December 31, 2014,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December 31, 2014 have terms of one month or less. We do not enter into forward currency exchange contracts for speculation or trading purposes.</w:t>
      </w:r>
    </w:p>
    <w:p>
      <w:pPr>
        <w:spacing w:after="0" w:line="20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not designated our foreign currency exchange contracts as hedge transactions under ASC 815. Therefore, gains and losses on our foreign currency exchange contracts are recognized in interest and other (expense) income, net, in the consolidated statements of income, and are largely offset by the changes in the fair value of the underlying economically hedged item. We do not consider the potential loss resulting from a hypothetical 10% adverse change in quoted foreign currency exchange rates as of December 31, 2014 to be significant.</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As of December 31, 2014, we had $370.3 million in cash and cash equivalents and $824.1 million in short-term and long-term investments including U.S. treasuries, certificates of deposit and municipal securities which may have an auction reset feature. Certain of these investments are subject to general credit, liquidity, market and interest rate risks. At the current time, we are not increasing our investments in auction rate securities.</w:t>
      </w:r>
    </w:p>
    <w:p>
      <w:pPr>
        <w:sectPr>
          <w:pgSz w:w="11900" w:h="16857" w:orient="portrait"/>
          <w:cols w:equalWidth="0" w:num="1">
            <w:col w:w="11420"/>
          </w:cols>
          <w:pgMar w:left="240" w:top="118" w:right="239" w:bottom="0" w:gutter="0" w:footer="0" w:header="0"/>
        </w:sectPr>
      </w:pPr>
    </w:p>
    <w:bookmarkStart w:id="42" w:name="page43"/>
    <w:bookmarkEnd w:id="42"/>
    <w:p>
      <w:pPr>
        <w:spacing w:after="0" w:line="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information required to be furnished in response to this ITEM 8 follows the signature page and Index to Exhibits hereto at pages 69 through 114.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Evaluation of Disclosure Controls and Procedures </w:t>
      </w:r>
      <w:r>
        <w:rPr>
          <w:rFonts w:ascii="Times New Roman" w:cs="Times New Roman" w:eastAsia="Times New Roman" w:hAnsi="Times New Roman"/>
          <w:sz w:val="19"/>
          <w:szCs w:val="19"/>
          <w:color w:val="auto"/>
        </w:rPr>
        <w:t>– Under the supervision and with the participation of the Company’s management,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effective to ensure that information we are required to disclose in reports that we file or submit under the Exchange Act is</w:t>
      </w:r>
    </w:p>
    <w:p>
      <w:pPr>
        <w:spacing w:after="0" w:line="4" w:lineRule="exact"/>
        <w:rPr>
          <w:sz w:val="20"/>
          <w:szCs w:val="20"/>
          <w:color w:val="auto"/>
        </w:rPr>
      </w:pPr>
    </w:p>
    <w:p>
      <w:pPr>
        <w:jc w:val="both"/>
        <w:ind w:right="20" w:firstLine="8"/>
        <w:spacing w:after="0" w:line="242" w:lineRule="auto"/>
        <w:tabs>
          <w:tab w:leader="none" w:pos="29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recorded, processed, summarized and reported within the time periods specified in rules and forms of the SEC and (2) accumulated and communicated to our management, including our principal executive and principal financial officers as appropriate to allow timely decisions regarding required disclosures.</w:t>
      </w:r>
    </w:p>
    <w:p>
      <w:pPr>
        <w:spacing w:after="0" w:line="19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Management’s Report on Internal Control Over Financial Reporting </w:t>
      </w:r>
      <w:r>
        <w:rPr>
          <w:rFonts w:ascii="Times New Roman" w:cs="Times New Roman" w:eastAsia="Times New Roman" w:hAnsi="Times New Roman"/>
          <w:sz w:val="20"/>
          <w:szCs w:val="20"/>
          <w:color w:val="auto"/>
        </w:rPr>
        <w:t>– Our management is responsible for establishing and maintaining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adequate 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2014, based on the framework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 – Integrated Framework (2013) </w:t>
      </w:r>
      <w:r>
        <w:rPr>
          <w:rFonts w:ascii="Times New Roman" w:cs="Times New Roman" w:eastAsia="Times New Roman" w:hAnsi="Times New Roman"/>
          <w:sz w:val="20"/>
          <w:szCs w:val="20"/>
          <w:color w:val="auto"/>
        </w:rPr>
        <w:t>issued by the Committee of Sponsoring Organizations of the Treadway Commission. Based on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management’s evaluation under the framework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our management concluded that our internal control over financial reporting was effective as of December 31, 2014.</w:t>
      </w:r>
    </w:p>
    <w:p>
      <w:pPr>
        <w:spacing w:after="0" w:line="19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internal control over financial reporting as of December 31, 2014, has been audited by Deloitte &amp; Touche LLP, an independent registered public accounting firm, as stated in their attestation report, which is included herein.</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There were no changes in the Company’s internal controls over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reporting during the quarter ended December 31, 2014, that have materially affected, or are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rPr>
          <w:sz w:val="20"/>
          <w:szCs w:val="20"/>
          <w:color w:val="auto"/>
        </w:rPr>
      </w:pPr>
      <w:r>
        <w:rPr>
          <w:rFonts w:ascii="Times New Roman" w:cs="Times New Roman" w:eastAsia="Times New Roman" w:hAnsi="Times New Roman"/>
          <w:sz w:val="20"/>
          <w:szCs w:val="20"/>
          <w:color w:val="auto"/>
        </w:rPr>
        <w:t>Corona, California</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Monster Beverage Corporation and subsidiaries (the “Company”) as of December 31, 2014,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w:t>
      </w:r>
    </w:p>
    <w:p>
      <w:pPr>
        <w:sectPr>
          <w:pgSz w:w="11900" w:h="16843" w:orient="portrait"/>
          <w:cols w:equalWidth="0" w:num="1">
            <w:col w:w="11420"/>
          </w:cols>
          <w:pgMar w:left="240" w:top="342" w:right="239" w:bottom="0" w:gutter="0" w:footer="0" w:header="0"/>
        </w:sectPr>
      </w:pPr>
    </w:p>
    <w:bookmarkStart w:id="43" w:name="page44"/>
    <w:bookmarkEnd w:id="43"/>
    <w:p>
      <w:pPr>
        <w:spacing w:after="0" w:line="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In our opinion, the Company maintained, in all material respects, effective internal control over financial reporting as of December 31, 2014, based on the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the consolidated financial statements and financial statement schedule as of and for the year ended December 31, 2014 of the Company and our report dated March 2, 2015 expressed an unqualified opinion on those financial statements and financial statement schedule.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by this item regarding our directors is included under the caption “Proposal One – Election of Directors” in our Proxy Statement for our 2015 Annual Meeting of Stockholders to be filed with the SEC within 120 days after the end of the fiscal year ended December 31, 2014 (the “2015 Proxy Statement”) and is incorporated herein by reference.</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Information concerning compliance with Section 16(a) of the Exchange Act is included under the caption “Section 16(a) Beneficial Ownership Reporting Compliance” in our 2015 Proxy Statement and is incorporated herein by reference.</w:t>
      </w:r>
    </w:p>
    <w:p>
      <w:pPr>
        <w:spacing w:after="0" w:line="17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9"/>
          <w:szCs w:val="19"/>
          <w:color w:val="auto"/>
        </w:rPr>
        <w:t>Information concerning the Audit Committee and the Audit Committee Financial expert is reported under the caption “Audit Committee; Report of the Audit Committee; Duties and Responsibilities” in our 2015 Proxy Statement and is incorporated herein by reference.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We have adopted a Code of Business Conduct and Ethics that applies to all our directors, officers (including our principal executive officer, principal financial officer, principal accounting officer and controllers) and employees and is available at </w:t>
      </w:r>
      <w:r>
        <w:rPr>
          <w:rFonts w:ascii="Times New Roman" w:cs="Times New Roman" w:eastAsia="Times New Roman" w:hAnsi="Times New Roman"/>
          <w:sz w:val="20"/>
          <w:szCs w:val="20"/>
          <w:u w:val="single" w:color="auto"/>
          <w:color w:val="auto"/>
        </w:rPr>
        <w:t>http://investors.monsterbevcorp.com/governance.cfm</w:t>
      </w:r>
      <w:r>
        <w:rPr>
          <w:rFonts w:ascii="Times New Roman" w:cs="Times New Roman" w:eastAsia="Times New Roman" w:hAnsi="Times New Roman"/>
          <w:sz w:val="20"/>
          <w:szCs w:val="20"/>
          <w:color w:val="auto"/>
        </w:rPr>
        <w:t>. The Code of Business Conduct and Ethics and any amendment thereto, as well as any waivers that are required to be disclosed by the rules of the SEC or NASDAQ, may be obtained at no cost to you by writing or telephoning us at the following address or telephone number: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 Monster Way</w:t>
      </w:r>
    </w:p>
    <w:p>
      <w:pPr>
        <w:jc w:val="center"/>
        <w:spacing w:after="0"/>
        <w:rPr>
          <w:sz w:val="20"/>
          <w:szCs w:val="20"/>
          <w:color w:val="auto"/>
        </w:rPr>
      </w:pPr>
      <w:r>
        <w:rPr>
          <w:rFonts w:ascii="Times New Roman" w:cs="Times New Roman" w:eastAsia="Times New Roman" w:hAnsi="Times New Roman"/>
          <w:sz w:val="20"/>
          <w:szCs w:val="20"/>
          <w:color w:val="auto"/>
        </w:rPr>
        <w:t>Corona, CA 92879</w:t>
      </w:r>
    </w:p>
    <w:p>
      <w:pPr>
        <w:ind w:left="5580" w:hanging="484"/>
        <w:spacing w:after="0"/>
        <w:tabs>
          <w:tab w:leader="none" w:pos="55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739-6200</w:t>
      </w:r>
    </w:p>
    <w:p>
      <w:pPr>
        <w:ind w:left="5580" w:hanging="484"/>
        <w:spacing w:after="0"/>
        <w:tabs>
          <w:tab w:leader="none" w:pos="55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426-7367</w:t>
      </w:r>
    </w:p>
    <w:p>
      <w:pPr>
        <w:spacing w:after="0" w:line="20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2015 Proxy Statement and is incorporated herein by reference.</w:t>
      </w:r>
    </w:p>
    <w:p>
      <w:pPr>
        <w:spacing w:after="0" w:line="184" w:lineRule="exact"/>
        <w:rPr>
          <w:sz w:val="20"/>
          <w:szCs w:val="20"/>
          <w:color w:val="auto"/>
        </w:rPr>
      </w:pPr>
    </w:p>
    <w:p>
      <w:pPr>
        <w:ind w:right="880"/>
        <w:spacing w:after="0" w:line="273"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7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disclosure set forth in Item 5, “Market for the Registrant’s Common Equity, Related Stockholder Matters and Issuer Repurchases of Equity Securities”, of this report is incorporated herein.</w:t>
      </w:r>
    </w:p>
    <w:p>
      <w:pPr>
        <w:sectPr>
          <w:pgSz w:w="11900" w:h="16890" w:orient="portrait"/>
          <w:cols w:equalWidth="0" w:num="1">
            <w:col w:w="11420"/>
          </w:cols>
          <w:pgMar w:left="240" w:top="118" w:right="239" w:bottom="0" w:gutter="0" w:footer="0" w:header="0"/>
        </w:sectPr>
      </w:pPr>
    </w:p>
    <w:bookmarkStart w:id="44" w:name="page45"/>
    <w:bookmarkEnd w:id="44"/>
    <w:p>
      <w:pPr>
        <w:ind w:firstLine="648"/>
        <w:spacing w:after="0" w:line="251" w:lineRule="auto"/>
        <w:rPr>
          <w:sz w:val="20"/>
          <w:szCs w:val="20"/>
          <w:color w:val="auto"/>
        </w:rPr>
      </w:pPr>
      <w:r>
        <w:rPr>
          <w:rFonts w:ascii="Times New Roman" w:cs="Times New Roman" w:eastAsia="Times New Roman" w:hAnsi="Times New Roman"/>
          <w:sz w:val="20"/>
          <w:szCs w:val="20"/>
          <w:color w:val="auto"/>
        </w:rPr>
        <w:t>Information concerning the beneficial ownership of the Company’s Common Stock of (a) those persons known to the Company to be the beneficial owners of more than 5% of the Company’s common stock; (b) each of the Company’s directors and nominees for director; and</w:t>
      </w:r>
    </w:p>
    <w:p>
      <w:pPr>
        <w:ind w:firstLine="8"/>
        <w:spacing w:after="0" w:line="271" w:lineRule="auto"/>
        <w:tabs>
          <w:tab w:leader="none" w:pos="275"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executive officers and all of the Company’s current directors and executive officers as a group is reported under the caption “Principal Stockholders and Security Ownership of Management” in our 2015 Proxy Statement and is incorporated herein by reference.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233"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Information concerning certain relationships and related transactions is reported under the caption “Certain Relationships and Related Transactions and Director Independence” in our 2015 Proxy Statement and is incorporated herein by reference.</w:t>
      </w:r>
    </w:p>
    <w:p>
      <w:pPr>
        <w:spacing w:after="0" w:line="16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233"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2015 Proxy Statement and is incorporated herein by reference.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26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459"/>
        </w:trPr>
        <w:tc>
          <w:tcPr>
            <w:tcW w:w="1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15.</w:t>
            </w:r>
          </w:p>
        </w:tc>
        <w:tc>
          <w:tcPr>
            <w:tcW w:w="9440" w:type="dxa"/>
            <w:vAlign w:val="bottom"/>
            <w:gridSpan w:val="10"/>
          </w:tcPr>
          <w:p>
            <w:pPr>
              <w:ind w:left="220"/>
              <w:spacing w:after="0"/>
              <w:rPr>
                <w:sz w:val="20"/>
                <w:szCs w:val="20"/>
                <w:color w:val="auto"/>
              </w:rPr>
            </w:pPr>
            <w:r>
              <w:rPr>
                <w:rFonts w:ascii="Times New Roman" w:cs="Times New Roman" w:eastAsia="Times New Roman" w:hAnsi="Times New Roman"/>
                <w:sz w:val="20"/>
                <w:szCs w:val="20"/>
                <w:b w:val="1"/>
                <w:bCs w:val="1"/>
                <w:color w:val="auto"/>
              </w:rPr>
              <w:t>EXHIBITS, FINANCIAL STATEMENT SCHEDULES</w:t>
            </w:r>
          </w:p>
        </w:tc>
        <w:tc>
          <w:tcPr>
            <w:tcW w:w="940" w:type="dxa"/>
            <w:vAlign w:val="bottom"/>
          </w:tcPr>
          <w:p>
            <w:pPr>
              <w:spacing w:after="0"/>
              <w:rPr>
                <w:sz w:val="24"/>
                <w:szCs w:val="24"/>
                <w:color w:val="auto"/>
              </w:rPr>
            </w:pPr>
          </w:p>
        </w:tc>
      </w:tr>
      <w:tr>
        <w:trPr>
          <w:trHeight w:val="459"/>
        </w:trPr>
        <w:tc>
          <w:tcPr>
            <w:tcW w:w="10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w:t>
            </w:r>
          </w:p>
        </w:tc>
        <w:tc>
          <w:tcPr>
            <w:tcW w:w="944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The following documents are filed as a part of this Form 10-K:</w:t>
            </w:r>
          </w:p>
        </w:tc>
        <w:tc>
          <w:tcPr>
            <w:tcW w:w="940" w:type="dxa"/>
            <w:vAlign w:val="bottom"/>
          </w:tcPr>
          <w:p>
            <w:pPr>
              <w:spacing w:after="0"/>
              <w:rPr>
                <w:sz w:val="24"/>
                <w:szCs w:val="24"/>
                <w:color w:val="auto"/>
              </w:rPr>
            </w:pPr>
          </w:p>
        </w:tc>
      </w:tr>
      <w:tr>
        <w:trPr>
          <w:trHeight w:val="642"/>
        </w:trPr>
        <w:tc>
          <w:tcPr>
            <w:tcW w:w="1040" w:type="dxa"/>
            <w:vAlign w:val="bottom"/>
          </w:tcPr>
          <w:p>
            <w:pPr>
              <w:spacing w:after="0"/>
              <w:rPr>
                <w:sz w:val="24"/>
                <w:szCs w:val="24"/>
                <w:color w:val="auto"/>
              </w:rPr>
            </w:pPr>
          </w:p>
        </w:tc>
        <w:tc>
          <w:tcPr>
            <w:tcW w:w="4640" w:type="dxa"/>
            <w:vAlign w:val="bottom"/>
            <w:tcBorders>
              <w:bottom w:val="single" w:sz="8" w:color="0000EE"/>
            </w:tcBorders>
            <w:gridSpan w:val="3"/>
          </w:tcPr>
          <w:p>
            <w:pPr>
              <w:spacing w:after="0"/>
              <w:rPr>
                <w:rFonts w:ascii="Times New Roman" w:cs="Times New Roman" w:eastAsia="Times New Roman" w:hAnsi="Times New Roman"/>
                <w:sz w:val="20"/>
                <w:szCs w:val="20"/>
                <w:color w:val="0000EE"/>
                <w:w w:val="98"/>
              </w:rPr>
            </w:pPr>
            <w:hyperlink w:anchor="page48">
              <w:r>
                <w:rPr>
                  <w:rFonts w:ascii="Times New Roman" w:cs="Times New Roman" w:eastAsia="Times New Roman" w:hAnsi="Times New Roman"/>
                  <w:sz w:val="20"/>
                  <w:szCs w:val="20"/>
                  <w:color w:val="0000EE"/>
                  <w:w w:val="98"/>
                </w:rPr>
                <w:t>Report of Independent Registered Public Accounting Firm</w:t>
              </w:r>
            </w:hyperlink>
          </w:p>
        </w:tc>
        <w:tc>
          <w:tcPr>
            <w:tcW w:w="480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729"/>
        </w:trPr>
        <w:tc>
          <w:tcPr>
            <w:tcW w:w="1040" w:type="dxa"/>
            <w:vAlign w:val="bottom"/>
          </w:tcPr>
          <w:p>
            <w:pPr>
              <w:spacing w:after="0"/>
              <w:rPr>
                <w:sz w:val="24"/>
                <w:szCs w:val="24"/>
                <w:color w:val="auto"/>
              </w:rPr>
            </w:pPr>
          </w:p>
        </w:tc>
        <w:tc>
          <w:tcPr>
            <w:tcW w:w="944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940" w:type="dxa"/>
            <w:vAlign w:val="bottom"/>
          </w:tcPr>
          <w:p>
            <w:pPr>
              <w:spacing w:after="0"/>
              <w:rPr>
                <w:sz w:val="24"/>
                <w:szCs w:val="24"/>
                <w:color w:val="auto"/>
              </w:rPr>
            </w:pPr>
          </w:p>
        </w:tc>
      </w:tr>
      <w:tr>
        <w:trPr>
          <w:trHeight w:val="224"/>
        </w:trPr>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00" w:type="dxa"/>
            <w:vAlign w:val="bottom"/>
            <w:tcBorders>
              <w:bottom w:val="single" w:sz="8" w:color="0000EE"/>
            </w:tcBorders>
            <w:gridSpan w:val="3"/>
          </w:tcPr>
          <w:p>
            <w:pPr>
              <w:spacing w:after="0" w:line="204" w:lineRule="exact"/>
              <w:rPr>
                <w:rFonts w:ascii="Times New Roman" w:cs="Times New Roman" w:eastAsia="Times New Roman" w:hAnsi="Times New Roman"/>
                <w:sz w:val="20"/>
                <w:szCs w:val="20"/>
                <w:color w:val="0000EE"/>
                <w:w w:val="98"/>
              </w:rPr>
            </w:pPr>
            <w:hyperlink w:anchor="page49">
              <w:r>
                <w:rPr>
                  <w:rFonts w:ascii="Times New Roman" w:cs="Times New Roman" w:eastAsia="Times New Roman" w:hAnsi="Times New Roman"/>
                  <w:sz w:val="20"/>
                  <w:szCs w:val="20"/>
                  <w:color w:val="0000EE"/>
                  <w:w w:val="98"/>
                </w:rPr>
                <w:t>Consolidated Balance Sheets as of December 31, 2014 and 2013</w:t>
              </w:r>
            </w:hyperlink>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75</w:t>
            </w:r>
          </w:p>
        </w:tc>
      </w:tr>
      <w:tr>
        <w:trPr>
          <w:trHeight w:val="250"/>
        </w:trPr>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60" w:type="dxa"/>
            <w:vAlign w:val="bottom"/>
            <w:tcBorders>
              <w:bottom w:val="single" w:sz="8" w:color="0000EE"/>
            </w:tcBorders>
            <w:gridSpan w:val="5"/>
          </w:tcPr>
          <w:p>
            <w:pPr>
              <w:spacing w:after="0"/>
              <w:rPr>
                <w:rFonts w:ascii="Times New Roman" w:cs="Times New Roman" w:eastAsia="Times New Roman" w:hAnsi="Times New Roman"/>
                <w:sz w:val="20"/>
                <w:szCs w:val="20"/>
                <w:color w:val="0000EE"/>
                <w:w w:val="98"/>
              </w:rPr>
            </w:pPr>
            <w:hyperlink w:anchor="page49">
              <w:r>
                <w:rPr>
                  <w:rFonts w:ascii="Times New Roman" w:cs="Times New Roman" w:eastAsia="Times New Roman" w:hAnsi="Times New Roman"/>
                  <w:sz w:val="20"/>
                  <w:szCs w:val="20"/>
                  <w:color w:val="0000EE"/>
                  <w:w w:val="98"/>
                </w:rPr>
                <w:t>Consolidated Statements of Income for the years ended December 31, 2014, 2013 and 2012</w:t>
              </w:r>
            </w:hyperlink>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0"/>
        </w:trPr>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540" w:type="dxa"/>
            <w:vAlign w:val="bottom"/>
            <w:tcBorders>
              <w:bottom w:val="single" w:sz="8" w:color="0000EE"/>
            </w:tcBorders>
            <w:gridSpan w:val="8"/>
          </w:tcPr>
          <w:p>
            <w:pPr>
              <w:spacing w:after="0"/>
              <w:rPr>
                <w:rFonts w:ascii="Times New Roman" w:cs="Times New Roman" w:eastAsia="Times New Roman" w:hAnsi="Times New Roman"/>
                <w:sz w:val="20"/>
                <w:szCs w:val="20"/>
                <w:color w:val="0000EE"/>
                <w:w w:val="98"/>
              </w:rPr>
            </w:pPr>
            <w:hyperlink w:anchor="page50">
              <w:r>
                <w:rPr>
                  <w:rFonts w:ascii="Times New Roman" w:cs="Times New Roman" w:eastAsia="Times New Roman" w:hAnsi="Times New Roman"/>
                  <w:sz w:val="20"/>
                  <w:szCs w:val="20"/>
                  <w:color w:val="0000EE"/>
                  <w:w w:val="98"/>
                </w:rPr>
                <w:t>Consolidated Statements of Comprehensive Income for the years ended December 31, 2014, 2013 and 2012</w:t>
              </w:r>
            </w:hyperlink>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0"/>
        </w:trPr>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340" w:type="dxa"/>
            <w:vAlign w:val="bottom"/>
            <w:tcBorders>
              <w:bottom w:val="single" w:sz="8" w:color="0000EE"/>
            </w:tcBorders>
            <w:gridSpan w:val="7"/>
          </w:tcPr>
          <w:p>
            <w:pPr>
              <w:spacing w:after="0"/>
              <w:rPr>
                <w:rFonts w:ascii="Times New Roman" w:cs="Times New Roman" w:eastAsia="Times New Roman" w:hAnsi="Times New Roman"/>
                <w:sz w:val="20"/>
                <w:szCs w:val="20"/>
                <w:color w:val="0000EE"/>
                <w:w w:val="98"/>
              </w:rPr>
            </w:pPr>
            <w:hyperlink w:anchor="page50">
              <w:r>
                <w:rPr>
                  <w:rFonts w:ascii="Times New Roman" w:cs="Times New Roman" w:eastAsia="Times New Roman" w:hAnsi="Times New Roman"/>
                  <w:sz w:val="20"/>
                  <w:szCs w:val="20"/>
                  <w:color w:val="0000EE"/>
                  <w:w w:val="98"/>
                </w:rPr>
                <w:t>Consolidated Statements of Stockholders’ Equity for the years ended December 31, 2014, 2013 and 2012</w:t>
              </w:r>
            </w:hyperlink>
          </w:p>
        </w:tc>
        <w:tc>
          <w:tcPr>
            <w:tcW w:w="840" w:type="dxa"/>
            <w:vAlign w:val="bottom"/>
            <w:gridSpan w:val="2"/>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0"/>
        </w:trPr>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0" w:type="dxa"/>
            <w:vAlign w:val="bottom"/>
            <w:tcBorders>
              <w:bottom w:val="single" w:sz="8" w:color="0000EE"/>
            </w:tcBorders>
            <w:gridSpan w:val="6"/>
          </w:tcPr>
          <w:p>
            <w:pPr>
              <w:spacing w:after="0"/>
              <w:rPr>
                <w:rFonts w:ascii="Times New Roman" w:cs="Times New Roman" w:eastAsia="Times New Roman" w:hAnsi="Times New Roman"/>
                <w:sz w:val="20"/>
                <w:szCs w:val="20"/>
                <w:color w:val="0000EE"/>
                <w:w w:val="98"/>
              </w:rPr>
            </w:pPr>
            <w:hyperlink w:anchor="page51">
              <w:r>
                <w:rPr>
                  <w:rFonts w:ascii="Times New Roman" w:cs="Times New Roman" w:eastAsia="Times New Roman" w:hAnsi="Times New Roman"/>
                  <w:sz w:val="20"/>
                  <w:szCs w:val="20"/>
                  <w:color w:val="0000EE"/>
                  <w:w w:val="98"/>
                </w:rPr>
                <w:t>Consolidated Statements of Cash Flows for the years ended December 31, 2014, 2013 and 2012</w:t>
              </w:r>
            </w:hyperlink>
          </w:p>
        </w:tc>
        <w:tc>
          <w:tcPr>
            <w:tcW w:w="1580" w:type="dxa"/>
            <w:vAlign w:val="bottom"/>
            <w:gridSpan w:val="3"/>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0"/>
        </w:trPr>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60" w:type="dxa"/>
            <w:vAlign w:val="bottom"/>
            <w:tcBorders>
              <w:bottom w:val="single" w:sz="8" w:color="0000EE"/>
            </w:tcBorders>
          </w:tcPr>
          <w:p>
            <w:pPr>
              <w:spacing w:after="0"/>
              <w:rPr>
                <w:rFonts w:ascii="Times New Roman" w:cs="Times New Roman" w:eastAsia="Times New Roman" w:hAnsi="Times New Roman"/>
                <w:sz w:val="20"/>
                <w:szCs w:val="20"/>
                <w:color w:val="0000EE"/>
                <w:w w:val="98"/>
              </w:rPr>
            </w:pPr>
            <w:hyperlink w:anchor="page52">
              <w:r>
                <w:rPr>
                  <w:rFonts w:ascii="Times New Roman" w:cs="Times New Roman" w:eastAsia="Times New Roman" w:hAnsi="Times New Roman"/>
                  <w:sz w:val="20"/>
                  <w:szCs w:val="20"/>
                  <w:color w:val="0000EE"/>
                  <w:w w:val="98"/>
                </w:rPr>
                <w:t>Notes to Consolidated Financial Statements</w:t>
              </w:r>
            </w:hyperlink>
          </w:p>
        </w:tc>
        <w:tc>
          <w:tcPr>
            <w:tcW w:w="3780" w:type="dxa"/>
            <w:vAlign w:val="bottom"/>
            <w:gridSpan w:val="3"/>
          </w:tcPr>
          <w:p>
            <w:pPr>
              <w:spacing w:after="0"/>
              <w:rPr>
                <w:sz w:val="21"/>
                <w:szCs w:val="21"/>
                <w:color w:val="auto"/>
              </w:rPr>
            </w:pPr>
          </w:p>
        </w:tc>
        <w:tc>
          <w:tcPr>
            <w:tcW w:w="1940" w:type="dxa"/>
            <w:vAlign w:val="bottom"/>
            <w:gridSpan w:val="5"/>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713"/>
        </w:trPr>
        <w:tc>
          <w:tcPr>
            <w:tcW w:w="1040" w:type="dxa"/>
            <w:vAlign w:val="bottom"/>
          </w:tcPr>
          <w:p>
            <w:pPr>
              <w:spacing w:after="0"/>
              <w:rPr>
                <w:sz w:val="24"/>
                <w:szCs w:val="24"/>
                <w:color w:val="auto"/>
              </w:rPr>
            </w:pPr>
          </w:p>
        </w:tc>
        <w:tc>
          <w:tcPr>
            <w:tcW w:w="944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Financial Statement Schedule:</w:t>
            </w:r>
          </w:p>
        </w:tc>
        <w:tc>
          <w:tcPr>
            <w:tcW w:w="940" w:type="dxa"/>
            <w:vAlign w:val="bottom"/>
          </w:tcPr>
          <w:p>
            <w:pPr>
              <w:spacing w:after="0"/>
              <w:rPr>
                <w:sz w:val="24"/>
                <w:szCs w:val="24"/>
                <w:color w:val="auto"/>
              </w:rPr>
            </w:pPr>
          </w:p>
        </w:tc>
      </w:tr>
      <w:tr>
        <w:trPr>
          <w:trHeight w:val="212"/>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40" w:type="dxa"/>
            <w:vAlign w:val="bottom"/>
            <w:tcBorders>
              <w:bottom w:val="single" w:sz="8" w:color="0000EE"/>
            </w:tcBorders>
            <w:gridSpan w:val="4"/>
          </w:tcPr>
          <w:p>
            <w:pPr>
              <w:spacing w:after="0" w:line="212" w:lineRule="exact"/>
              <w:rPr>
                <w:rFonts w:ascii="Times New Roman" w:cs="Times New Roman" w:eastAsia="Times New Roman" w:hAnsi="Times New Roman"/>
                <w:sz w:val="20"/>
                <w:szCs w:val="20"/>
                <w:color w:val="0000EE"/>
                <w:w w:val="98"/>
              </w:rPr>
            </w:pPr>
            <w:hyperlink w:anchor="page75">
              <w:r>
                <w:rPr>
                  <w:rFonts w:ascii="Times New Roman" w:cs="Times New Roman" w:eastAsia="Times New Roman" w:hAnsi="Times New Roman"/>
                  <w:sz w:val="20"/>
                  <w:szCs w:val="20"/>
                  <w:color w:val="0000EE"/>
                  <w:w w:val="98"/>
                </w:rPr>
                <w:t>Valuation and Qualifying Accounts for the years ended December 31, 2014, 2013 and 2012</w:t>
              </w:r>
            </w:hyperlink>
          </w:p>
        </w:tc>
        <w:tc>
          <w:tcPr>
            <w:tcW w:w="1940" w:type="dxa"/>
            <w:vAlign w:val="bottom"/>
            <w:gridSpan w:val="5"/>
          </w:tcPr>
          <w:p>
            <w:pPr>
              <w:spacing w:after="0"/>
              <w:rPr>
                <w:sz w:val="18"/>
                <w:szCs w:val="18"/>
                <w:color w:val="auto"/>
              </w:rPr>
            </w:pPr>
          </w:p>
        </w:tc>
        <w:tc>
          <w:tcPr>
            <w:tcW w:w="9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114</w:t>
            </w:r>
          </w:p>
        </w:tc>
      </w:tr>
    </w:tbl>
    <w:p>
      <w:pPr>
        <w:spacing w:after="0" w:line="30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Exhibits:</w:t>
      </w:r>
    </w:p>
    <w:p>
      <w:pPr>
        <w:spacing w:after="0" w:line="40" w:lineRule="exact"/>
        <w:rPr>
          <w:sz w:val="20"/>
          <w:szCs w:val="20"/>
          <w:color w:val="auto"/>
        </w:rPr>
      </w:pPr>
    </w:p>
    <w:p>
      <w:pPr>
        <w:ind w:left="1300" w:right="1620"/>
        <w:spacing w:after="0" w:line="269" w:lineRule="auto"/>
        <w:rPr>
          <w:sz w:val="20"/>
          <w:szCs w:val="20"/>
          <w:color w:val="auto"/>
        </w:rPr>
      </w:pPr>
      <w:r>
        <w:rPr>
          <w:rFonts w:ascii="Times New Roman" w:cs="Times New Roman" w:eastAsia="Times New Roman" w:hAnsi="Times New Roman"/>
          <w:sz w:val="20"/>
          <w:szCs w:val="20"/>
          <w:color w:val="auto"/>
        </w:rPr>
        <w:t>The Exhibits listed in the Index of Exhibits, which appears immediately following the signature page and is incorporated herein by reference, as filed as part of this Form 10-K.</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Sections 13 or 15(d) of the Securities Exchange Act of 1934, as amended, the registrant has duly caused this report to be signed on its behalf by the undersigned, thereunto duly authorized.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w:t>
            </w:r>
          </w:p>
        </w:tc>
        <w:tc>
          <w:tcPr>
            <w:tcW w:w="34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413"/>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RODNEY C. SACKS</w:t>
            </w:r>
          </w:p>
        </w:tc>
        <w:tc>
          <w:tcPr>
            <w:tcW w:w="3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Rodney C. Sacks</w:t>
            </w:r>
          </w:p>
        </w:tc>
        <w:tc>
          <w:tcPr>
            <w:tcW w:w="29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Date: March 2, 2015</w:t>
            </w:r>
          </w:p>
        </w:tc>
      </w:tr>
      <w:tr>
        <w:trPr>
          <w:trHeight w:val="256"/>
        </w:trPr>
        <w:tc>
          <w:tcPr>
            <w:tcW w:w="1980" w:type="dxa"/>
            <w:vAlign w:val="bottom"/>
            <w:tcBorders>
              <w:top w:val="single" w:sz="8" w:color="auto"/>
            </w:tcBorders>
          </w:tcPr>
          <w:p>
            <w:pPr>
              <w:spacing w:after="0"/>
              <w:rPr>
                <w:sz w:val="22"/>
                <w:szCs w:val="22"/>
                <w:color w:val="auto"/>
              </w:rPr>
            </w:pPr>
          </w:p>
        </w:tc>
        <w:tc>
          <w:tcPr>
            <w:tcW w:w="2140" w:type="dxa"/>
            <w:vAlign w:val="bottom"/>
          </w:tcPr>
          <w:p>
            <w:pPr>
              <w:spacing w:after="0"/>
              <w:rPr>
                <w:sz w:val="22"/>
                <w:szCs w:val="22"/>
                <w:color w:val="auto"/>
              </w:rPr>
            </w:pPr>
          </w:p>
        </w:tc>
        <w:tc>
          <w:tcPr>
            <w:tcW w:w="3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Chairman of the Board</w:t>
            </w:r>
          </w:p>
        </w:tc>
        <w:tc>
          <w:tcPr>
            <w:tcW w:w="2960" w:type="dxa"/>
            <w:vAlign w:val="bottom"/>
          </w:tcPr>
          <w:p>
            <w:pPr>
              <w:spacing w:after="0"/>
              <w:rPr>
                <w:sz w:val="22"/>
                <w:szCs w:val="22"/>
                <w:color w:val="auto"/>
              </w:rPr>
            </w:pPr>
          </w:p>
        </w:tc>
      </w:tr>
    </w:tbl>
    <w:p>
      <w:pPr>
        <w:spacing w:after="0" w:line="20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420"/>
          </w:cols>
          <w:pgMar w:left="240" w:top="346" w:right="239" w:bottom="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675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Rodney C. Sacks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w w:val="95"/>
              </w:rPr>
              <w:t>Title</w:t>
            </w:r>
          </w:p>
        </w:tc>
        <w:tc>
          <w:tcPr>
            <w:tcW w:w="3660" w:type="dxa"/>
            <w:vAlign w:val="bottom"/>
          </w:tcPr>
          <w:p>
            <w:pPr>
              <w:spacing w:after="0"/>
              <w:rPr>
                <w:sz w:val="19"/>
                <w:szCs w:val="19"/>
                <w:color w:val="auto"/>
              </w:rPr>
            </w:pPr>
          </w:p>
        </w:tc>
        <w:tc>
          <w:tcPr>
            <w:tcW w:w="2260" w:type="dxa"/>
            <w:vAlign w:val="bottom"/>
            <w:gridSpan w:val="3"/>
          </w:tcPr>
          <w:p>
            <w:pPr>
              <w:ind w:left="520"/>
              <w:spacing w:after="0"/>
              <w:rPr>
                <w:sz w:val="20"/>
                <w:szCs w:val="20"/>
                <w:color w:val="auto"/>
              </w:rPr>
            </w:pPr>
            <w:r>
              <w:rPr>
                <w:rFonts w:ascii="Times New Roman" w:cs="Times New Roman" w:eastAsia="Times New Roman" w:hAnsi="Times New Roman"/>
                <w:sz w:val="20"/>
                <w:szCs w:val="20"/>
                <w:color w:val="auto"/>
              </w:rPr>
              <w:t>Date</w:t>
            </w:r>
          </w:p>
        </w:tc>
      </w:tr>
      <w:tr>
        <w:trPr>
          <w:trHeight w:val="20"/>
        </w:trPr>
        <w:tc>
          <w:tcPr>
            <w:tcW w:w="38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57"/>
        </w:trPr>
        <w:tc>
          <w:tcPr>
            <w:tcW w:w="4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Chairman of the Board of Directors and</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March 2, 2015</w:t>
            </w:r>
          </w:p>
        </w:tc>
      </w:tr>
      <w:tr>
        <w:trPr>
          <w:trHeight w:val="258"/>
        </w:trPr>
        <w:tc>
          <w:tcPr>
            <w:tcW w:w="4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Executive Officer (principal executive</w:t>
            </w: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ectPr>
          <w:pgSz w:w="11900" w:h="16838" w:orient="portrait"/>
          <w:cols w:equalWidth="0" w:num="2">
            <w:col w:w="3820" w:space="720"/>
            <w:col w:w="6880"/>
          </w:cols>
          <w:pgMar w:left="240" w:top="346" w:right="239" w:bottom="0" w:gutter="0" w:footer="0" w:header="0"/>
          <w:type w:val="continuous"/>
        </w:sectPr>
      </w:pPr>
    </w:p>
    <w:bookmarkStart w:id="45" w:name="page46"/>
    <w:bookmarkEnd w:id="45"/>
    <w:p>
      <w:pPr>
        <w:spacing w:after="0" w:line="200" w:lineRule="exact"/>
        <w:rPr>
          <w:sz w:val="20"/>
          <w:szCs w:val="20"/>
          <w:color w:val="auto"/>
        </w:rPr>
      </w:pPr>
    </w:p>
    <w:p>
      <w:pPr>
        <w:spacing w:after="0" w:line="320" w:lineRule="exact"/>
        <w:rPr>
          <w:sz w:val="20"/>
          <w:szCs w:val="20"/>
          <w:color w:val="auto"/>
        </w:rPr>
      </w:pPr>
    </w:p>
    <w:p>
      <w:pPr>
        <w:ind w:right="1280"/>
        <w:spacing w:after="0" w:line="325" w:lineRule="auto"/>
        <w:rPr>
          <w:sz w:val="20"/>
          <w:szCs w:val="20"/>
          <w:color w:val="auto"/>
        </w:rPr>
      </w:pPr>
      <w:r>
        <w:rPr>
          <w:rFonts w:ascii="Times New Roman" w:cs="Times New Roman" w:eastAsia="Times New Roman" w:hAnsi="Times New Roman"/>
          <w:sz w:val="19"/>
          <w:szCs w:val="19"/>
          <w:color w:val="auto"/>
        </w:rPr>
        <w:t>/s/ HILTON H. SCHLOSBERG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675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officer)</w:t>
      </w:r>
    </w:p>
    <w:p>
      <w:pPr>
        <w:spacing w:after="0" w:line="228"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20"/>
          <w:szCs w:val="20"/>
          <w:color w:val="auto"/>
        </w:rPr>
        <w:t>Vice Chairman of the Board of Directors,</w:t>
      </w:r>
      <w:r>
        <w:rPr>
          <w:sz w:val="20"/>
          <w:szCs w:val="20"/>
          <w:color w:val="auto"/>
        </w:rPr>
        <w:tab/>
      </w:r>
      <w:r>
        <w:rPr>
          <w:rFonts w:ascii="Times New Roman" w:cs="Times New Roman" w:eastAsia="Times New Roman" w:hAnsi="Times New Roman"/>
          <w:sz w:val="19"/>
          <w:szCs w:val="19"/>
          <w:color w:val="auto"/>
        </w:rPr>
        <w:t>March 2, 2015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Chief Operating Officer, Chief</w:t>
      </w:r>
    </w:p>
    <w:p>
      <w:pPr>
        <w:spacing w:after="0"/>
        <w:rPr>
          <w:sz w:val="20"/>
          <w:szCs w:val="20"/>
          <w:color w:val="auto"/>
        </w:rPr>
      </w:pPr>
      <w:r>
        <w:rPr>
          <w:rFonts w:ascii="Times New Roman" w:cs="Times New Roman" w:eastAsia="Times New Roman" w:hAnsi="Times New Roman"/>
          <w:sz w:val="20"/>
          <w:szCs w:val="20"/>
          <w:color w:val="auto"/>
        </w:rPr>
        <w:t>Financial Officer and Secretary (principal</w:t>
      </w:r>
    </w:p>
    <w:p>
      <w:pPr>
        <w:spacing w:after="0"/>
        <w:rPr>
          <w:sz w:val="20"/>
          <w:szCs w:val="20"/>
          <w:color w:val="auto"/>
        </w:rPr>
      </w:pPr>
      <w:r>
        <w:rPr>
          <w:rFonts w:ascii="Times New Roman" w:cs="Times New Roman" w:eastAsia="Times New Roman" w:hAnsi="Times New Roman"/>
          <w:sz w:val="20"/>
          <w:szCs w:val="20"/>
          <w:color w:val="auto"/>
        </w:rPr>
        <w:t>financial officer, controller and principal</w:t>
      </w:r>
    </w:p>
    <w:p>
      <w:pPr>
        <w:spacing w:after="0"/>
        <w:rPr>
          <w:sz w:val="20"/>
          <w:szCs w:val="20"/>
          <w:color w:val="auto"/>
        </w:rPr>
      </w:pPr>
      <w:r>
        <w:rPr>
          <w:rFonts w:ascii="Times New Roman" w:cs="Times New Roman" w:eastAsia="Times New Roman" w:hAnsi="Times New Roman"/>
          <w:sz w:val="20"/>
          <w:szCs w:val="20"/>
          <w:color w:val="auto"/>
        </w:rPr>
        <w:t>accounting officer)</w:t>
      </w:r>
    </w:p>
    <w:p>
      <w:pPr>
        <w:spacing w:after="0" w:line="200" w:lineRule="exact"/>
        <w:rPr>
          <w:sz w:val="20"/>
          <w:szCs w:val="20"/>
          <w:color w:val="auto"/>
        </w:rPr>
      </w:pPr>
    </w:p>
    <w:p>
      <w:pPr>
        <w:sectPr>
          <w:pgSz w:w="11900" w:h="16900" w:orient="portrait"/>
          <w:cols w:equalWidth="0" w:num="2">
            <w:col w:w="3820" w:space="720"/>
            <w:col w:w="6920"/>
          </w:cols>
          <w:pgMar w:left="240" w:top="118" w:right="199" w:bottom="0" w:gutter="0" w:footer="0" w:header="0"/>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NORMAN C. EPSTEIN</w:t>
            </w:r>
          </w:p>
        </w:tc>
        <w:tc>
          <w:tcPr>
            <w:tcW w:w="1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Director</w:t>
            </w:r>
          </w:p>
        </w:tc>
        <w:tc>
          <w:tcPr>
            <w:tcW w:w="6040" w:type="dxa"/>
            <w:vAlign w:val="bottom"/>
          </w:tcPr>
          <w:p>
            <w:pPr>
              <w:ind w:left="4260"/>
              <w:spacing w:after="0"/>
              <w:rPr>
                <w:sz w:val="20"/>
                <w:szCs w:val="20"/>
                <w:color w:val="auto"/>
              </w:rPr>
            </w:pPr>
            <w:r>
              <w:rPr>
                <w:rFonts w:ascii="Times New Roman" w:cs="Times New Roman" w:eastAsia="Times New Roman" w:hAnsi="Times New Roman"/>
                <w:sz w:val="20"/>
                <w:szCs w:val="20"/>
                <w:color w:val="auto"/>
              </w:rPr>
              <w:t>March 2, 2015</w:t>
            </w:r>
          </w:p>
        </w:tc>
      </w:tr>
      <w:tr>
        <w:trPr>
          <w:trHeight w:val="25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Norman C. Epstein</w:t>
            </w:r>
          </w:p>
        </w:tc>
        <w:tc>
          <w:tcPr>
            <w:tcW w:w="1200" w:type="dxa"/>
            <w:vAlign w:val="bottom"/>
          </w:tcPr>
          <w:p>
            <w:pPr>
              <w:spacing w:after="0"/>
              <w:rPr>
                <w:sz w:val="22"/>
                <w:szCs w:val="22"/>
                <w:color w:val="auto"/>
              </w:rPr>
            </w:pPr>
          </w:p>
        </w:tc>
        <w:tc>
          <w:tcPr>
            <w:tcW w:w="6040" w:type="dxa"/>
            <w:vAlign w:val="bottom"/>
          </w:tcPr>
          <w:p>
            <w:pPr>
              <w:spacing w:after="0"/>
              <w:rPr>
                <w:sz w:val="22"/>
                <w:szCs w:val="22"/>
                <w:color w:val="auto"/>
              </w:rPr>
            </w:pPr>
          </w:p>
        </w:tc>
      </w:tr>
      <w:tr>
        <w:trPr>
          <w:trHeight w:val="667"/>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BENJAMIN M. POLK</w:t>
            </w:r>
          </w:p>
        </w:tc>
        <w:tc>
          <w:tcPr>
            <w:tcW w:w="1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Director</w:t>
            </w:r>
          </w:p>
        </w:tc>
        <w:tc>
          <w:tcPr>
            <w:tcW w:w="6040" w:type="dxa"/>
            <w:vAlign w:val="bottom"/>
          </w:tcPr>
          <w:p>
            <w:pPr>
              <w:ind w:left="4260"/>
              <w:spacing w:after="0"/>
              <w:rPr>
                <w:sz w:val="20"/>
                <w:szCs w:val="20"/>
                <w:color w:val="auto"/>
              </w:rPr>
            </w:pPr>
            <w:r>
              <w:rPr>
                <w:rFonts w:ascii="Times New Roman" w:cs="Times New Roman" w:eastAsia="Times New Roman" w:hAnsi="Times New Roman"/>
                <w:sz w:val="20"/>
                <w:szCs w:val="20"/>
                <w:color w:val="auto"/>
              </w:rPr>
              <w:t>March 2, 2015</w:t>
            </w:r>
          </w:p>
        </w:tc>
      </w:tr>
      <w:tr>
        <w:trPr>
          <w:trHeight w:val="25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Benjamin M. Polk</w:t>
            </w:r>
          </w:p>
        </w:tc>
        <w:tc>
          <w:tcPr>
            <w:tcW w:w="1200" w:type="dxa"/>
            <w:vAlign w:val="bottom"/>
          </w:tcPr>
          <w:p>
            <w:pPr>
              <w:spacing w:after="0"/>
              <w:rPr>
                <w:sz w:val="22"/>
                <w:szCs w:val="22"/>
                <w:color w:val="auto"/>
              </w:rPr>
            </w:pPr>
          </w:p>
        </w:tc>
        <w:tc>
          <w:tcPr>
            <w:tcW w:w="6040" w:type="dxa"/>
            <w:vAlign w:val="bottom"/>
          </w:tcPr>
          <w:p>
            <w:pPr>
              <w:spacing w:after="0"/>
              <w:rPr>
                <w:sz w:val="22"/>
                <w:szCs w:val="22"/>
                <w:color w:val="auto"/>
              </w:rPr>
            </w:pPr>
          </w:p>
        </w:tc>
      </w:tr>
      <w:tr>
        <w:trPr>
          <w:trHeight w:val="667"/>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SYDNEY SELATI</w:t>
            </w:r>
          </w:p>
        </w:tc>
        <w:tc>
          <w:tcPr>
            <w:tcW w:w="1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Director</w:t>
            </w:r>
          </w:p>
        </w:tc>
        <w:tc>
          <w:tcPr>
            <w:tcW w:w="6040" w:type="dxa"/>
            <w:vAlign w:val="bottom"/>
          </w:tcPr>
          <w:p>
            <w:pPr>
              <w:ind w:left="4260"/>
              <w:spacing w:after="0"/>
              <w:rPr>
                <w:sz w:val="20"/>
                <w:szCs w:val="20"/>
                <w:color w:val="auto"/>
              </w:rPr>
            </w:pPr>
            <w:r>
              <w:rPr>
                <w:rFonts w:ascii="Times New Roman" w:cs="Times New Roman" w:eastAsia="Times New Roman" w:hAnsi="Times New Roman"/>
                <w:sz w:val="20"/>
                <w:szCs w:val="20"/>
                <w:color w:val="auto"/>
              </w:rPr>
              <w:t>March 2, 2015</w:t>
            </w:r>
          </w:p>
        </w:tc>
      </w:tr>
      <w:tr>
        <w:trPr>
          <w:trHeight w:val="25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Sydney Selati</w:t>
            </w:r>
          </w:p>
        </w:tc>
        <w:tc>
          <w:tcPr>
            <w:tcW w:w="1200" w:type="dxa"/>
            <w:vAlign w:val="bottom"/>
          </w:tcPr>
          <w:p>
            <w:pPr>
              <w:spacing w:after="0"/>
              <w:rPr>
                <w:sz w:val="22"/>
                <w:szCs w:val="22"/>
                <w:color w:val="auto"/>
              </w:rPr>
            </w:pPr>
          </w:p>
        </w:tc>
        <w:tc>
          <w:tcPr>
            <w:tcW w:w="6040" w:type="dxa"/>
            <w:vAlign w:val="bottom"/>
          </w:tcPr>
          <w:p>
            <w:pPr>
              <w:spacing w:after="0"/>
              <w:rPr>
                <w:sz w:val="22"/>
                <w:szCs w:val="22"/>
                <w:color w:val="auto"/>
              </w:rPr>
            </w:pPr>
          </w:p>
        </w:tc>
      </w:tr>
      <w:tr>
        <w:trPr>
          <w:trHeight w:val="667"/>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HAROLD C. TABER, JR.</w:t>
            </w:r>
          </w:p>
        </w:tc>
        <w:tc>
          <w:tcPr>
            <w:tcW w:w="1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Director</w:t>
            </w:r>
          </w:p>
        </w:tc>
        <w:tc>
          <w:tcPr>
            <w:tcW w:w="6040" w:type="dxa"/>
            <w:vAlign w:val="bottom"/>
          </w:tcPr>
          <w:p>
            <w:pPr>
              <w:ind w:left="4260"/>
              <w:spacing w:after="0"/>
              <w:rPr>
                <w:sz w:val="20"/>
                <w:szCs w:val="20"/>
                <w:color w:val="auto"/>
              </w:rPr>
            </w:pPr>
            <w:r>
              <w:rPr>
                <w:rFonts w:ascii="Times New Roman" w:cs="Times New Roman" w:eastAsia="Times New Roman" w:hAnsi="Times New Roman"/>
                <w:sz w:val="20"/>
                <w:szCs w:val="20"/>
                <w:color w:val="auto"/>
              </w:rPr>
              <w:t>March 2, 2015</w:t>
            </w:r>
          </w:p>
        </w:tc>
      </w:tr>
      <w:tr>
        <w:trPr>
          <w:trHeight w:val="25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Harold C. Taber, Jr.</w:t>
            </w:r>
          </w:p>
        </w:tc>
        <w:tc>
          <w:tcPr>
            <w:tcW w:w="1200" w:type="dxa"/>
            <w:vAlign w:val="bottom"/>
          </w:tcPr>
          <w:p>
            <w:pPr>
              <w:spacing w:after="0"/>
              <w:rPr>
                <w:sz w:val="22"/>
                <w:szCs w:val="22"/>
                <w:color w:val="auto"/>
              </w:rPr>
            </w:pPr>
          </w:p>
        </w:tc>
        <w:tc>
          <w:tcPr>
            <w:tcW w:w="6040" w:type="dxa"/>
            <w:vAlign w:val="bottom"/>
          </w:tcPr>
          <w:p>
            <w:pPr>
              <w:spacing w:after="0"/>
              <w:rPr>
                <w:sz w:val="22"/>
                <w:szCs w:val="22"/>
                <w:color w:val="auto"/>
              </w:rPr>
            </w:pPr>
          </w:p>
        </w:tc>
      </w:tr>
      <w:tr>
        <w:trPr>
          <w:trHeight w:val="667"/>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S. VIDERGAUZ</w:t>
            </w:r>
          </w:p>
        </w:tc>
        <w:tc>
          <w:tcPr>
            <w:tcW w:w="1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Director</w:t>
            </w:r>
          </w:p>
        </w:tc>
        <w:tc>
          <w:tcPr>
            <w:tcW w:w="6040" w:type="dxa"/>
            <w:vAlign w:val="bottom"/>
          </w:tcPr>
          <w:p>
            <w:pPr>
              <w:ind w:left="4260"/>
              <w:spacing w:after="0"/>
              <w:rPr>
                <w:sz w:val="20"/>
                <w:szCs w:val="20"/>
                <w:color w:val="auto"/>
              </w:rPr>
            </w:pPr>
            <w:r>
              <w:rPr>
                <w:rFonts w:ascii="Times New Roman" w:cs="Times New Roman" w:eastAsia="Times New Roman" w:hAnsi="Times New Roman"/>
                <w:sz w:val="20"/>
                <w:szCs w:val="20"/>
                <w:color w:val="auto"/>
              </w:rPr>
              <w:t>March 2, 2015</w:t>
            </w:r>
          </w:p>
        </w:tc>
      </w:tr>
      <w:tr>
        <w:trPr>
          <w:trHeight w:val="25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Mark S. Vidergauz</w:t>
            </w:r>
          </w:p>
        </w:tc>
        <w:tc>
          <w:tcPr>
            <w:tcW w:w="1200" w:type="dxa"/>
            <w:vAlign w:val="bottom"/>
          </w:tcPr>
          <w:p>
            <w:pPr>
              <w:spacing w:after="0"/>
              <w:rPr>
                <w:sz w:val="22"/>
                <w:szCs w:val="22"/>
                <w:color w:val="auto"/>
              </w:rPr>
            </w:pPr>
          </w:p>
        </w:tc>
        <w:tc>
          <w:tcPr>
            <w:tcW w:w="6040" w:type="dxa"/>
            <w:vAlign w:val="bottom"/>
          </w:tcPr>
          <w:p>
            <w:pPr>
              <w:spacing w:after="0"/>
              <w:rPr>
                <w:sz w:val="22"/>
                <w:szCs w:val="22"/>
                <w:color w:val="auto"/>
              </w:rPr>
            </w:pPr>
          </w:p>
        </w:tc>
      </w:tr>
      <w:tr>
        <w:trPr>
          <w:trHeight w:val="667"/>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J. HALL</w:t>
            </w:r>
          </w:p>
        </w:tc>
        <w:tc>
          <w:tcPr>
            <w:tcW w:w="1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Director</w:t>
            </w:r>
          </w:p>
        </w:tc>
        <w:tc>
          <w:tcPr>
            <w:tcW w:w="6040" w:type="dxa"/>
            <w:vAlign w:val="bottom"/>
          </w:tcPr>
          <w:p>
            <w:pPr>
              <w:ind w:left="4260"/>
              <w:spacing w:after="0"/>
              <w:rPr>
                <w:sz w:val="20"/>
                <w:szCs w:val="20"/>
                <w:color w:val="auto"/>
              </w:rPr>
            </w:pPr>
            <w:r>
              <w:rPr>
                <w:rFonts w:ascii="Times New Roman" w:cs="Times New Roman" w:eastAsia="Times New Roman" w:hAnsi="Times New Roman"/>
                <w:sz w:val="20"/>
                <w:szCs w:val="20"/>
                <w:color w:val="auto"/>
              </w:rPr>
              <w:t>March 2, 2015</w:t>
            </w:r>
          </w:p>
        </w:tc>
      </w:tr>
      <w:tr>
        <w:trPr>
          <w:trHeight w:val="25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Mark J. Hall</w:t>
            </w:r>
          </w:p>
        </w:tc>
        <w:tc>
          <w:tcPr>
            <w:tcW w:w="1200" w:type="dxa"/>
            <w:vAlign w:val="bottom"/>
          </w:tcPr>
          <w:p>
            <w:pPr>
              <w:spacing w:after="0"/>
              <w:rPr>
                <w:sz w:val="22"/>
                <w:szCs w:val="22"/>
                <w:color w:val="auto"/>
              </w:rPr>
            </w:pPr>
          </w:p>
        </w:tc>
        <w:tc>
          <w:tcPr>
            <w:tcW w:w="6040" w:type="dxa"/>
            <w:vAlign w:val="bottom"/>
          </w:tcPr>
          <w:p>
            <w:pPr>
              <w:spacing w:after="0"/>
              <w:rPr>
                <w:sz w:val="22"/>
                <w:szCs w:val="22"/>
                <w:color w:val="auto"/>
              </w:rPr>
            </w:pPr>
          </w:p>
        </w:tc>
      </w:tr>
      <w:tr>
        <w:trPr>
          <w:trHeight w:val="384"/>
        </w:trPr>
        <w:tc>
          <w:tcPr>
            <w:tcW w:w="4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69</w:t>
            </w:r>
          </w:p>
        </w:tc>
      </w:tr>
      <w:tr>
        <w:trPr>
          <w:trHeight w:val="138"/>
        </w:trPr>
        <w:tc>
          <w:tcPr>
            <w:tcW w:w="422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60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EXHIBITS</w:t>
      </w:r>
    </w:p>
    <w:p>
      <w:pPr>
        <w:spacing w:after="0" w:line="233"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 as indicated by footnote.</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320" w:type="dxa"/>
            <w:vAlign w:val="bottom"/>
            <w:tcBorders>
              <w:top w:val="single" w:sz="8" w:color="auto"/>
              <w:left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2.1</w:t>
            </w:r>
          </w:p>
        </w:tc>
        <w:tc>
          <w:tcPr>
            <w:tcW w:w="10100" w:type="dxa"/>
            <w:vAlign w:val="bottom"/>
            <w:tcBorders>
              <w:top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w w:val="99"/>
              </w:rPr>
              <w:t>Transaction Agreement, dated as of August 14, 2014, by and among Monster Beverage Corporation, New Laser Corporation,</w:t>
            </w: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Laser Merger Corp, The Coca-Cola Company and European Refreshments (incorporated by reference from exhibit 2.1</w:t>
            </w:r>
          </w:p>
        </w:tc>
      </w:tr>
      <w:tr>
        <w:trPr>
          <w:trHeight w:val="252"/>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 our Form 8-K dated August 18, 2014).</w:t>
            </w:r>
          </w:p>
        </w:tc>
      </w:tr>
      <w:tr>
        <w:trPr>
          <w:trHeight w:val="200"/>
        </w:trPr>
        <w:tc>
          <w:tcPr>
            <w:tcW w:w="132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2.2</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Asset Transfer Agreement, dated as of August 14, 2014, by and among Monster Beverage Corporation, New Laser</w:t>
            </w: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Corporation and The Coca-Cola Company Refreshments (incorporated by reference from exhibit 2.2 to our Form 8-K dated</w:t>
            </w:r>
          </w:p>
        </w:tc>
      </w:tr>
      <w:tr>
        <w:trPr>
          <w:trHeight w:val="252"/>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August 18, 2014).</w:t>
            </w:r>
          </w:p>
        </w:tc>
      </w:tr>
      <w:tr>
        <w:trPr>
          <w:trHeight w:val="200"/>
        </w:trPr>
        <w:tc>
          <w:tcPr>
            <w:tcW w:w="132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3.1</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Certificate of Incorporation of the Company, as amended (incorporated by reference to Exhibit 3.1 to our Form 10-K dated</w:t>
            </w:r>
          </w:p>
        </w:tc>
      </w:tr>
      <w:tr>
        <w:trPr>
          <w:trHeight w:val="252"/>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February 29, 2012).</w:t>
            </w:r>
          </w:p>
        </w:tc>
      </w:tr>
      <w:tr>
        <w:trPr>
          <w:trHeight w:val="200"/>
        </w:trPr>
        <w:tc>
          <w:tcPr>
            <w:tcW w:w="132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3.2</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Second Amended and Restated Bylaws of the Company (incorporated by reference to Exhibit 3.1 to our Form 8-K dated</w:t>
            </w:r>
          </w:p>
        </w:tc>
      </w:tr>
      <w:tr>
        <w:trPr>
          <w:trHeight w:val="252"/>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August 2, 2013).</w:t>
            </w:r>
          </w:p>
        </w:tc>
      </w:tr>
      <w:tr>
        <w:trPr>
          <w:trHeight w:val="200"/>
        </w:trPr>
        <w:tc>
          <w:tcPr>
            <w:tcW w:w="132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10.1+</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Form of Amendment to Stock Option Agreement (relating to the amendment of certain stock option agreements between</w:t>
            </w: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8"/>
              </w:rPr>
              <w:t>Hansen Natural Corporation and its executive officers and directors) (incorporated by reference to Exhibit 10.1 to our Form 8-</w:t>
            </w:r>
          </w:p>
        </w:tc>
      </w:tr>
      <w:tr>
        <w:trPr>
          <w:trHeight w:val="252"/>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 dated January 8, 2007).</w:t>
            </w:r>
          </w:p>
        </w:tc>
      </w:tr>
      <w:tr>
        <w:trPr>
          <w:trHeight w:val="200"/>
        </w:trPr>
        <w:tc>
          <w:tcPr>
            <w:tcW w:w="132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10.2</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Form of Indemnification Agreement (to be provided by Hansen Natural Corporation to its directors) (incorporated by</w:t>
            </w:r>
          </w:p>
        </w:tc>
      </w:tr>
      <w:tr>
        <w:trPr>
          <w:trHeight w:val="252"/>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reference to Exhibit 10.1 to our Form 8-K dated November 14, 2005).</w:t>
            </w:r>
          </w:p>
        </w:tc>
      </w:tr>
      <w:tr>
        <w:trPr>
          <w:trHeight w:val="200"/>
        </w:trPr>
        <w:tc>
          <w:tcPr>
            <w:tcW w:w="132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10.3+</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Harold Taber (made as of November 11, 2005)</w:t>
            </w:r>
          </w:p>
        </w:tc>
      </w:tr>
      <w:tr>
        <w:trPr>
          <w:trHeight w:val="252"/>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by reference to Exhibit 10.42 to our Form 10-K dated March 15, 2006).</w:t>
            </w:r>
          </w:p>
        </w:tc>
      </w:tr>
      <w:tr>
        <w:trPr>
          <w:trHeight w:val="200"/>
        </w:trPr>
        <w:tc>
          <w:tcPr>
            <w:tcW w:w="132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10.4+</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Hilton H. Schlosberg (made as of November 11, 2005)</w:t>
            </w:r>
          </w:p>
        </w:tc>
      </w:tr>
      <w:tr>
        <w:trPr>
          <w:trHeight w:val="252"/>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by reference to Exhibit 10.46 to our Form 10-K dated March 15, 2006).</w:t>
            </w:r>
          </w:p>
        </w:tc>
      </w:tr>
      <w:tr>
        <w:trPr>
          <w:trHeight w:val="200"/>
        </w:trPr>
        <w:tc>
          <w:tcPr>
            <w:tcW w:w="132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10.5+</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Rodney C. Sacks (made as of November 11, 2005)</w:t>
            </w:r>
          </w:p>
        </w:tc>
      </w:tr>
      <w:tr>
        <w:trPr>
          <w:trHeight w:val="252"/>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by reference to Exhibit 10.47 to our Form 10-K dated March 15, 2006).</w:t>
            </w:r>
          </w:p>
        </w:tc>
      </w:tr>
      <w:tr>
        <w:trPr>
          <w:trHeight w:val="200"/>
        </w:trPr>
        <w:tc>
          <w:tcPr>
            <w:tcW w:w="132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10.6</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Single Tenant Industrial Lease, made and entered into as of October 13, 2006 by and between Watson Land Company, a</w:t>
            </w: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California Corporation, and Hansen Beverage Company, a Delaware Corporation (incorporated by reference to exhibit 10 to</w:t>
            </w:r>
          </w:p>
        </w:tc>
      </w:tr>
      <w:tr>
        <w:trPr>
          <w:trHeight w:val="252"/>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our Form 10-K dated June 6, 2007).</w:t>
            </w:r>
          </w:p>
        </w:tc>
      </w:tr>
      <w:tr>
        <w:trPr>
          <w:trHeight w:val="200"/>
        </w:trPr>
        <w:tc>
          <w:tcPr>
            <w:tcW w:w="132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10.7+</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Hansen Natural Corporation 2001 Amended and Restated Stock Option Plan (incorporated by reference to Exhibit A to our</w:t>
            </w:r>
          </w:p>
        </w:tc>
      </w:tr>
      <w:tr>
        <w:trPr>
          <w:trHeight w:val="252"/>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Proxy Statement dated September 25, 2007).</w:t>
            </w:r>
          </w:p>
        </w:tc>
      </w:tr>
      <w:tr>
        <w:trPr>
          <w:trHeight w:val="200"/>
        </w:trPr>
        <w:tc>
          <w:tcPr>
            <w:tcW w:w="132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10.8</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Business Loan Agreement between Hansen Beverage Company and Comerica Bank (incorporated by reference to</w:t>
            </w:r>
          </w:p>
        </w:tc>
      </w:tr>
      <w:tr>
        <w:trPr>
          <w:trHeight w:val="252"/>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Exhibit 10.1 to our Form 10-Q dated August 9, 2007).</w:t>
            </w:r>
          </w:p>
        </w:tc>
      </w:tr>
      <w:tr>
        <w:trPr>
          <w:trHeight w:val="118"/>
        </w:trPr>
        <w:tc>
          <w:tcPr>
            <w:tcW w:w="1320" w:type="dxa"/>
            <w:vAlign w:val="bottom"/>
            <w:tcBorders>
              <w:left w:val="single" w:sz="8" w:color="auto"/>
              <w:right w:val="single" w:sz="8" w:color="auto"/>
            </w:tcBorders>
          </w:tcPr>
          <w:p>
            <w:pPr>
              <w:spacing w:after="0"/>
              <w:rPr>
                <w:sz w:val="10"/>
                <w:szCs w:val="10"/>
                <w:color w:val="auto"/>
              </w:rPr>
            </w:pPr>
          </w:p>
        </w:tc>
        <w:tc>
          <w:tcPr>
            <w:tcW w:w="10100" w:type="dxa"/>
            <w:vAlign w:val="bottom"/>
            <w:tcBorders>
              <w:right w:val="single" w:sz="8" w:color="auto"/>
            </w:tcBorders>
          </w:tcPr>
          <w:p>
            <w:pPr>
              <w:spacing w:after="0"/>
              <w:rPr>
                <w:sz w:val="10"/>
                <w:szCs w:val="10"/>
                <w:color w:val="auto"/>
              </w:rPr>
            </w:pPr>
          </w:p>
        </w:tc>
      </w:tr>
    </w:tbl>
    <w:p>
      <w:pPr>
        <w:sectPr>
          <w:pgSz w:w="11900" w:h="16900" w:orient="portrait"/>
          <w:cols w:equalWidth="0" w:num="1">
            <w:col w:w="11460"/>
          </w:cols>
          <w:pgMar w:left="240" w:top="118" w:right="199" w:bottom="0" w:gutter="0" w:footer="0" w:header="0"/>
          <w:type w:val="continuous"/>
        </w:sectPr>
      </w:pPr>
    </w:p>
    <w:bookmarkStart w:id="46" w:name="page47"/>
    <w:bookmarkEnd w:id="4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10.9</w:t>
            </w:r>
          </w:p>
        </w:tc>
        <w:tc>
          <w:tcPr>
            <w:tcW w:w="40" w:type="dxa"/>
            <w:vAlign w:val="bottom"/>
            <w:tcBorders>
              <w:right w:val="single" w:sz="8" w:color="auto"/>
            </w:tcBorders>
          </w:tcPr>
          <w:p>
            <w:pPr>
              <w:spacing w:after="0"/>
              <w:rPr>
                <w:sz w:val="19"/>
                <w:szCs w:val="19"/>
                <w:color w:val="auto"/>
              </w:rPr>
            </w:pPr>
          </w:p>
        </w:tc>
        <w:tc>
          <w:tcPr>
            <w:tcW w:w="10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Monster Energy Distribution Coordination Agreement, dated October 3, 2008, between Hansen Beverage Company and The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Coca Cola Company (incorporated by reference to exhibit 10.1 to our Form 10-Q dated 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10.10</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w w:val="99"/>
              </w:rPr>
              <w:t>Monster Energy International Distribution Coordination Agreement, dated October 3, 2008, between Tauranga Ltd, trading as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Borders>
              <w:lef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Monster Energy, and Coca-Cola Enterprises Inc. (incorporated by reference to exhibit 10.2 to our Form 10-Q dated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10.11</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Monster Energy Distribution Agreement, dated October 3, 2008, between Hansen Beverage Company and Coca-Cola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Enterprises, Inc. (incorporated by reference to exhibit 10.3 to our Form 10-Q dated 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tcPr>
          <w:p>
            <w:pPr>
              <w:ind w:left="4320"/>
              <w:spacing w:after="0"/>
              <w:rPr>
                <w:sz w:val="20"/>
                <w:szCs w:val="20"/>
                <w:color w:val="auto"/>
              </w:rPr>
            </w:pPr>
            <w:r>
              <w:rPr>
                <w:rFonts w:ascii="Times New Roman" w:cs="Times New Roman" w:eastAsia="Times New Roman" w:hAnsi="Times New Roman"/>
                <w:sz w:val="16"/>
                <w:szCs w:val="16"/>
                <w:color w:val="auto"/>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20" w:type="dxa"/>
            <w:vAlign w:val="bottom"/>
            <w:gridSpan w:val="3"/>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10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10.12</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Monster Energy Canadian Distribution Agreement, dated October 3, 2008, between Hansen Beverage Company and Coca-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Cola Bottling Company. (incorporated by reference to exhibit 10.4 to our Form 10-Q dated 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10.13</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Monster Energy International Distribution Agreement, dated October 3, 2008, between Tauranga Ltd, trading as Monster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Borders>
              <w:lef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Energy, and Coca-Cola Enterprises Inc. (incorporated by reference to exhibit 10.5 to our Form 10-Q dated November 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10.14</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w w:val="99"/>
              </w:rPr>
              <w:t>Monster Energy Belgium Distribution Agreement, dated October 3, 2008, between Tauranga Ltd, trading as Monster Energy,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and Coca-Cola Enterprises Inc. (incorporated by reference to exhibit 10.6 to our Form 10-Q dated 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10.15+</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w w:val="99"/>
              </w:rPr>
              <w:t>Stock Option Agreement between Hansen Natural Corporation and Rodney C. Sacks (made as of June 2, 2008) (incorporated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by reference to exhibit 10.44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00" w:type="dxa"/>
            <w:vAlign w:val="bottom"/>
            <w:tcBorders>
              <w:left w:val="single" w:sz="8" w:color="auto"/>
              <w:right w:val="single" w:sz="8" w:color="auto"/>
            </w:tcBorders>
            <w:gridSpan w:val="2"/>
          </w:tcPr>
          <w:p>
            <w:pPr>
              <w:ind w:left="80"/>
              <w:spacing w:after="0" w:line="200" w:lineRule="exact"/>
              <w:rPr>
                <w:sz w:val="20"/>
                <w:szCs w:val="20"/>
                <w:color w:val="auto"/>
              </w:rPr>
            </w:pPr>
            <w:r>
              <w:rPr>
                <w:rFonts w:ascii="Times New Roman" w:cs="Times New Roman" w:eastAsia="Times New Roman" w:hAnsi="Times New Roman"/>
                <w:sz w:val="20"/>
                <w:szCs w:val="20"/>
                <w:color w:val="auto"/>
              </w:rPr>
              <w:t>10.16A+</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Amendment to Stock Option Agreement between Hansen Natural Corporation and Rodney C. Sacks (made as of August 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2008) (incorporated by reference to exhibit 10.44A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10.17+</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Hilton H. Schlosberg (made as of June 2, 2008)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by reference to exhibit 10.45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00" w:type="dxa"/>
            <w:vAlign w:val="bottom"/>
            <w:tcBorders>
              <w:left w:val="single" w:sz="8" w:color="auto"/>
              <w:right w:val="single" w:sz="8" w:color="auto"/>
            </w:tcBorders>
            <w:gridSpan w:val="2"/>
          </w:tcPr>
          <w:p>
            <w:pPr>
              <w:ind w:left="80"/>
              <w:spacing w:after="0" w:line="200" w:lineRule="exact"/>
              <w:rPr>
                <w:sz w:val="20"/>
                <w:szCs w:val="20"/>
                <w:color w:val="auto"/>
              </w:rPr>
            </w:pPr>
            <w:r>
              <w:rPr>
                <w:rFonts w:ascii="Times New Roman" w:cs="Times New Roman" w:eastAsia="Times New Roman" w:hAnsi="Times New Roman"/>
                <w:sz w:val="20"/>
                <w:szCs w:val="20"/>
                <w:color w:val="auto"/>
              </w:rPr>
              <w:t>10.18A+</w:t>
            </w: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Amendment to Stock Option Agreement between Hansen Natural Corporation and Hilton H. Schlosberg (made as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August 2, 2008) (incorporated by reference to exhibit 10.45A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10.19+</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Thomas J. Kelly (made as of June 2, 2008) (incorporated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by reference to exhibit 10.47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10.20+</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2009 Hansen Natural Corporation Stock Incentive Plan for Non-Employee Directors (incorporated by reference to Exhibit 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 our Proxy Statement dated April 24, 2009).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10.21+</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Thomas J. Kelly (made as of June 1, 2009) (incorporated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by reference to exhibit 10.49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10.22+</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Rodney C. Sacks (made as of December 1, 2009)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by reference to exhibit 10.51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10.23+</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Hilton H. Schlosberg (made as of December 1, 2009)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by reference to exhibit 10.52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10.24+</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Mark J. Hall (made as of December 1, 2009)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by reference to exhibit 10.53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10.25+</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Thomas J. Kelly (made as of December 1, 2009)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by reference to exhibit 10.55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10.26+</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Thomas J. Kelly (made as of December 1, 2010)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by reference to exhibit 10.53 to our Form 10-K dated March 1, 2011).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10.27+</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Mark J. Hall (made as of December 1, 2010)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by reference to exhibit 10.54 to our Form 10-K dated March 1, 2011).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10.28+</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Form of Restricted Stock Unit Agreement pursuant to the 2009 Hansen Natural Corporation Stock Incentive Plan for Non-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Employee Directors (incorporated by reference to exhibit 10.55 to our Form 10-K dated March 1, 2011).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left w:val="single" w:sz="8" w:color="auto"/>
              <w:bottom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10.29+</w:t>
            </w:r>
          </w:p>
        </w:tc>
        <w:tc>
          <w:tcPr>
            <w:tcW w:w="4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right w:val="single" w:sz="8" w:color="auto"/>
            </w:tcBorders>
          </w:tcPr>
          <w:p>
            <w:pPr>
              <w:ind w:left="60"/>
              <w:spacing w:after="0" w:line="223" w:lineRule="exact"/>
              <w:rPr>
                <w:sz w:val="20"/>
                <w:szCs w:val="20"/>
                <w:color w:val="auto"/>
              </w:rPr>
            </w:pPr>
            <w:r>
              <w:rPr>
                <w:rFonts w:ascii="Times New Roman" w:cs="Times New Roman" w:eastAsia="Times New Roman" w:hAnsi="Times New Roman"/>
                <w:sz w:val="20"/>
                <w:szCs w:val="20"/>
                <w:color w:val="auto"/>
              </w:rPr>
              <w:t>Form of Restricted Stock Agreement (incorporated by reference to exhibit 10.1 to our Form 10-Q dated August 9, 2011).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tcPr>
          <w:p>
            <w:pPr>
              <w:ind w:left="4320"/>
              <w:spacing w:after="0"/>
              <w:rPr>
                <w:sz w:val="20"/>
                <w:szCs w:val="20"/>
                <w:color w:val="auto"/>
              </w:rPr>
            </w:pPr>
            <w:r>
              <w:rPr>
                <w:rFonts w:ascii="Times New Roman" w:cs="Times New Roman" w:eastAsia="Times New Roman" w:hAnsi="Times New Roman"/>
                <w:sz w:val="16"/>
                <w:szCs w:val="16"/>
                <w:color w:val="auto"/>
              </w:rPr>
              <w:t>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20" w:type="dxa"/>
            <w:vAlign w:val="bottom"/>
            <w:gridSpan w:val="3"/>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10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10.30+</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Monster Beverage Corporation 2011 Omnibus Incentive Plan (incorporated by reference to exhibit 10.1 to our Form 8-K</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dated May 24, 2011).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10.31+</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Agreement between the Company and Mark Hall, dated October 28, 2013 (incorporated by reference to exhibit 10.52 to our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Form 10-K dated March 3, 2014).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10.32+</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Employment Agreement between Monster Beverage Corporation and Rodney C. Sacks (incorporated by reference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Exhibit 10.1 to our Form 8-K dated March 19, 2014).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10.33+</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Employment Agreement between Monster Beverage Corporation and Hilton H. Schlosberg (incorporated by reference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Exhibit 10.2 to our Form 8-K dated March 19, 2014).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left w:val="single" w:sz="8" w:color="auto"/>
              <w:bottom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21*</w:t>
            </w:r>
          </w:p>
        </w:tc>
        <w:tc>
          <w:tcPr>
            <w:tcW w:w="4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right w:val="single" w:sz="8" w:color="auto"/>
            </w:tcBorders>
          </w:tcPr>
          <w:p>
            <w:pPr>
              <w:ind w:left="60"/>
              <w:spacing w:after="0" w:line="223" w:lineRule="exact"/>
              <w:rPr>
                <w:sz w:val="20"/>
                <w:szCs w:val="20"/>
                <w:color w:val="auto"/>
              </w:rPr>
            </w:pPr>
            <w:r>
              <w:rPr>
                <w:rFonts w:ascii="Times New Roman" w:cs="Times New Roman" w:eastAsia="Times New Roman" w:hAnsi="Times New Roman"/>
                <w:sz w:val="20"/>
                <w:szCs w:val="20"/>
                <w:color w:val="auto"/>
              </w:rPr>
              <w:t>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left w:val="single" w:sz="8" w:color="auto"/>
              <w:bottom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23*</w:t>
            </w:r>
          </w:p>
        </w:tc>
        <w:tc>
          <w:tcPr>
            <w:tcW w:w="4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right w:val="single" w:sz="8" w:color="auto"/>
            </w:tcBorders>
          </w:tcPr>
          <w:p>
            <w:pPr>
              <w:ind w:left="60"/>
              <w:spacing w:after="0" w:line="223" w:lineRule="exact"/>
              <w:rPr>
                <w:sz w:val="20"/>
                <w:szCs w:val="20"/>
                <w:color w:val="auto"/>
              </w:rPr>
            </w:pPr>
            <w:r>
              <w:rPr>
                <w:rFonts w:ascii="Times New Roman" w:cs="Times New Roman" w:eastAsia="Times New Roman" w:hAnsi="Times New Roman"/>
                <w:sz w:val="20"/>
                <w:szCs w:val="20"/>
                <w:color w:val="auto"/>
              </w:rPr>
              <w:t>Consent of Independent Registered Public Accounting Firm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31.1*</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Certification by CEO pursuant to Rule 13A-14(a) or 15D-14(a) of the Securities Exchange Act of 1934, as adopted pursuant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 Section 302 of the Sarbanes-Oxley Act of 2002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60" w:type="dxa"/>
            <w:vAlign w:val="bottom"/>
            <w:tcBorders>
              <w:lef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31.2*</w:t>
            </w:r>
          </w:p>
        </w:tc>
        <w:tc>
          <w:tcPr>
            <w:tcW w:w="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Certification by CFO pursuant to Rule 13A-14(a) or 15D-14(a) of the Securities Exchange Act of 1934, as adopted pursuant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 Section 302 of the Sarbanes-Oxley Act of 2002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32.1*</w:t>
            </w:r>
          </w:p>
        </w:tc>
        <w:tc>
          <w:tcPr>
            <w:tcW w:w="40" w:type="dxa"/>
            <w:vAlign w:val="bottom"/>
            <w:tcBorders>
              <w:right w:val="single" w:sz="8" w:color="auto"/>
            </w:tcBorders>
          </w:tcPr>
          <w:p>
            <w:pPr>
              <w:spacing w:after="0"/>
              <w:rPr>
                <w:sz w:val="21"/>
                <w:szCs w:val="21"/>
                <w:color w:val="auto"/>
              </w:rPr>
            </w:pPr>
          </w:p>
        </w:tc>
        <w:tc>
          <w:tcPr>
            <w:tcW w:w="10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Certification by CEO pursuant to 18 U.S.C. Section 1350, as adopted pursuant to Section 906 of the Sarbanes-Oxley Act of</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60" w:type="dxa"/>
            <w:vAlign w:val="bottom"/>
            <w:tcBorders>
              <w:lef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0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-9136380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-9136380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-2867660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-2867660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16" w:right="199" w:bottom="0" w:gutter="0" w:footer="0" w:header="0"/>
        </w:sectPr>
      </w:pPr>
    </w:p>
    <w:bookmarkStart w:id="47" w:name="page48"/>
    <w:bookmarkEnd w:id="47"/>
    <w:p>
      <w:pPr>
        <w:ind w:left="1380"/>
        <w:spacing w:after="0"/>
        <w:rPr>
          <w:sz w:val="20"/>
          <w:szCs w:val="20"/>
          <w:color w:val="auto"/>
        </w:rPr>
      </w:pPr>
      <w:r>
        <w:rPr>
          <w:rFonts w:ascii="Times New Roman" w:cs="Times New Roman" w:eastAsia="Times New Roman" w:hAnsi="Times New Roman"/>
          <w:sz w:val="20"/>
          <w:szCs w:val="20"/>
          <w:color w:val="auto"/>
        </w:rPr>
        <w:t>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14833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483360"/>
                    </a:xfrm>
                    <a:prstGeom prst="rect">
                      <a:avLst/>
                    </a:prstGeom>
                    <a:noFill/>
                  </pic:spPr>
                </pic:pic>
              </a:graphicData>
            </a:graphic>
          </wp:anchor>
        </w:drawing>
      </w:r>
    </w:p>
    <w:p>
      <w:pPr>
        <w:spacing w:after="0" w:line="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color w:val="auto"/>
        </w:rPr>
        <w:t>Certification by CFO pursuant to 18 U.S.C. Section 1350, as adopted pursuant to Section 906 of the Sarbanes-Oxley Act of</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2002 *</w:t>
      </w:r>
    </w:p>
    <w:p>
      <w:pPr>
        <w:spacing w:after="0" w:line="6" w:lineRule="exact"/>
        <w:rPr>
          <w:sz w:val="20"/>
          <w:szCs w:val="20"/>
          <w:color w:val="auto"/>
        </w:rPr>
      </w:pPr>
    </w:p>
    <w:p>
      <w:pPr>
        <w:jc w:val="both"/>
        <w:ind w:left="1380" w:right="120" w:hanging="1279"/>
        <w:spacing w:after="0" w:line="241" w:lineRule="auto"/>
        <w:tabs>
          <w:tab w:leader="none" w:pos="136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The following materials from Monster Beverage Corporation’s Annual Report on Form 10-K for the fiscal year ended December 31, 2014 are furnished herewith, formatted in XBRL (eXtensible Business Reporting Language): (i) the Consolidated Balance Sheets as of December 31, 2014 and 2013, (ii) the Consolidated Statements of Income for the years ended December 31, 2014, 2013 and 2012, (iii) the Consolidated Statements of Stockholders’ Equity for the years ended December 31, 2014, 2013 and 2012, (iv) Consolidated Statements of Comprehensive Income for the years ended December 31, 2014, 2013 and 2012, (v) Consolidated Statements of Cash Flows for the years ended December 31, 2014, 2013 and 2012, and (vi) the Notes to Consolidated Financial Statements.</w:t>
      </w:r>
    </w:p>
    <w:p>
      <w:pPr>
        <w:spacing w:after="0" w:line="227"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Filed herewith.</w:t>
      </w:r>
    </w:p>
    <w:p>
      <w:pPr>
        <w:spacing w:after="0" w:line="26"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Management contract or compensatory plans or arrangements.</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 AND FINANCIAL STATEMENT SCHEDULE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080" w:type="dxa"/>
            <w:vAlign w:val="bottom"/>
            <w:gridSpan w:val="10"/>
            <w:vMerge w:val="restart"/>
          </w:tcPr>
          <w:p>
            <w:pPr>
              <w:spacing w:after="0"/>
              <w:rPr>
                <w:sz w:val="20"/>
                <w:szCs w:val="20"/>
                <w:color w:val="auto"/>
              </w:rPr>
            </w:pPr>
            <w:r>
              <w:rPr>
                <w:rFonts w:ascii="Times New Roman" w:cs="Times New Roman" w:eastAsia="Times New Roman" w:hAnsi="Times New Roman"/>
                <w:sz w:val="20"/>
                <w:szCs w:val="20"/>
                <w:color w:val="auto"/>
              </w:rPr>
              <w:t>MONSTER BEVERAGE CORPORATION AND SUBSIDIARIES</w:t>
            </w:r>
          </w:p>
        </w:tc>
        <w:tc>
          <w:tcPr>
            <w:tcW w:w="23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20"/>
                <w:szCs w:val="20"/>
                <w:color w:val="auto"/>
              </w:rPr>
              <w:t>Page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080" w:type="dxa"/>
            <w:vAlign w:val="bottom"/>
            <w:gridSpan w:val="10"/>
            <w:vMerge w:val="continue"/>
          </w:tcPr>
          <w:p>
            <w:pPr>
              <w:spacing w:after="0"/>
              <w:rPr>
                <w:sz w:val="18"/>
                <w:szCs w:val="18"/>
                <w:color w:val="auto"/>
              </w:rPr>
            </w:pP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9080" w:type="dxa"/>
            <w:vAlign w:val="bottom"/>
            <w:gridSpan w:val="10"/>
          </w:tcPr>
          <w:p>
            <w:pPr>
              <w:spacing w:after="0"/>
              <w:rPr>
                <w:rFonts w:ascii="Times New Roman" w:cs="Times New Roman" w:eastAsia="Times New Roman" w:hAnsi="Times New Roman"/>
                <w:sz w:val="20"/>
                <w:szCs w:val="20"/>
                <w:color w:val="0000EE"/>
              </w:rPr>
            </w:pPr>
            <w:hyperlink w:anchor="page48">
              <w:r>
                <w:rPr>
                  <w:rFonts w:ascii="Times New Roman" w:cs="Times New Roman" w:eastAsia="Times New Roman" w:hAnsi="Times New Roman"/>
                  <w:sz w:val="20"/>
                  <w:szCs w:val="20"/>
                  <w:color w:val="0000EE"/>
                </w:rPr>
                <w:t>Report of Independent Registered Public Accounting Firm</w:t>
              </w:r>
            </w:hyperlink>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20" w:type="dxa"/>
            <w:vAlign w:val="bottom"/>
            <w:tcBorders>
              <w:bottom w:val="single" w:sz="8" w:color="0000EE"/>
            </w:tcBorders>
            <w:gridSpan w:val="4"/>
          </w:tcPr>
          <w:p>
            <w:pPr>
              <w:spacing w:after="0"/>
              <w:rPr>
                <w:rFonts w:ascii="Times New Roman" w:cs="Times New Roman" w:eastAsia="Times New Roman" w:hAnsi="Times New Roman"/>
                <w:sz w:val="20"/>
                <w:szCs w:val="20"/>
                <w:color w:val="0000EE"/>
                <w:w w:val="98"/>
              </w:rPr>
            </w:pPr>
            <w:hyperlink w:anchor="page49">
              <w:r>
                <w:rPr>
                  <w:rFonts w:ascii="Times New Roman" w:cs="Times New Roman" w:eastAsia="Times New Roman" w:hAnsi="Times New Roman"/>
                  <w:sz w:val="20"/>
                  <w:szCs w:val="20"/>
                  <w:color w:val="0000EE"/>
                  <w:w w:val="98"/>
                </w:rPr>
                <w:t>Consolidated Balance Sheets as of December 31, 2014 and 2013</w:t>
              </w:r>
            </w:hyperlink>
          </w:p>
        </w:tc>
        <w:tc>
          <w:tcPr>
            <w:tcW w:w="3960" w:type="dxa"/>
            <w:vAlign w:val="bottom"/>
            <w:gridSpan w:val="6"/>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080" w:type="dxa"/>
            <w:vAlign w:val="bottom"/>
            <w:gridSpan w:val="10"/>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Consolidated Statements of Income for the years ended December 31, 2014, 2013 and 2012</w:t>
              </w:r>
            </w:hyperlink>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80" w:type="dxa"/>
            <w:vAlign w:val="bottom"/>
            <w:gridSpan w:val="10"/>
          </w:tcPr>
          <w:p>
            <w:pPr>
              <w:spacing w:after="0"/>
              <w:rPr>
                <w:rFonts w:ascii="Times New Roman" w:cs="Times New Roman" w:eastAsia="Times New Roman" w:hAnsi="Times New Roman"/>
                <w:sz w:val="20"/>
                <w:szCs w:val="20"/>
                <w:color w:val="0000EE"/>
              </w:rPr>
            </w:pPr>
            <w:hyperlink w:anchor="page50">
              <w:r>
                <w:rPr>
                  <w:rFonts w:ascii="Times New Roman" w:cs="Times New Roman" w:eastAsia="Times New Roman" w:hAnsi="Times New Roman"/>
                  <w:sz w:val="20"/>
                  <w:szCs w:val="20"/>
                  <w:color w:val="0000EE"/>
                </w:rPr>
                <w:t>Consolidated Statements of Comprehensive Income for the years ended December 31, 2014, 2013 and 2012</w:t>
              </w:r>
            </w:hyperlink>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3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20"/>
                <w:szCs w:val="20"/>
                <w:color w:val="0000EE"/>
                <w:w w:val="98"/>
              </w:rPr>
            </w:pPr>
            <w:hyperlink w:anchor="page50">
              <w:r>
                <w:rPr>
                  <w:rFonts w:ascii="Times New Roman" w:cs="Times New Roman" w:eastAsia="Times New Roman" w:hAnsi="Times New Roman"/>
                  <w:sz w:val="20"/>
                  <w:szCs w:val="20"/>
                  <w:color w:val="0000EE"/>
                  <w:w w:val="98"/>
                </w:rPr>
                <w:t>Consolidated Statements of Stockholders’ Equity for the years ended December 31, 2014, 2013 and 2012</w:t>
              </w:r>
            </w:hyperlink>
          </w:p>
        </w:tc>
        <w:tc>
          <w:tcPr>
            <w:tcW w:w="200" w:type="dxa"/>
            <w:vAlign w:val="bottom"/>
            <w:tcBorders>
              <w:top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080" w:type="dxa"/>
            <w:vAlign w:val="bottom"/>
            <w:gridSpan w:val="10"/>
          </w:tcPr>
          <w:p>
            <w:pPr>
              <w:spacing w:after="0"/>
              <w:rPr>
                <w:rFonts w:ascii="Times New Roman" w:cs="Times New Roman" w:eastAsia="Times New Roman" w:hAnsi="Times New Roman"/>
                <w:sz w:val="20"/>
                <w:szCs w:val="20"/>
                <w:color w:val="0000EE"/>
              </w:rPr>
            </w:pPr>
            <w:hyperlink w:anchor="page51">
              <w:r>
                <w:rPr>
                  <w:rFonts w:ascii="Times New Roman" w:cs="Times New Roman" w:eastAsia="Times New Roman" w:hAnsi="Times New Roman"/>
                  <w:sz w:val="20"/>
                  <w:szCs w:val="20"/>
                  <w:color w:val="0000EE"/>
                </w:rPr>
                <w:t>Consolidated Statements of Cash Flows for the years ended December 31, 2014, 2013 and 2012</w:t>
              </w:r>
            </w:hyperlink>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20"/>
                <w:szCs w:val="20"/>
                <w:color w:val="0000EE"/>
                <w:w w:val="98"/>
              </w:rPr>
            </w:pPr>
            <w:hyperlink w:anchor="page52">
              <w:r>
                <w:rPr>
                  <w:rFonts w:ascii="Times New Roman" w:cs="Times New Roman" w:eastAsia="Times New Roman" w:hAnsi="Times New Roman"/>
                  <w:sz w:val="20"/>
                  <w:szCs w:val="20"/>
                  <w:color w:val="0000EE"/>
                  <w:w w:val="98"/>
                </w:rPr>
                <w:t>Notes to Consolidated Financial Statements</w:t>
              </w:r>
            </w:hyperlink>
          </w:p>
        </w:tc>
        <w:tc>
          <w:tcPr>
            <w:tcW w:w="4120" w:type="dxa"/>
            <w:vAlign w:val="bottom"/>
            <w:tcBorders>
              <w:top w:val="single" w:sz="8" w:color="0000EE"/>
            </w:tcBorders>
            <w:gridSpan w:val="4"/>
          </w:tcPr>
          <w:p>
            <w:pPr>
              <w:spacing w:after="0"/>
              <w:rPr>
                <w:sz w:val="24"/>
                <w:szCs w:val="24"/>
                <w:color w:val="auto"/>
              </w:rPr>
            </w:pPr>
          </w:p>
        </w:tc>
        <w:tc>
          <w:tcPr>
            <w:tcW w:w="1480" w:type="dxa"/>
            <w:vAlign w:val="bottom"/>
            <w:gridSpan w:val="4"/>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9080" w:type="dxa"/>
            <w:vAlign w:val="bottom"/>
            <w:gridSpan w:val="10"/>
          </w:tcPr>
          <w:p>
            <w:pPr>
              <w:spacing w:after="0"/>
              <w:rPr>
                <w:rFonts w:ascii="Times New Roman" w:cs="Times New Roman" w:eastAsia="Times New Roman" w:hAnsi="Times New Roman"/>
                <w:sz w:val="20"/>
                <w:szCs w:val="20"/>
                <w:color w:val="0000EE"/>
              </w:rPr>
            </w:pPr>
            <w:hyperlink w:anchor="page75">
              <w:r>
                <w:rPr>
                  <w:rFonts w:ascii="Times New Roman" w:cs="Times New Roman" w:eastAsia="Times New Roman" w:hAnsi="Times New Roman"/>
                  <w:sz w:val="20"/>
                  <w:szCs w:val="20"/>
                  <w:color w:val="0000EE"/>
                </w:rPr>
                <w:t>Financial Statement Schedule – Valuation and Qualifying Accounts for the years ended December 31, 2014,</w:t>
              </w:r>
            </w:hyperlink>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3"/>
              </w:rPr>
              <w:t>114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40" w:type="dxa"/>
            <w:vAlign w:val="bottom"/>
            <w:tcBorders>
              <w:top w:val="single" w:sz="8" w:color="0000EE"/>
            </w:tcBorders>
            <w:gridSpan w:val="9"/>
          </w:tcPr>
          <w:p>
            <w:pPr>
              <w:spacing w:after="0" w:line="209" w:lineRule="exact"/>
              <w:rPr>
                <w:rFonts w:ascii="Times New Roman" w:cs="Times New Roman" w:eastAsia="Times New Roman" w:hAnsi="Times New Roman"/>
                <w:sz w:val="20"/>
                <w:szCs w:val="20"/>
                <w:color w:val="0000EE"/>
              </w:rPr>
            </w:pPr>
            <w:hyperlink w:anchor="page75">
              <w:r>
                <w:rPr>
                  <w:rFonts w:ascii="Times New Roman" w:cs="Times New Roman" w:eastAsia="Times New Roman" w:hAnsi="Times New Roman"/>
                  <w:sz w:val="20"/>
                  <w:szCs w:val="20"/>
                  <w:color w:val="0000EE"/>
                </w:rPr>
                <w:t>2013 and 2012</w:t>
              </w:r>
            </w:hyperlink>
          </w:p>
        </w:tc>
        <w:tc>
          <w:tcPr>
            <w:tcW w:w="240" w:type="dxa"/>
            <w:vAlign w:val="bottom"/>
          </w:tcPr>
          <w:p>
            <w:pPr>
              <w:spacing w:after="0"/>
              <w:rPr>
                <w:sz w:val="18"/>
                <w:szCs w:val="18"/>
                <w:color w:val="auto"/>
              </w:rPr>
            </w:pPr>
          </w:p>
        </w:tc>
        <w:tc>
          <w:tcPr>
            <w:tcW w:w="23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1180" w:type="dxa"/>
            <w:vAlign w:val="bottom"/>
            <w:tcBorders>
              <w:top w:val="single" w:sz="8" w:color="0000EE"/>
            </w:tcBorders>
          </w:tcPr>
          <w:p>
            <w:pPr>
              <w:spacing w:after="0"/>
              <w:rPr>
                <w:sz w:val="24"/>
                <w:szCs w:val="24"/>
                <w:color w:val="auto"/>
              </w:rPr>
            </w:pPr>
          </w:p>
        </w:tc>
        <w:tc>
          <w:tcPr>
            <w:tcW w:w="6080" w:type="dxa"/>
            <w:vAlign w:val="bottom"/>
            <w:gridSpan w:val="4"/>
          </w:tcPr>
          <w:p>
            <w:pPr>
              <w:jc w:val="right"/>
              <w:ind w:right="1460"/>
              <w:spacing w:after="0"/>
              <w:rPr>
                <w:sz w:val="20"/>
                <w:szCs w:val="20"/>
                <w:color w:val="auto"/>
              </w:rPr>
            </w:pPr>
            <w:r>
              <w:rPr>
                <w:rFonts w:ascii="Times New Roman" w:cs="Times New Roman" w:eastAsia="Times New Roman" w:hAnsi="Times New Roman"/>
                <w:sz w:val="16"/>
                <w:szCs w:val="16"/>
                <w:color w:val="auto"/>
              </w:rPr>
              <w:t>73</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010101"/>
            </w:tcBorders>
          </w:tcPr>
          <w:p>
            <w:pPr>
              <w:spacing w:after="0"/>
              <w:rPr>
                <w:sz w:val="11"/>
                <w:szCs w:val="11"/>
                <w:color w:val="auto"/>
              </w:rPr>
            </w:pPr>
          </w:p>
        </w:tc>
        <w:tc>
          <w:tcPr>
            <w:tcW w:w="23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1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3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rPr>
          <w:sz w:val="20"/>
          <w:szCs w:val="20"/>
          <w:color w:val="auto"/>
        </w:rPr>
      </w:pPr>
      <w:r>
        <w:rPr>
          <w:rFonts w:ascii="Times New Roman" w:cs="Times New Roman" w:eastAsia="Times New Roman" w:hAnsi="Times New Roman"/>
          <w:sz w:val="20"/>
          <w:szCs w:val="20"/>
          <w:color w:val="auto"/>
        </w:rPr>
        <w:t>Corona, California</w:t>
      </w:r>
    </w:p>
    <w:p>
      <w:pPr>
        <w:spacing w:after="0" w:line="207"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Monster Beverage Corporation and subsidiaries (the “Company”) as of December 31, 2014 and 2013, and the related consolidated statements of income, comprehensive income, stockholders’ equity and cash flows for each of the three years in the period ended December 31, 2014. Our audits also included the financial statement schedule listed in the Index at Item 15(a).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80"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80"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20"/>
          <w:szCs w:val="20"/>
          <w:color w:val="auto"/>
        </w:rPr>
        <w:t>In our opinion, such consolidated financial statements present fairly, in all material respects, the financial position of Monster Beverage Corporation and subsidiaries as of December 31, 2014 and 2013, and the results of their operations and their cash flows for each of the three years in the period ended December 31, 2014,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ectPr>
          <w:pgSz w:w="11900" w:h="16838" w:orient="portrait"/>
          <w:cols w:equalWidth="0" w:num="1">
            <w:col w:w="11460"/>
          </w:cols>
          <w:pgMar w:left="240" w:top="118" w:right="199" w:bottom="90" w:gutter="0" w:footer="0" w:header="0"/>
        </w:sectPr>
      </w:pPr>
    </w:p>
    <w:bookmarkStart w:id="48" w:name="page49"/>
    <w:bookmarkEnd w:id="4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the Company’s internal control over financial reporting as of December 31, 2014, based on the criteria established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(2013) </w:t>
      </w:r>
      <w:r>
        <w:rPr>
          <w:rFonts w:ascii="Times New Roman" w:cs="Times New Roman" w:eastAsia="Times New Roman" w:hAnsi="Times New Roman"/>
          <w:sz w:val="20"/>
          <w:szCs w:val="20"/>
          <w:color w:val="auto"/>
        </w:rPr>
        <w:t>issued by the Committee of Sponsoring Organizations of the Treadway Commission and our report dated March 2, 2015, expressed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unqualified opinion on the Company’s internal control over financial reporting.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 OF DECEMBER 31, 2014 AND 2013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20" w:type="dxa"/>
            <w:vAlign w:val="bottom"/>
            <w:gridSpan w:val="3"/>
            <w:vMerge w:val="restart"/>
          </w:tcPr>
          <w:p>
            <w:pPr>
              <w:jc w:val="center"/>
              <w:ind w:right="40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0" w:type="dxa"/>
            <w:vAlign w:val="bottom"/>
            <w:tcBorders>
              <w:top w:val="single" w:sz="8" w:color="auto"/>
            </w:tcBorders>
          </w:tcPr>
          <w:p>
            <w:pPr>
              <w:spacing w:after="0"/>
              <w:rPr>
                <w:sz w:val="18"/>
                <w:szCs w:val="18"/>
                <w:color w:val="auto"/>
              </w:rPr>
            </w:pPr>
          </w:p>
        </w:tc>
        <w:tc>
          <w:tcPr>
            <w:tcW w:w="40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370,323</w:t>
            </w:r>
          </w:p>
        </w:tc>
        <w:tc>
          <w:tcPr>
            <w:tcW w:w="180" w:type="dxa"/>
            <w:vAlign w:val="bottom"/>
          </w:tcPr>
          <w:p>
            <w:pPr>
              <w:spacing w:after="0"/>
              <w:rPr>
                <w:sz w:val="17"/>
                <w:szCs w:val="17"/>
                <w:color w:val="auto"/>
              </w:rPr>
            </w:pP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211,349</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781,134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402,247</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280,203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291,638</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Distributor receivables</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4,542</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174,573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221,449</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19,673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21,376</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Intangibles held-for-sale</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18,079</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Prepaid income taxes</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8,617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9,518</w:t>
            </w:r>
          </w:p>
        </w:tc>
        <w:tc>
          <w:tcPr>
            <w:tcW w:w="0" w:type="dxa"/>
            <w:vAlign w:val="bottom"/>
          </w:tcPr>
          <w:p>
            <w:pPr>
              <w:spacing w:after="0"/>
              <w:rPr>
                <w:sz w:val="1"/>
                <w:szCs w:val="1"/>
                <w:color w:val="auto"/>
              </w:rPr>
            </w:pPr>
          </w:p>
        </w:tc>
      </w:tr>
      <w:tr>
        <w:trPr>
          <w:trHeight w:val="210"/>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40,275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20,924</w:t>
            </w:r>
          </w:p>
        </w:tc>
        <w:tc>
          <w:tcPr>
            <w:tcW w:w="0" w:type="dxa"/>
            <w:vAlign w:val="bottom"/>
          </w:tcPr>
          <w:p>
            <w:pPr>
              <w:spacing w:after="0"/>
              <w:rPr>
                <w:sz w:val="1"/>
                <w:szCs w:val="1"/>
                <w:color w:val="auto"/>
              </w:rPr>
            </w:pPr>
          </w:p>
        </w:tc>
      </w:tr>
      <w:tr>
        <w:trPr>
          <w:trHeight w:val="210"/>
        </w:trPr>
        <w:tc>
          <w:tcPr>
            <w:tcW w:w="83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1,693,429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1,183,043</w:t>
            </w:r>
          </w:p>
        </w:tc>
        <w:tc>
          <w:tcPr>
            <w:tcW w:w="0" w:type="dxa"/>
            <w:vAlign w:val="bottom"/>
          </w:tcPr>
          <w:p>
            <w:pPr>
              <w:spacing w:after="0"/>
              <w:rPr>
                <w:sz w:val="1"/>
                <w:szCs w:val="1"/>
                <w:color w:val="auto"/>
              </w:rPr>
            </w:pPr>
          </w:p>
        </w:tc>
      </w:tr>
      <w:tr>
        <w:trPr>
          <w:trHeight w:val="316"/>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42,940</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9,792</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90,156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88,143</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54,106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63,611</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50,748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65,774</w:t>
            </w:r>
          </w:p>
        </w:tc>
        <w:tc>
          <w:tcPr>
            <w:tcW w:w="0" w:type="dxa"/>
            <w:vAlign w:val="bottom"/>
          </w:tcPr>
          <w:p>
            <w:pPr>
              <w:spacing w:after="0"/>
              <w:rPr>
                <w:sz w:val="1"/>
                <w:szCs w:val="1"/>
                <w:color w:val="auto"/>
              </w:rPr>
            </w:pPr>
          </w:p>
        </w:tc>
      </w:tr>
      <w:tr>
        <w:trPr>
          <w:trHeight w:val="210"/>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7,496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10,146</w:t>
            </w: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6080" w:type="dxa"/>
            <w:vAlign w:val="bottom"/>
            <w:gridSpan w:val="4"/>
          </w:tcPr>
          <w:p>
            <w:pPr>
              <w:jc w:val="center"/>
              <w:ind w:right="25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1,938,875</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1,420,509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80" w:type="dxa"/>
            <w:vAlign w:val="bottom"/>
            <w:gridSpan w:val="4"/>
            <w:vMerge w:val="restart"/>
          </w:tcPr>
          <w:p>
            <w:pPr>
              <w:jc w:val="center"/>
              <w:ind w:right="25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80" w:type="dxa"/>
            <w:vAlign w:val="bottom"/>
          </w:tcPr>
          <w:p>
            <w:pPr>
              <w:spacing w:after="0"/>
              <w:rPr>
                <w:sz w:val="24"/>
                <w:szCs w:val="24"/>
                <w:color w:val="auto"/>
              </w:rPr>
            </w:pPr>
          </w:p>
        </w:tc>
        <w:tc>
          <w:tcPr>
            <w:tcW w:w="608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520" w:type="dxa"/>
            <w:vAlign w:val="bottom"/>
            <w:tcBorders>
              <w:top w:val="single" w:sz="8" w:color="auto"/>
            </w:tcBorders>
            <w:gridSpan w:val="3"/>
          </w:tcPr>
          <w:p>
            <w:pPr>
              <w:spacing w:after="0"/>
              <w:rPr>
                <w:sz w:val="18"/>
                <w:szCs w:val="18"/>
                <w:color w:val="auto"/>
              </w:rPr>
            </w:pPr>
          </w:p>
        </w:tc>
        <w:tc>
          <w:tcPr>
            <w:tcW w:w="2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127,641</w:t>
            </w:r>
          </w:p>
        </w:tc>
        <w:tc>
          <w:tcPr>
            <w:tcW w:w="180" w:type="dxa"/>
            <w:vAlign w:val="bottom"/>
          </w:tcPr>
          <w:p>
            <w:pPr>
              <w:spacing w:after="0"/>
              <w:rPr>
                <w:sz w:val="17"/>
                <w:szCs w:val="17"/>
                <w:color w:val="auto"/>
              </w:rPr>
            </w:pP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119,376</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40,271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59,113</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114,047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99,470</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49,926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13,832</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17,983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14,864</w:t>
            </w:r>
          </w:p>
        </w:tc>
        <w:tc>
          <w:tcPr>
            <w:tcW w:w="0" w:type="dxa"/>
            <w:vAlign w:val="bottom"/>
          </w:tcPr>
          <w:p>
            <w:pPr>
              <w:spacing w:after="0"/>
              <w:rPr>
                <w:sz w:val="1"/>
                <w:szCs w:val="1"/>
                <w:color w:val="auto"/>
              </w:rPr>
            </w:pPr>
          </w:p>
        </w:tc>
      </w:tr>
      <w:tr>
        <w:trPr>
          <w:trHeight w:val="210"/>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5,848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9,359</w:t>
            </w:r>
          </w:p>
        </w:tc>
        <w:tc>
          <w:tcPr>
            <w:tcW w:w="0" w:type="dxa"/>
            <w:vAlign w:val="bottom"/>
          </w:tcPr>
          <w:p>
            <w:pPr>
              <w:spacing w:after="0"/>
              <w:rPr>
                <w:sz w:val="1"/>
                <w:szCs w:val="1"/>
                <w:color w:val="auto"/>
              </w:rPr>
            </w:pPr>
          </w:p>
        </w:tc>
      </w:tr>
      <w:tr>
        <w:trPr>
          <w:trHeight w:val="210"/>
        </w:trPr>
        <w:tc>
          <w:tcPr>
            <w:tcW w:w="83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355,716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316,014</w:t>
            </w:r>
          </w:p>
        </w:tc>
        <w:tc>
          <w:tcPr>
            <w:tcW w:w="0" w:type="dxa"/>
            <w:vAlign w:val="bottom"/>
          </w:tcPr>
          <w:p>
            <w:pPr>
              <w:spacing w:after="0"/>
              <w:rPr>
                <w:sz w:val="1"/>
                <w:szCs w:val="1"/>
                <w:color w:val="auto"/>
              </w:rPr>
            </w:pPr>
          </w:p>
        </w:tc>
      </w:tr>
      <w:tr>
        <w:trPr>
          <w:trHeight w:val="324"/>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68,009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112,216</w:t>
            </w:r>
          </w:p>
        </w:tc>
        <w:tc>
          <w:tcPr>
            <w:tcW w:w="0" w:type="dxa"/>
            <w:vAlign w:val="bottom"/>
          </w:tcPr>
          <w:p>
            <w:pPr>
              <w:spacing w:after="0"/>
              <w:rPr>
                <w:sz w:val="1"/>
                <w:szCs w:val="1"/>
                <w:color w:val="auto"/>
              </w:rPr>
            </w:pPr>
          </w:p>
        </w:tc>
      </w:tr>
      <w:tr>
        <w:trPr>
          <w:trHeight w:val="338"/>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 $0.005 par value; 240,000 shares authorized; 207,004 shares issued and 167,722 outstanding as of</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December 31, 2014; 206,014 shares issued and 166,822 outstanding as of December 31, 2013</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1,030</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426,145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368,069</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2,330,510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1,847,325</w:t>
            </w:r>
          </w:p>
        </w:tc>
        <w:tc>
          <w:tcPr>
            <w:tcW w:w="0" w:type="dxa"/>
            <w:vAlign w:val="bottom"/>
          </w:tcPr>
          <w:p>
            <w:pPr>
              <w:spacing w:after="0"/>
              <w:rPr>
                <w:sz w:val="1"/>
                <w:szCs w:val="1"/>
                <w:color w:val="auto"/>
              </w:rPr>
            </w:pPr>
          </w:p>
        </w:tc>
      </w:tr>
      <w:tr>
        <w:trPr>
          <w:trHeight w:val="203"/>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0" w:type="dxa"/>
            <w:vAlign w:val="bottom"/>
          </w:tcPr>
          <w:p>
            <w:pPr>
              <w:spacing w:after="0"/>
              <w:rPr>
                <w:sz w:val="1"/>
                <w:szCs w:val="1"/>
                <w:color w:val="auto"/>
              </w:rPr>
            </w:pPr>
          </w:p>
        </w:tc>
      </w:tr>
      <w:tr>
        <w:trPr>
          <w:trHeight w:val="210"/>
        </w:trPr>
        <w:tc>
          <w:tcPr>
            <w:tcW w:w="8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in treasury, at cost; 39,282 shares and 39,192 shares as of December 31, 2014 and 2013, respectively</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(1,231,087)</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(1,222,912)</w:t>
            </w:r>
          </w:p>
        </w:tc>
        <w:tc>
          <w:tcPr>
            <w:tcW w:w="0" w:type="dxa"/>
            <w:vAlign w:val="bottom"/>
          </w:tcPr>
          <w:p>
            <w:pPr>
              <w:spacing w:after="0"/>
              <w:rPr>
                <w:sz w:val="1"/>
                <w:szCs w:val="1"/>
                <w:color w:val="auto"/>
              </w:rPr>
            </w:pPr>
          </w:p>
        </w:tc>
      </w:tr>
      <w:tr>
        <w:trPr>
          <w:trHeight w:val="202"/>
        </w:trPr>
        <w:tc>
          <w:tcPr>
            <w:tcW w:w="83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1,515,150</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992,279</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6080" w:type="dxa"/>
            <w:vAlign w:val="bottom"/>
            <w:gridSpan w:val="4"/>
          </w:tcPr>
          <w:p>
            <w:pPr>
              <w:jc w:val="center"/>
              <w:ind w:right="25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1,938,875</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1,420,509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2014, 2013 AND 2012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49" w:name="page50"/>
    <w:bookmarkEnd w:id="49"/>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9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2,464,867</w:t>
            </w:r>
          </w:p>
        </w:tc>
        <w:tc>
          <w:tcPr>
            <w:tcW w:w="200" w:type="dxa"/>
            <w:vAlign w:val="bottom"/>
          </w:tcPr>
          <w:p>
            <w:pPr>
              <w:spacing w:after="0"/>
              <w:rPr>
                <w:sz w:val="24"/>
                <w:szCs w:val="24"/>
                <w:color w:val="auto"/>
              </w:rPr>
            </w:pP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2,246,428</w:t>
            </w:r>
          </w:p>
        </w:tc>
        <w:tc>
          <w:tcPr>
            <w:tcW w:w="200" w:type="dxa"/>
            <w:vAlign w:val="bottom"/>
          </w:tcPr>
          <w:p>
            <w:pPr>
              <w:spacing w:after="0"/>
              <w:rPr>
                <w:sz w:val="24"/>
                <w:szCs w:val="24"/>
                <w:color w:val="auto"/>
              </w:rPr>
            </w:pP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2,060,702</w:t>
            </w:r>
          </w:p>
        </w:tc>
        <w:tc>
          <w:tcPr>
            <w:tcW w:w="0" w:type="dxa"/>
            <w:vAlign w:val="bottom"/>
          </w:tcPr>
          <w:p>
            <w:pPr>
              <w:spacing w:after="0"/>
              <w:rPr>
                <w:sz w:val="1"/>
                <w:szCs w:val="1"/>
                <w:color w:val="auto"/>
              </w:rPr>
            </w:pPr>
          </w:p>
        </w:tc>
      </w:tr>
      <w:tr>
        <w:trPr>
          <w:trHeight w:val="408"/>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1,125,057</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1,073,497</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995,046</w:t>
            </w:r>
          </w:p>
        </w:tc>
        <w:tc>
          <w:tcPr>
            <w:tcW w:w="0" w:type="dxa"/>
            <w:vAlign w:val="bottom"/>
          </w:tcPr>
          <w:p>
            <w:pPr>
              <w:spacing w:after="0"/>
              <w:rPr>
                <w:sz w:val="1"/>
                <w:szCs w:val="1"/>
                <w:color w:val="auto"/>
              </w:rPr>
            </w:pPr>
          </w:p>
        </w:tc>
      </w:tr>
      <w:tr>
        <w:trPr>
          <w:trHeight w:val="39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1,339,810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1,172,931</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1,065,656</w:t>
            </w:r>
          </w:p>
        </w:tc>
        <w:tc>
          <w:tcPr>
            <w:tcW w:w="0" w:type="dxa"/>
            <w:vAlign w:val="bottom"/>
          </w:tcPr>
          <w:p>
            <w:pPr>
              <w:spacing w:after="0"/>
              <w:rPr>
                <w:sz w:val="1"/>
                <w:szCs w:val="1"/>
                <w:color w:val="auto"/>
              </w:rPr>
            </w:pPr>
          </w:p>
        </w:tc>
      </w:tr>
      <w:tr>
        <w:trPr>
          <w:trHeight w:val="408"/>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592,305</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600,015</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515,033</w:t>
            </w:r>
          </w:p>
        </w:tc>
        <w:tc>
          <w:tcPr>
            <w:tcW w:w="0" w:type="dxa"/>
            <w:vAlign w:val="bottom"/>
          </w:tcPr>
          <w:p>
            <w:pPr>
              <w:spacing w:after="0"/>
              <w:rPr>
                <w:sz w:val="1"/>
                <w:szCs w:val="1"/>
                <w:color w:val="auto"/>
              </w:rPr>
            </w:pPr>
          </w:p>
        </w:tc>
      </w:tr>
      <w:tr>
        <w:trPr>
          <w:trHeight w:val="39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3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747,505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572,916</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550,623</w:t>
            </w:r>
          </w:p>
        </w:tc>
        <w:tc>
          <w:tcPr>
            <w:tcW w:w="0" w:type="dxa"/>
            <w:vAlign w:val="bottom"/>
          </w:tcPr>
          <w:p>
            <w:pPr>
              <w:spacing w:after="0"/>
              <w:rPr>
                <w:sz w:val="1"/>
                <w:szCs w:val="1"/>
                <w:color w:val="auto"/>
              </w:rPr>
            </w:pPr>
          </w:p>
        </w:tc>
      </w:tr>
      <w:tr>
        <w:trPr>
          <w:trHeight w:val="397"/>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 income, net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(Loss) gain on investments and put option, net (Note 2)</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2,715</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02"/>
        </w:trPr>
        <w:tc>
          <w:tcPr>
            <w:tcW w:w="6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(9,022)</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0" w:type="dxa"/>
            <w:vAlign w:val="bottom"/>
          </w:tcPr>
          <w:p>
            <w:pPr>
              <w:spacing w:after="0"/>
              <w:rPr>
                <w:sz w:val="1"/>
                <w:szCs w:val="1"/>
                <w:color w:val="auto"/>
              </w:rPr>
            </w:pPr>
          </w:p>
        </w:tc>
      </w:tr>
      <w:tr>
        <w:trPr>
          <w:trHeight w:val="39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745,788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563,894</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549,154</w:t>
            </w:r>
          </w:p>
        </w:tc>
        <w:tc>
          <w:tcPr>
            <w:tcW w:w="0" w:type="dxa"/>
            <w:vAlign w:val="bottom"/>
          </w:tcPr>
          <w:p>
            <w:pPr>
              <w:spacing w:after="0"/>
              <w:rPr>
                <w:sz w:val="1"/>
                <w:szCs w:val="1"/>
                <w:color w:val="auto"/>
              </w:rPr>
            </w:pPr>
          </w:p>
        </w:tc>
      </w:tr>
      <w:tr>
        <w:trPr>
          <w:trHeight w:val="408"/>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262,603</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225,233</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209,134</w:t>
            </w:r>
          </w:p>
        </w:tc>
        <w:tc>
          <w:tcPr>
            <w:tcW w:w="0" w:type="dxa"/>
            <w:vAlign w:val="bottom"/>
          </w:tcPr>
          <w:p>
            <w:pPr>
              <w:spacing w:after="0"/>
              <w:rPr>
                <w:sz w:val="1"/>
                <w:szCs w:val="1"/>
                <w:color w:val="auto"/>
              </w:rPr>
            </w:pPr>
          </w:p>
        </w:tc>
      </w:tr>
      <w:tr>
        <w:trPr>
          <w:trHeight w:val="39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483,185</w:t>
            </w:r>
          </w:p>
        </w:tc>
        <w:tc>
          <w:tcPr>
            <w:tcW w:w="200" w:type="dxa"/>
            <w:vAlign w:val="bottom"/>
          </w:tcPr>
          <w:p>
            <w:pPr>
              <w:spacing w:after="0"/>
              <w:rPr>
                <w:sz w:val="24"/>
                <w:szCs w:val="24"/>
                <w:color w:val="auto"/>
              </w:rPr>
            </w:pP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338,661</w:t>
            </w:r>
          </w:p>
        </w:tc>
        <w:tc>
          <w:tcPr>
            <w:tcW w:w="200" w:type="dxa"/>
            <w:vAlign w:val="bottom"/>
          </w:tcPr>
          <w:p>
            <w:pPr>
              <w:spacing w:after="0"/>
              <w:rPr>
                <w:sz w:val="24"/>
                <w:szCs w:val="24"/>
                <w:color w:val="auto"/>
              </w:rPr>
            </w:pPr>
          </w:p>
        </w:tc>
        <w:tc>
          <w:tcPr>
            <w:tcW w:w="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340,020</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2.89</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20" w:type="dxa"/>
            <w:vAlign w:val="bottom"/>
            <w:vMerge w:val="continue"/>
          </w:tcPr>
          <w:p>
            <w:pPr>
              <w:spacing w:after="0"/>
              <w:rPr>
                <w:sz w:val="16"/>
                <w:szCs w:val="16"/>
                <w:color w:val="auto"/>
              </w:rPr>
            </w:pPr>
          </w:p>
        </w:tc>
        <w:tc>
          <w:tcPr>
            <w:tcW w:w="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c>
          <w:tcPr>
            <w:tcW w:w="200" w:type="dxa"/>
            <w:vAlign w:val="bottom"/>
          </w:tcPr>
          <w:p>
            <w:pPr>
              <w:spacing w:after="0"/>
              <w:rPr>
                <w:sz w:val="16"/>
                <w:szCs w:val="16"/>
                <w:color w:val="auto"/>
              </w:rPr>
            </w:pP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1.95</w:t>
            </w:r>
          </w:p>
        </w:tc>
        <w:tc>
          <w:tcPr>
            <w:tcW w:w="200" w:type="dxa"/>
            <w:vAlign w:val="bottom"/>
          </w:tcPr>
          <w:p>
            <w:pPr>
              <w:spacing w:after="0"/>
              <w:rPr>
                <w:sz w:val="16"/>
                <w:szCs w:val="16"/>
                <w:color w:val="auto"/>
              </w:rPr>
            </w:pPr>
          </w:p>
        </w:tc>
        <w:tc>
          <w:tcPr>
            <w:tcW w:w="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NUMBER OF SHARES OF COMMON STOCK AND COMMON</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EQUIVALENTS: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167,257</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166,679</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173,712</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2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174,285</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173,387</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183,083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2014, 2013 AND 2012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as reported</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2014</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2013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2012</w:t>
            </w:r>
          </w:p>
        </w:tc>
        <w:tc>
          <w:tcPr>
            <w:tcW w:w="0" w:type="dxa"/>
            <w:vAlign w:val="bottom"/>
          </w:tcPr>
          <w:p>
            <w:pPr>
              <w:spacing w:after="0"/>
              <w:rPr>
                <w:sz w:val="1"/>
                <w:szCs w:val="1"/>
                <w:color w:val="auto"/>
              </w:rPr>
            </w:pPr>
          </w:p>
        </w:tc>
      </w:tr>
      <w:tr>
        <w:trPr>
          <w:trHeight w:val="200"/>
        </w:trPr>
        <w:tc>
          <w:tcPr>
            <w:tcW w:w="6440" w:type="dxa"/>
            <w:vAlign w:val="bottom"/>
            <w:vMerge w:val="continue"/>
          </w:tcPr>
          <w:p>
            <w:pPr>
              <w:spacing w:after="0"/>
              <w:rPr>
                <w:sz w:val="17"/>
                <w:szCs w:val="17"/>
                <w:color w:val="auto"/>
              </w:rPr>
            </w:pPr>
          </w:p>
        </w:tc>
        <w:tc>
          <w:tcPr>
            <w:tcW w:w="36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483,185</w:t>
            </w:r>
          </w:p>
        </w:tc>
        <w:tc>
          <w:tcPr>
            <w:tcW w:w="280" w:type="dxa"/>
            <w:vAlign w:val="bottom"/>
          </w:tcPr>
          <w:p>
            <w:pPr>
              <w:spacing w:after="0"/>
              <w:rPr>
                <w:sz w:val="17"/>
                <w:szCs w:val="17"/>
                <w:color w:val="auto"/>
              </w:rPr>
            </w:pPr>
          </w:p>
        </w:tc>
        <w:tc>
          <w:tcPr>
            <w:tcW w:w="38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338,661</w:t>
            </w:r>
          </w:p>
        </w:tc>
        <w:tc>
          <w:tcPr>
            <w:tcW w:w="280" w:type="dxa"/>
            <w:vAlign w:val="bottom"/>
          </w:tcPr>
          <w:p>
            <w:pPr>
              <w:spacing w:after="0"/>
              <w:rPr>
                <w:sz w:val="17"/>
                <w:szCs w:val="17"/>
                <w:color w:val="auto"/>
              </w:rPr>
            </w:pPr>
          </w:p>
        </w:tc>
        <w:tc>
          <w:tcPr>
            <w:tcW w:w="36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340,020</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Change in foreign currency translation adjustment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2,096</w:t>
            </w:r>
          </w:p>
        </w:tc>
        <w:tc>
          <w:tcPr>
            <w:tcW w:w="0" w:type="dxa"/>
            <w:vAlign w:val="bottom"/>
          </w:tcPr>
          <w:p>
            <w:pPr>
              <w:spacing w:after="0"/>
              <w:rPr>
                <w:sz w:val="1"/>
                <w:szCs w:val="1"/>
                <w:color w:val="auto"/>
              </w:rPr>
            </w:pPr>
          </w:p>
        </w:tc>
      </w:tr>
      <w:tr>
        <w:trPr>
          <w:trHeight w:val="230"/>
        </w:trPr>
        <w:tc>
          <w:tcPr>
            <w:tcW w:w="64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Available-for-sale investments: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Change in net unrealized gains</w:t>
            </w: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1,525</w:t>
            </w:r>
          </w:p>
        </w:tc>
        <w:tc>
          <w:tcPr>
            <w:tcW w:w="0" w:type="dxa"/>
            <w:vAlign w:val="bottom"/>
          </w:tcPr>
          <w:p>
            <w:pPr>
              <w:spacing w:after="0"/>
              <w:rPr>
                <w:sz w:val="1"/>
                <w:szCs w:val="1"/>
                <w:color w:val="auto"/>
              </w:rPr>
            </w:pPr>
          </w:p>
        </w:tc>
      </w:tr>
      <w:tr>
        <w:trPr>
          <w:trHeight w:val="230"/>
        </w:trPr>
        <w:tc>
          <w:tcPr>
            <w:tcW w:w="64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Reclassification adjustment for net gains included in net income</w:t>
            </w: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6440" w:type="dxa"/>
            <w:vAlign w:val="bottom"/>
            <w:vMerge w:val="restart"/>
          </w:tcPr>
          <w:p>
            <w:pPr>
              <w:ind w:left="560"/>
              <w:spacing w:after="0"/>
              <w:rPr>
                <w:sz w:val="20"/>
                <w:szCs w:val="20"/>
                <w:color w:val="auto"/>
              </w:rPr>
            </w:pPr>
            <w:r>
              <w:rPr>
                <w:rFonts w:ascii="Times New Roman" w:cs="Times New Roman" w:eastAsia="Times New Roman" w:hAnsi="Times New Roman"/>
                <w:sz w:val="20"/>
                <w:szCs w:val="20"/>
                <w:color w:val="auto"/>
              </w:rPr>
              <w:t>Net change in available-for-sale investments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(1,525)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1,525</w:t>
            </w:r>
          </w:p>
        </w:tc>
        <w:tc>
          <w:tcPr>
            <w:tcW w:w="0" w:type="dxa"/>
            <w:vAlign w:val="bottom"/>
          </w:tcPr>
          <w:p>
            <w:pPr>
              <w:spacing w:after="0"/>
              <w:rPr>
                <w:sz w:val="1"/>
                <w:szCs w:val="1"/>
                <w:color w:val="auto"/>
              </w:rPr>
            </w:pPr>
          </w:p>
        </w:tc>
      </w:tr>
      <w:tr>
        <w:trPr>
          <w:trHeight w:val="23"/>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(10,220)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(3,307)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3,621</w:t>
            </w:r>
          </w:p>
        </w:tc>
        <w:tc>
          <w:tcPr>
            <w:tcW w:w="0" w:type="dxa"/>
            <w:vAlign w:val="bottom"/>
          </w:tcPr>
          <w:p>
            <w:pPr>
              <w:spacing w:after="0"/>
              <w:rPr>
                <w:sz w:val="1"/>
                <w:szCs w:val="1"/>
                <w:color w:val="auto"/>
              </w:rPr>
            </w:pPr>
          </w:p>
        </w:tc>
      </w:tr>
      <w:tr>
        <w:trPr>
          <w:trHeight w:val="23"/>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472,965</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335,354</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343,641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2014, 2013 AND 2012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46620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66205" cy="17145"/>
                    </a:xfrm>
                    <a:prstGeom prst="rect">
                      <a:avLst/>
                    </a:prstGeom>
                    <a:noFill/>
                  </pic:spPr>
                </pic:pic>
              </a:graphicData>
            </a:graphic>
          </wp:anchor>
        </w:drawing>
      </w:r>
    </w:p>
    <w:p>
      <w:pPr>
        <w:sectPr>
          <w:pgSz w:w="11900" w:h="16872" w:orient="portrait"/>
          <w:cols w:equalWidth="0" w:num="1">
            <w:col w:w="11420"/>
          </w:cols>
          <w:pgMar w:left="240" w:top="124" w:right="239" w:bottom="0" w:gutter="0" w:footer="0" w:header="0"/>
        </w:sectPr>
      </w:pPr>
    </w:p>
    <w:p>
      <w:pPr>
        <w:spacing w:after="0" w:line="9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Accumulated</w:t>
      </w:r>
    </w:p>
    <w:p>
      <w:pPr>
        <w:sectPr>
          <w:pgSz w:w="11900" w:h="16872" w:orient="portrait"/>
          <w:cols w:equalWidth="0" w:num="1">
            <w:col w:w="11420"/>
          </w:cols>
          <w:pgMar w:left="240" w:top="124" w:right="239" w:bottom="0" w:gutter="0" w:footer="0" w:header="0"/>
          <w:type w:val="continuous"/>
        </w:sectPr>
      </w:pPr>
    </w:p>
    <w:bookmarkStart w:id="50" w:name="page51"/>
    <w:bookmarkEnd w:id="50"/>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20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60" w:type="dxa"/>
            <w:vAlign w:val="bottom"/>
            <w:gridSpan w:val="5"/>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40" w:type="dxa"/>
            <w:vAlign w:val="bottom"/>
          </w:tcPr>
          <w:p>
            <w:pPr>
              <w:spacing w:after="0"/>
              <w:rPr>
                <w:sz w:val="13"/>
                <w:szCs w:val="13"/>
                <w:color w:val="auto"/>
              </w:rPr>
            </w:pPr>
          </w:p>
        </w:tc>
        <w:tc>
          <w:tcPr>
            <w:tcW w:w="92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200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60" w:type="dxa"/>
            <w:vAlign w:val="bottom"/>
            <w:gridSpan w:val="5"/>
            <w:vMerge w:val="continue"/>
          </w:tcPr>
          <w:p>
            <w:pPr>
              <w:spacing w:after="0"/>
              <w:rPr>
                <w:sz w:val="15"/>
                <w:szCs w:val="15"/>
                <w:color w:val="auto"/>
              </w:rPr>
            </w:pPr>
          </w:p>
        </w:tc>
        <w:tc>
          <w:tcPr>
            <w:tcW w:w="11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January 1, 2012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198,729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229,301</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1,168,644</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(1,547)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(24,452)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(418,234)</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979,158</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28,007</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28,007</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10,989</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11,014</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Excess tax benefits from share based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19,656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19,656</w:t>
            </w:r>
          </w:p>
        </w:tc>
        <w:tc>
          <w:tcPr>
            <w:tcW w:w="0" w:type="dxa"/>
            <w:vAlign w:val="bottom"/>
          </w:tcPr>
          <w:p>
            <w:pPr>
              <w:spacing w:after="0"/>
              <w:rPr>
                <w:sz w:val="1"/>
                <w:szCs w:val="1"/>
                <w:color w:val="auto"/>
              </w:rPr>
            </w:pPr>
          </w:p>
        </w:tc>
      </w:tr>
      <w:tr>
        <w:trPr>
          <w:trHeight w:val="188"/>
        </w:trPr>
        <w:tc>
          <w:tcPr>
            <w:tcW w:w="2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arrangements</w:t>
            </w: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(13,531)</w:t>
            </w: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(737,079)</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(737,079)</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2,096</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2,096</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Change in unrealized gain on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1,525</w:t>
            </w:r>
          </w:p>
        </w:tc>
        <w:tc>
          <w:tcPr>
            <w:tcW w:w="1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1,525</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available-for-sale securities, net of tax</w:t>
            </w: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340,020</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340,020</w:t>
            </w:r>
          </w:p>
        </w:tc>
        <w:tc>
          <w:tcPr>
            <w:tcW w:w="0" w:type="dxa"/>
            <w:vAlign w:val="bottom"/>
          </w:tcPr>
          <w:p>
            <w:pPr>
              <w:spacing w:after="0"/>
              <w:rPr>
                <w:sz w:val="1"/>
                <w:szCs w:val="1"/>
                <w:color w:val="auto"/>
              </w:rPr>
            </w:pPr>
          </w:p>
        </w:tc>
      </w:tr>
      <w:tr>
        <w:trPr>
          <w:trHeight w:val="254"/>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203,759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287,953</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1,508,664</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2,074</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(37,983)</w:t>
            </w:r>
          </w:p>
        </w:tc>
        <w:tc>
          <w:tcPr>
            <w:tcW w:w="2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(1,155,313)</w:t>
            </w:r>
          </w:p>
        </w:tc>
        <w:tc>
          <w:tcPr>
            <w:tcW w:w="2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644,397</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28,528</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21,251</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Excess tax benefits from share based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30,348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30,348</w:t>
            </w:r>
          </w:p>
        </w:tc>
        <w:tc>
          <w:tcPr>
            <w:tcW w:w="0" w:type="dxa"/>
            <w:vAlign w:val="bottom"/>
          </w:tcPr>
          <w:p>
            <w:pPr>
              <w:spacing w:after="0"/>
              <w:rPr>
                <w:sz w:val="1"/>
                <w:szCs w:val="1"/>
                <w:color w:val="auto"/>
              </w:rPr>
            </w:pPr>
          </w:p>
        </w:tc>
      </w:tr>
      <w:tr>
        <w:trPr>
          <w:trHeight w:val="188"/>
        </w:trPr>
        <w:tc>
          <w:tcPr>
            <w:tcW w:w="2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arrangements</w:t>
            </w: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(1,209)</w:t>
            </w: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(67,599)</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(67,599)</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(1,782)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 adjustments for net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(1,525)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gains included in net income</w:t>
            </w: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338,661</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338,661</w:t>
            </w:r>
          </w:p>
        </w:tc>
        <w:tc>
          <w:tcPr>
            <w:tcW w:w="0" w:type="dxa"/>
            <w:vAlign w:val="bottom"/>
          </w:tcPr>
          <w:p>
            <w:pPr>
              <w:spacing w:after="0"/>
              <w:rPr>
                <w:sz w:val="1"/>
                <w:szCs w:val="1"/>
                <w:color w:val="auto"/>
              </w:rPr>
            </w:pPr>
          </w:p>
        </w:tc>
      </w:tr>
      <w:tr>
        <w:trPr>
          <w:trHeight w:val="254"/>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206,014</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368,069</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1,847,325</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(1,233)</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(39,192)</w:t>
            </w:r>
          </w:p>
        </w:tc>
        <w:tc>
          <w:tcPr>
            <w:tcW w:w="2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(1,222,912)</w:t>
            </w:r>
          </w:p>
        </w:tc>
        <w:tc>
          <w:tcPr>
            <w:tcW w:w="2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992,279</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28,989</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17,168</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Excess tax benefits from share based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11,924</w:t>
            </w:r>
          </w:p>
        </w:tc>
        <w:tc>
          <w:tcPr>
            <w:tcW w:w="0" w:type="dxa"/>
            <w:vAlign w:val="bottom"/>
          </w:tcPr>
          <w:p>
            <w:pPr>
              <w:spacing w:after="0"/>
              <w:rPr>
                <w:sz w:val="1"/>
                <w:szCs w:val="1"/>
                <w:color w:val="auto"/>
              </w:rPr>
            </w:pPr>
          </w:p>
        </w:tc>
      </w:tr>
      <w:tr>
        <w:trPr>
          <w:trHeight w:val="188"/>
        </w:trPr>
        <w:tc>
          <w:tcPr>
            <w:tcW w:w="2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arrangements</w:t>
            </w: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(90)</w:t>
            </w: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(8,175)</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(8,175)</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(10,220)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(10,220)</w:t>
            </w:r>
          </w:p>
        </w:tc>
        <w:tc>
          <w:tcPr>
            <w:tcW w:w="0" w:type="dxa"/>
            <w:vAlign w:val="bottom"/>
          </w:tcPr>
          <w:p>
            <w:pPr>
              <w:spacing w:after="0"/>
              <w:rPr>
                <w:sz w:val="1"/>
                <w:szCs w:val="1"/>
                <w:color w:val="auto"/>
              </w:rPr>
            </w:pPr>
          </w:p>
        </w:tc>
      </w:tr>
      <w:tr>
        <w:trPr>
          <w:trHeight w:val="226"/>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483,185</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483,185</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207,004</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426,145</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2,330,510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(11,453)</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(39,282)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(1,231,087)</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1,515,150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2014, 2013 AND 2012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172"/>
        </w:trPr>
        <w:tc>
          <w:tcPr>
            <w:tcW w:w="6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483,185</w:t>
            </w:r>
          </w:p>
        </w:tc>
        <w:tc>
          <w:tcPr>
            <w:tcW w:w="280" w:type="dxa"/>
            <w:vAlign w:val="bottom"/>
          </w:tcPr>
          <w:p>
            <w:pPr>
              <w:spacing w:after="0"/>
              <w:rPr>
                <w:sz w:val="17"/>
                <w:szCs w:val="17"/>
                <w:color w:val="auto"/>
              </w:rPr>
            </w:pP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338,661</w:t>
            </w:r>
          </w:p>
        </w:tc>
        <w:tc>
          <w:tcPr>
            <w:tcW w:w="280" w:type="dxa"/>
            <w:vAlign w:val="bottom"/>
          </w:tcPr>
          <w:p>
            <w:pPr>
              <w:spacing w:after="0"/>
              <w:rPr>
                <w:sz w:val="17"/>
                <w:szCs w:val="17"/>
                <w:color w:val="auto"/>
              </w:rPr>
            </w:pP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340,020</w:t>
            </w: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20,562</w:t>
            </w:r>
          </w:p>
        </w:tc>
        <w:tc>
          <w:tcPr>
            <w:tcW w:w="0" w:type="dxa"/>
            <w:vAlign w:val="bottom"/>
          </w:tcPr>
          <w:p>
            <w:pPr>
              <w:spacing w:after="0"/>
              <w:rPr>
                <w:sz w:val="1"/>
                <w:szCs w:val="1"/>
                <w:color w:val="auto"/>
              </w:rPr>
            </w:pPr>
          </w:p>
        </w:tc>
      </w:tr>
      <w:tr>
        <w:trPr>
          <w:trHeight w:val="203"/>
        </w:trPr>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(gain) on disposal of property and equipment</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28,413</w:t>
            </w:r>
          </w:p>
        </w:tc>
        <w:tc>
          <w:tcPr>
            <w:tcW w:w="0" w:type="dxa"/>
            <w:vAlign w:val="bottom"/>
          </w:tcPr>
          <w:p>
            <w:pPr>
              <w:spacing w:after="0"/>
              <w:rPr>
                <w:sz w:val="1"/>
                <w:szCs w:val="1"/>
                <w:color w:val="auto"/>
              </w:rPr>
            </w:pPr>
          </w:p>
        </w:tc>
      </w:tr>
      <w:tr>
        <w:trPr>
          <w:trHeight w:val="203"/>
        </w:trPr>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put option</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0" w:type="dxa"/>
            <w:vAlign w:val="bottom"/>
          </w:tcPr>
          <w:p>
            <w:pPr>
              <w:spacing w:after="0"/>
              <w:rPr>
                <w:sz w:val="1"/>
                <w:szCs w:val="1"/>
                <w:color w:val="auto"/>
              </w:rPr>
            </w:pPr>
          </w:p>
        </w:tc>
      </w:tr>
      <w:tr>
        <w:trPr>
          <w:trHeight w:val="203"/>
        </w:trPr>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investments, net</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03"/>
        </w:trPr>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0" w:type="dxa"/>
            <w:vAlign w:val="bottom"/>
          </w:tcPr>
          <w:p>
            <w:pPr>
              <w:spacing w:after="0"/>
              <w:rPr>
                <w:sz w:val="1"/>
                <w:szCs w:val="1"/>
                <w:color w:val="auto"/>
              </w:rPr>
            </w:pPr>
          </w:p>
        </w:tc>
      </w:tr>
      <w:tr>
        <w:trPr>
          <w:trHeight w:val="203"/>
        </w:trPr>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Tax benefit from exercise of stock options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(19,656)</w:t>
            </w:r>
          </w:p>
        </w:tc>
        <w:tc>
          <w:tcPr>
            <w:tcW w:w="0" w:type="dxa"/>
            <w:vAlign w:val="bottom"/>
          </w:tcPr>
          <w:p>
            <w:pPr>
              <w:spacing w:after="0"/>
              <w:rPr>
                <w:sz w:val="1"/>
                <w:szCs w:val="1"/>
                <w:color w:val="auto"/>
              </w:rPr>
            </w:pPr>
          </w:p>
        </w:tc>
      </w:tr>
      <w:tr>
        <w:trPr>
          <w:trHeight w:val="203"/>
        </w:trPr>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Effect on cash of changes in operating assets and liabilities: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(17,782)</w:t>
            </w:r>
          </w:p>
        </w:tc>
        <w:tc>
          <w:tcPr>
            <w:tcW w:w="0" w:type="dxa"/>
            <w:vAlign w:val="bottom"/>
          </w:tcPr>
          <w:p>
            <w:pPr>
              <w:spacing w:after="0"/>
              <w:rPr>
                <w:sz w:val="1"/>
                <w:szCs w:val="1"/>
                <w:color w:val="auto"/>
              </w:rPr>
            </w:pPr>
          </w:p>
        </w:tc>
      </w:tr>
      <w:tr>
        <w:trPr>
          <w:trHeight w:val="203"/>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Distributor receivables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(47,568)</w:t>
            </w:r>
          </w:p>
        </w:tc>
        <w:tc>
          <w:tcPr>
            <w:tcW w:w="0" w:type="dxa"/>
            <w:vAlign w:val="bottom"/>
          </w:tcPr>
          <w:p>
            <w:pPr>
              <w:spacing w:after="0"/>
              <w:rPr>
                <w:sz w:val="1"/>
                <w:szCs w:val="1"/>
                <w:color w:val="auto"/>
              </w:rPr>
            </w:pPr>
          </w:p>
        </w:tc>
      </w:tr>
      <w:tr>
        <w:trPr>
          <w:trHeight w:val="203"/>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0" w:type="dxa"/>
            <w:vAlign w:val="bottom"/>
          </w:tcPr>
          <w:p>
            <w:pPr>
              <w:spacing w:after="0"/>
              <w:rPr>
                <w:sz w:val="1"/>
                <w:szCs w:val="1"/>
                <w:color w:val="auto"/>
              </w:rPr>
            </w:pPr>
          </w:p>
        </w:tc>
      </w:tr>
      <w:tr>
        <w:trPr>
          <w:trHeight w:val="203"/>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Prepaid income taxes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(33,210)</w:t>
            </w:r>
          </w:p>
        </w:tc>
        <w:tc>
          <w:tcPr>
            <w:tcW w:w="0" w:type="dxa"/>
            <w:vAlign w:val="bottom"/>
          </w:tcPr>
          <w:p>
            <w:pPr>
              <w:spacing w:after="0"/>
              <w:rPr>
                <w:sz w:val="1"/>
                <w:szCs w:val="1"/>
                <w:color w:val="auto"/>
              </w:rPr>
            </w:pPr>
          </w:p>
        </w:tc>
      </w:tr>
      <w:tr>
        <w:trPr>
          <w:trHeight w:val="203"/>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w:t>
            </w:r>
          </w:p>
        </w:tc>
        <w:tc>
          <w:tcPr>
            <w:tcW w:w="0" w:type="dxa"/>
            <w:vAlign w:val="bottom"/>
          </w:tcPr>
          <w:p>
            <w:pPr>
              <w:spacing w:after="0"/>
              <w:rPr>
                <w:sz w:val="1"/>
                <w:szCs w:val="1"/>
                <w:color w:val="auto"/>
              </w:rPr>
            </w:pPr>
          </w:p>
        </w:tc>
      </w:tr>
      <w:tr>
        <w:trPr>
          <w:trHeight w:val="203"/>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w:t>
            </w:r>
          </w:p>
        </w:tc>
        <w:tc>
          <w:tcPr>
            <w:tcW w:w="0" w:type="dxa"/>
            <w:vAlign w:val="bottom"/>
          </w:tcPr>
          <w:p>
            <w:pPr>
              <w:spacing w:after="0"/>
              <w:rPr>
                <w:sz w:val="1"/>
                <w:szCs w:val="1"/>
                <w:color w:val="auto"/>
              </w:rPr>
            </w:pPr>
          </w:p>
        </w:tc>
      </w:tr>
      <w:tr>
        <w:trPr>
          <w:trHeight w:val="203"/>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0" w:type="dxa"/>
            <w:vAlign w:val="bottom"/>
          </w:tcPr>
          <w:p>
            <w:pPr>
              <w:spacing w:after="0"/>
              <w:rPr>
                <w:sz w:val="1"/>
                <w:szCs w:val="1"/>
                <w:color w:val="auto"/>
              </w:rPr>
            </w:pPr>
          </w:p>
        </w:tc>
      </w:tr>
      <w:tr>
        <w:trPr>
          <w:trHeight w:val="203"/>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Accrued distributor terminations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03"/>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Accrued compensation</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0" w:type="dxa"/>
            <w:vAlign w:val="bottom"/>
          </w:tcPr>
          <w:p>
            <w:pPr>
              <w:spacing w:after="0"/>
              <w:rPr>
                <w:sz w:val="1"/>
                <w:szCs w:val="1"/>
                <w:color w:val="auto"/>
              </w:rPr>
            </w:pPr>
          </w:p>
        </w:tc>
      </w:tr>
      <w:tr>
        <w:trPr>
          <w:trHeight w:val="203"/>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14,165</w:t>
            </w:r>
          </w:p>
        </w:tc>
        <w:tc>
          <w:tcPr>
            <w:tcW w:w="0" w:type="dxa"/>
            <w:vAlign w:val="bottom"/>
          </w:tcPr>
          <w:p>
            <w:pPr>
              <w:spacing w:after="0"/>
              <w:rPr>
                <w:sz w:val="1"/>
                <w:szCs w:val="1"/>
                <w:color w:val="auto"/>
              </w:rPr>
            </w:pPr>
          </w:p>
        </w:tc>
      </w:tr>
      <w:tr>
        <w:trPr>
          <w:trHeight w:val="210"/>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0" w:type="dxa"/>
            <w:vAlign w:val="bottom"/>
          </w:tcPr>
          <w:p>
            <w:pPr>
              <w:spacing w:after="0"/>
              <w:rPr>
                <w:sz w:val="1"/>
                <w:szCs w:val="1"/>
                <w:color w:val="auto"/>
              </w:rPr>
            </w:pPr>
          </w:p>
        </w:tc>
      </w:tr>
      <w:tr>
        <w:trPr>
          <w:trHeight w:val="210"/>
        </w:trPr>
        <w:tc>
          <w:tcPr>
            <w:tcW w:w="66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585,567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342,033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287,676</w:t>
            </w:r>
          </w:p>
        </w:tc>
        <w:tc>
          <w:tcPr>
            <w:tcW w:w="0" w:type="dxa"/>
            <w:vAlign w:val="bottom"/>
          </w:tcPr>
          <w:p>
            <w:pPr>
              <w:spacing w:after="0"/>
              <w:rPr>
                <w:sz w:val="1"/>
                <w:szCs w:val="1"/>
                <w:color w:val="auto"/>
              </w:rPr>
            </w:pPr>
          </w:p>
        </w:tc>
      </w:tr>
      <w:tr>
        <w:trPr>
          <w:trHeight w:val="38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held-to-maturity investments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710,294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256,843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841,576</w:t>
            </w: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Sales of available-for-sale investments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68,451</w:t>
            </w: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Sales of trading investments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17,050</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held-to-maturity investments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(1,130,601)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(557,419)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(597,155)</w:t>
            </w:r>
          </w:p>
        </w:tc>
        <w:tc>
          <w:tcPr>
            <w:tcW w:w="0" w:type="dxa"/>
            <w:vAlign w:val="bottom"/>
          </w:tcPr>
          <w:p>
            <w:pPr>
              <w:spacing w:after="0"/>
              <w:rPr>
                <w:sz w:val="1"/>
                <w:szCs w:val="1"/>
                <w:color w:val="auto"/>
              </w:rPr>
            </w:pPr>
          </w:p>
        </w:tc>
      </w:tr>
    </w:tbl>
    <w:p>
      <w:pPr>
        <w:sectPr>
          <w:pgSz w:w="11900" w:h="16891" w:orient="portrait"/>
          <w:cols w:equalWidth="0" w:num="1">
            <w:col w:w="11400"/>
          </w:cols>
          <w:pgMar w:left="240" w:top="102" w:right="25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available-for-sale investments</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(9,502)</w:t>
            </w: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(27,952)</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(42,935)</w:t>
            </w: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intangibles</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(6,301)</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10"/>
        </w:trPr>
        <w:tc>
          <w:tcPr>
            <w:tcW w:w="66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(440,403)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(339,808)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271,849</w:t>
            </w:r>
          </w:p>
        </w:tc>
        <w:tc>
          <w:tcPr>
            <w:tcW w:w="0" w:type="dxa"/>
            <w:vAlign w:val="bottom"/>
          </w:tcPr>
          <w:p>
            <w:pPr>
              <w:spacing w:after="0"/>
              <w:rPr>
                <w:sz w:val="1"/>
                <w:szCs w:val="1"/>
                <w:color w:val="auto"/>
              </w:rPr>
            </w:pPr>
          </w:p>
        </w:tc>
      </w:tr>
      <w:tr>
        <w:trPr>
          <w:trHeight w:val="38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Tax benefit from exercise of stock options</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11,924</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19,656</w:t>
            </w: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17,168</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11,015</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common stock held in treasury</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(8,175)</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(67,599)</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(727,670)</w:t>
            </w:r>
          </w:p>
        </w:tc>
        <w:tc>
          <w:tcPr>
            <w:tcW w:w="0" w:type="dxa"/>
            <w:vAlign w:val="bottom"/>
          </w:tcPr>
          <w:p>
            <w:pPr>
              <w:spacing w:after="0"/>
              <w:rPr>
                <w:sz w:val="1"/>
                <w:szCs w:val="1"/>
                <w:color w:val="auto"/>
              </w:rPr>
            </w:pPr>
          </w:p>
        </w:tc>
      </w:tr>
      <w:tr>
        <w:trPr>
          <w:trHeight w:val="202"/>
        </w:trPr>
        <w:tc>
          <w:tcPr>
            <w:tcW w:w="66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19,298</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(17,886)</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(699,075)</w:t>
            </w:r>
          </w:p>
        </w:tc>
        <w:tc>
          <w:tcPr>
            <w:tcW w:w="0" w:type="dxa"/>
            <w:vAlign w:val="bottom"/>
          </w:tcPr>
          <w:p>
            <w:pPr>
              <w:spacing w:after="0"/>
              <w:rPr>
                <w:sz w:val="1"/>
                <w:szCs w:val="1"/>
                <w:color w:val="auto"/>
              </w:rPr>
            </w:pPr>
          </w:p>
        </w:tc>
      </w:tr>
      <w:tr>
        <w:trPr>
          <w:trHeight w:val="39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(5,488)</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0" w:type="dxa"/>
            <w:vAlign w:val="bottom"/>
          </w:tcPr>
          <w:p>
            <w:pPr>
              <w:spacing w:after="0"/>
              <w:rPr>
                <w:sz w:val="1"/>
                <w:szCs w:val="1"/>
                <w:color w:val="auto"/>
              </w:rPr>
            </w:pPr>
          </w:p>
        </w:tc>
      </w:tr>
      <w:tr>
        <w:trPr>
          <w:trHeight w:val="397"/>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158,974</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(136,817)</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211,349</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222,514</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359,331</w:t>
            </w:r>
          </w:p>
        </w:tc>
        <w:tc>
          <w:tcPr>
            <w:tcW w:w="0" w:type="dxa"/>
            <w:vAlign w:val="bottom"/>
          </w:tcPr>
          <w:p>
            <w:pPr>
              <w:spacing w:after="0"/>
              <w:rPr>
                <w:sz w:val="1"/>
                <w:szCs w:val="1"/>
                <w:color w:val="auto"/>
              </w:rPr>
            </w:pPr>
          </w:p>
        </w:tc>
      </w:tr>
      <w:tr>
        <w:trPr>
          <w:trHeight w:val="202"/>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370,323</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211,349</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222,514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w:t>
            </w:r>
          </w:p>
        </w:tc>
        <w:tc>
          <w:tcPr>
            <w:tcW w:w="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Income taxes</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vMerge w:val="continue"/>
          </w:tcPr>
          <w:p>
            <w:pPr>
              <w:spacing w:after="0"/>
              <w:rPr>
                <w:sz w:val="16"/>
                <w:szCs w:val="16"/>
                <w:color w:val="auto"/>
              </w:rPr>
            </w:pPr>
          </w:p>
        </w:tc>
        <w:tc>
          <w:tcPr>
            <w:tcW w:w="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267,251</w:t>
            </w:r>
          </w:p>
        </w:tc>
        <w:tc>
          <w:tcPr>
            <w:tcW w:w="280" w:type="dxa"/>
            <w:vAlign w:val="bottom"/>
          </w:tcPr>
          <w:p>
            <w:pPr>
              <w:spacing w:after="0"/>
              <w:rPr>
                <w:sz w:val="16"/>
                <w:szCs w:val="16"/>
                <w:color w:val="auto"/>
              </w:rPr>
            </w:pPr>
          </w:p>
        </w:tc>
        <w:tc>
          <w:tcPr>
            <w:tcW w:w="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174,278</w:t>
            </w:r>
          </w:p>
        </w:tc>
        <w:tc>
          <w:tcPr>
            <w:tcW w:w="280" w:type="dxa"/>
            <w:vAlign w:val="bottom"/>
          </w:tcPr>
          <w:p>
            <w:pPr>
              <w:spacing w:after="0"/>
              <w:rPr>
                <w:sz w:val="16"/>
                <w:szCs w:val="16"/>
                <w:color w:val="auto"/>
              </w:rPr>
            </w:pPr>
          </w:p>
        </w:tc>
        <w:tc>
          <w:tcPr>
            <w:tcW w:w="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230,221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ind w:right="56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CONSOLIDATED STATEMENTS OF CASH FLOWS (Continued) FOR THE YEARS ENDED DECEMBER 31, 2014,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DISCLOSURE OF NON-CASH ITEMS:</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During the years ended December 31, 2014, 2013 and 2012, the Company entered into capital leases of $0.8 million, $2.6 million and $1.5 million, respectively, for the acquisition of promotional vehicles.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Included in accounts payable as of December 31, 2012 are treasury stock purchases of $9.4 million.</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Included in accounts payable was equipment purchased of $0.7 million, $0.1 million and $0.4 million as of December 31, 2014, 2013 and 2012,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ORGANIZATION AND SUMMARY OF SIGNIFICANT ACCOUNTING POLICIES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Organization </w:t>
      </w:r>
      <w:r>
        <w:rPr>
          <w:rFonts w:ascii="Times New Roman" w:cs="Times New Roman" w:eastAsia="Times New Roman" w:hAnsi="Times New Roman"/>
          <w:sz w:val="20"/>
          <w:szCs w:val="20"/>
          <w:color w:val="auto"/>
        </w:rPr>
        <w:t>– Monster Beverage Corporation (the “Company”, “Monster”, “Hansen” or “Hansen Beverage Company”)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incorporated in Delaware on April 25, 1990. The Company is a holding company and has no operating business except through its consolidated subsidiaries.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Nature of Operations </w:t>
      </w:r>
      <w:r>
        <w:rPr>
          <w:rFonts w:ascii="Times New Roman" w:cs="Times New Roman" w:eastAsia="Times New Roman" w:hAnsi="Times New Roman"/>
          <w:sz w:val="19"/>
          <w:szCs w:val="19"/>
          <w:color w:val="auto"/>
        </w:rPr>
        <w:t>– The Company develops, markets, sells and distributes “alternative” beverage category beverages primarily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the following brand names: Monster Energy®, Monster Rehab®, Monster Energy Extra Strength Nitrous Technology®, Java Monster®, Muscle Monster®, Punch Monster®, Juice Monster™, Peace Tea®, Hansen’s®, Hansen’s Natural Cane Soda®, Junior Juice®, Blue Sky® and Hubert’s®. The “alternative” beverage category combines non-carbonated ready-to-drink iced teas, lemonades, juice cocktails, single-serve juices and fruit beverages, ready-to-drink dairy and coffee drinks, energy drinks, sports drinks, and single-serve still water (flavored, unflavored and enhanced) with “new age” beverages, including sodas that are considered natural, sparkling juices and flavored sparkling beverages.</w:t>
      </w:r>
    </w:p>
    <w:p>
      <w:pPr>
        <w:sectPr>
          <w:pgSz w:w="11900" w:h="16838" w:orient="portrait"/>
          <w:cols w:equalWidth="0" w:num="1">
            <w:col w:w="11420"/>
          </w:cols>
          <w:pgMar w:left="240" w:top="126" w:right="239" w:bottom="82" w:gutter="0" w:footer="0" w:header="0"/>
        </w:sectPr>
      </w:pPr>
    </w:p>
    <w:bookmarkStart w:id="52" w:name="page53"/>
    <w:bookmarkEnd w:id="52"/>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Acquisitions and Divestitures </w:t>
      </w:r>
      <w:r>
        <w:rPr>
          <w:rFonts w:ascii="Times New Roman" w:cs="Times New Roman" w:eastAsia="Times New Roman" w:hAnsi="Times New Roman"/>
          <w:sz w:val="20"/>
          <w:szCs w:val="20"/>
          <w:color w:val="auto"/>
        </w:rPr>
        <w:t>– On August 14, 2014, the Company and The Coca-Cola Company (“TCCC”) entered into definitive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agreements for a long-term strategic relationship in the global energy drink category (the “TCCC Transaction”). In the TCCC Transaction, the Company, New Laser Corporation, a wholly owned subsidiary of the Company (“NewCo”), New Laser Merger Corp., a wholly owned subsidiary of NewCo (“Merger Sub”), TCCC and European Refreshments, an indirect wholly owned subsidiary of TCCC, entered into a transaction agreement, and the Company, TCCC and NewCo entered into an asset transfer agreement (together, the “TCCC Transaction Agreements”). Pursuant to the TCCC Transaction Agreements, the Company will reorganize into a new holding company by merging Merger Sub into the Company, with the Company surviving as a wholly owned subsidiary of NewCo. In the merger, each outstanding share of the Company’s common stock will be converted into one share of NewCo’s common stock.</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Subject to the terms and conditions of the TCCC Transaction Agreements, upon the closing of the TCCC Transaction, (1) NewCo will issue to TCCC newly issued shares of common stock representing approximately 16.7% of the total number of shares of issued and outstanding NewCo common stock (after giving effect to the new issuance) and TCCC will have the right to nominate two (reduced to one upon the earlier of (i) 36 months after the closing of the TCCC Transaction and (ii) TCCC’s equity interest in NewCo exceeding 20% of the outstanding shares of NewCo common stock) individuals to NewCo’s Board of Directors, (2) TCCC will transfer its global energy drink business (including the NOS®, Full Throttle®, Burn®, Mother®, Play® and Power Play®, and Relentless® brands) to NewCo, and the Company will transfer its non-energy drink business (including the Hansen’s® Natural Sodas, Peace Tea®, Hubert’s® Lemonade and Hansen’s® Juice Products) to TCCC,</w:t>
      </w:r>
    </w:p>
    <w:p>
      <w:pPr>
        <w:spacing w:after="0" w:line="4" w:lineRule="exact"/>
        <w:rPr>
          <w:sz w:val="20"/>
          <w:szCs w:val="20"/>
          <w:color w:val="auto"/>
        </w:rPr>
      </w:pPr>
    </w:p>
    <w:p>
      <w:pPr>
        <w:jc w:val="both"/>
        <w:ind w:firstLine="8"/>
        <w:spacing w:after="0" w:line="241" w:lineRule="auto"/>
        <w:tabs>
          <w:tab w:leader="none" w:pos="29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TCCC will amend their current distribution coordination agreements, which will contemplate expanding distribution of the Company’s products into additional territories pursuant to long-term distribution agreements with TCCC’s network of owned or controlled bottlers/distributors and independent bottling and distribution partners, and (4) TCCC will make a net cash payment of $2.15 billion to the Company (up to $625.0 million of which will be held in escrow, subject to release upon achievement of milestones relating to the transfer of distribution rights).</w:t>
      </w:r>
    </w:p>
    <w:p>
      <w:pPr>
        <w:spacing w:after="0" w:line="201" w:lineRule="exact"/>
        <w:rPr>
          <w:sz w:val="20"/>
          <w:szCs w:val="20"/>
          <w:color w:val="auto"/>
        </w:rPr>
      </w:pPr>
    </w:p>
    <w:p>
      <w:pPr>
        <w:jc w:val="both"/>
        <w:ind w:firstLine="756"/>
        <w:spacing w:after="0" w:line="254" w:lineRule="auto"/>
        <w:rPr>
          <w:sz w:val="20"/>
          <w:szCs w:val="20"/>
          <w:color w:val="auto"/>
        </w:rPr>
      </w:pPr>
      <w:r>
        <w:rPr>
          <w:rFonts w:ascii="Times New Roman" w:cs="Times New Roman" w:eastAsia="Times New Roman" w:hAnsi="Times New Roman"/>
          <w:sz w:val="20"/>
          <w:szCs w:val="20"/>
          <w:color w:val="auto"/>
        </w:rPr>
        <w:t>The waiting period under the Hart-Scott-Rodino Antitrust Improvements Act of 1976 with respect to the TCCC Transaction expired on October 15, 2014, and all necessary approvals or consents from foreign antitrust authorities have been obtained. The closing of the transaction is subject to customary closing conditions and is expected to close in the second quarter of 2015.</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w:t>
      </w:r>
      <w:r>
        <w:rPr>
          <w:rFonts w:ascii="Times New Roman" w:cs="Times New Roman" w:eastAsia="Times New Roman" w:hAnsi="Times New Roman"/>
          <w:sz w:val="20"/>
          <w:szCs w:val="20"/>
          <w:color w:val="auto"/>
        </w:rPr>
        <w:t>– The accompanying consolidated financial statements have been prepared in accordance with accounting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principles generally accepted in the United States of America (“GAAP”) and include the accounts of the Company and its consolidated subsidiaries.</w:t>
      </w:r>
    </w:p>
    <w:p>
      <w:pPr>
        <w:spacing w:after="0" w:line="18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Principles of Consolidation </w:t>
      </w:r>
      <w:r>
        <w:rPr>
          <w:rFonts w:ascii="Times New Roman" w:cs="Times New Roman" w:eastAsia="Times New Roman" w:hAnsi="Times New Roman"/>
          <w:sz w:val="20"/>
          <w:szCs w:val="20"/>
          <w:color w:val="auto"/>
        </w:rPr>
        <w:t>– The Company consolidates all entities that it controls by ownership of a majority voting interest.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intercompany balances and transactions have been eliminated in consolidation.</w:t>
      </w:r>
    </w:p>
    <w:p>
      <w:pPr>
        <w:spacing w:after="0" w:line="16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The Company considers all highly liquid investments with an original maturity of three months or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190" w:lineRule="exact"/>
        <w:rPr>
          <w:sz w:val="20"/>
          <w:szCs w:val="20"/>
          <w:color w:val="auto"/>
        </w:rPr>
      </w:pPr>
    </w:p>
    <w:p>
      <w:pPr>
        <w:jc w:val="both"/>
        <w:ind w:firstLine="702"/>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Investments </w:t>
      </w:r>
      <w:r>
        <w:rPr>
          <w:rFonts w:ascii="Times New Roman" w:cs="Times New Roman" w:eastAsia="Times New Roman" w:hAnsi="Times New Roman"/>
          <w:sz w:val="20"/>
          <w:szCs w:val="20"/>
          <w:color w:val="auto"/>
        </w:rPr>
        <w:t>– The Company’s investments in debt securities are classified as either held-to-maturity, available-for-sale or trading,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accordance with Financial Accounting Standards Board (the “FASB”) Accounting Standards Codification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(see Note 3). Under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income (loss), net of applicable taxes. The 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ectPr>
          <w:pgSz w:w="11900" w:h="16838" w:orient="portrait"/>
          <w:cols w:equalWidth="0" w:num="1">
            <w:col w:w="11420"/>
          </w:cols>
          <w:pgMar w:left="240" w:top="114" w:right="239" w:bottom="168" w:gutter="0" w:footer="0" w:header="0"/>
        </w:sectPr>
      </w:pPr>
    </w:p>
    <w:bookmarkStart w:id="53" w:name="page54"/>
    <w:bookmarkEnd w:id="53"/>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Accounts Receivable – </w:t>
      </w:r>
      <w:r>
        <w:rPr>
          <w:rFonts w:ascii="Times New Roman" w:cs="Times New Roman" w:eastAsia="Times New Roman" w:hAnsi="Times New Roman"/>
          <w:sz w:val="20"/>
          <w:szCs w:val="20"/>
          <w:color w:val="auto"/>
        </w:rPr>
        <w:t>The Company evaluates the collectability of its trade accounts receivable based on a number of factors.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debts, bad debt charges are recorded based on the Company’s recent loss history and an overall assessment of past due trade accounts receivable outstanding. In accordance with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Inventories </w:t>
      </w:r>
      <w:r>
        <w:rPr>
          <w:rFonts w:ascii="Times New Roman" w:cs="Times New Roman" w:eastAsia="Times New Roman" w:hAnsi="Times New Roman"/>
          <w:sz w:val="20"/>
          <w:szCs w:val="20"/>
          <w:color w:val="auto"/>
        </w:rPr>
        <w:t>– Inventories are valued at the lower of first-in, first-out, cost or market value (net realizable value).</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Property and Equipment </w:t>
      </w:r>
      <w:r>
        <w:rPr>
          <w:rFonts w:ascii="Times New Roman" w:cs="Times New Roman" w:eastAsia="Times New Roman" w:hAnsi="Times New Roman"/>
          <w:sz w:val="20"/>
          <w:szCs w:val="20"/>
          <w:color w:val="auto"/>
        </w:rPr>
        <w:t>– Property and equipment are stated at cost. Depreciation of furniture and fixtures, office and computer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Intangibles </w:t>
      </w:r>
      <w:r>
        <w:rPr>
          <w:rFonts w:ascii="Times New Roman" w:cs="Times New Roman" w:eastAsia="Times New Roman" w:hAnsi="Times New Roman"/>
          <w:sz w:val="20"/>
          <w:szCs w:val="20"/>
          <w:color w:val="auto"/>
        </w:rPr>
        <w:t>– Intangibles are comprised primarily of trademarks that represent the Company’s exclusive ownership of the Monster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Energy®, </w:t>
      </w:r>
      <w:r>
        <w:rPr>
          <w:sz w:val="1"/>
          <w:szCs w:val="1"/>
          <w:color w:val="auto"/>
        </w:rPr>
        <w:drawing>
          <wp:inline distT="0" distB="0" distL="0" distR="0">
            <wp:extent cx="102870" cy="1371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Monster Rehab®, Java Monster®, Unleash the Beast®, Punch Monster®, Juice Monster™, Peace Tea®, Hansen’s®, Blue Sky® and the Junior Juice® trademarks, all used in connection with the manufacture, sale and distribution of supplements and beverages. The Company also owns in its own right a number of other trademarks in the United States, as well as in a number of countries around the world. In accordance with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which range from 1 to 25 years. For the fiscal years ended December 31, 2014, 2013 and 2012, there were no impairments recorded.</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Long-Lived Assets </w:t>
      </w:r>
      <w:r>
        <w:rPr>
          <w:rFonts w:ascii="Times New Roman" w:cs="Times New Roman" w:eastAsia="Times New Roman" w:hAnsi="Times New Roman"/>
          <w:sz w:val="19"/>
          <w:szCs w:val="19"/>
          <w:color w:val="auto"/>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fiscal years ended December 31, 2014, 2013 and 2012, there were no impairment indicators identified. Long-lived assets held for sale are recorded at the lower of their carrying amount or fair value less cost to sell.</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Foreign Currency Translation and Transactions </w:t>
      </w:r>
      <w:r>
        <w:rPr>
          <w:rFonts w:ascii="Times New Roman" w:cs="Times New Roman" w:eastAsia="Times New Roman" w:hAnsi="Times New Roman"/>
          <w:sz w:val="20"/>
          <w:szCs w:val="20"/>
          <w:color w:val="auto"/>
        </w:rPr>
        <w:t>– The accounts of the Company’s foreign subsidiaries are translated in accordance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ASC 830. Foreign currency transaction gains and losses are recognized in interest and other income, net, at the time they occur. Net foreign currency exchange gains or losses resulting from the translation of assets and liabilities of foreign subsidiaries whose functional currency is not the U.S. dollar are recorded as a part of accumulated other comprehensive (loss) income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stockholders’ equity. Unrealized foreign currency exchange gains and losses on certain intercompany transactions that are of a long-term investment nature (i.e., settlement is not planned or anticipated in the foreseeable future) are also recorded in accumulated other comprehensive (loss) income in stockholders’ equity. During the year ended December 31, 2014,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December 31, 2014 have terms of one month or less. We do not enter into forward currency exchange contracts for speculation or trading purposes.</w:t>
      </w:r>
    </w:p>
    <w:p>
      <w:pPr>
        <w:sectPr>
          <w:pgSz w:w="11900" w:h="16838" w:orient="portrait"/>
          <w:cols w:equalWidth="0" w:num="1">
            <w:col w:w="11420"/>
          </w:cols>
          <w:pgMar w:left="240" w:top="114" w:right="239" w:bottom="0" w:gutter="0" w:footer="0" w:header="0"/>
        </w:sectPr>
      </w:pPr>
    </w:p>
    <w:bookmarkStart w:id="54" w:name="page55"/>
    <w:bookmarkEnd w:id="54"/>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have not designated our foreign currency exchange contracts as hedge transactions under ASC 815. Therefore, gains and losses on our foreign currency exchange contracts are recognized in interest and other (expense) income, net, in the consolidated statements of income, and are largely offset by the changes in the fair value of the underlying economically hedged item. For the years ended December 31, 2014, 2013 and 2012, aggregate foreign currency transaction losses, including the gains or losses on forward currency exchange contracts, amounted to $3.4 million, $12.9 million and $3.7 million, respectively, and have been recorded in other (expense) income in the accompanying consolidated statements of income.</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The Company recognizes revenue when persuasive evidence of an arrangement exists, delivery has occurred,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sales price is fixed or determinable and collectability is reasonably assured. Generally, ownership of and title to the Company’s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 transfer or possession of the relevant portion of the Company’s finished goods. Net sales have been determined after deduction of promotional and other allowances in accordance with ASC 605-50. The Company’s promotional and other allowances are calculated based on various programs with its distributors and retail customers, and accruals are established during the year for the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 and actual expenses for promotional and other allowance costs have historically been insignificant and are recognized in earnings in the period such differences are determined. 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 generally 20 years.</w:t>
      </w:r>
    </w:p>
    <w:p>
      <w:pPr>
        <w:spacing w:after="0" w:line="20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Management believes that adequate provision has been made for cash discounts, returns and spoilage based on the Company’s historical experience.</w:t>
      </w:r>
    </w:p>
    <w:p>
      <w:pPr>
        <w:spacing w:after="0" w:line="169" w:lineRule="exact"/>
        <w:rPr>
          <w:sz w:val="20"/>
          <w:szCs w:val="20"/>
          <w:color w:val="auto"/>
        </w:rPr>
      </w:pPr>
    </w:p>
    <w:p>
      <w:pPr>
        <w:jc w:val="both"/>
        <w:ind w:firstLine="702"/>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Cost of Sales </w:t>
      </w:r>
      <w:r>
        <w:rPr>
          <w:rFonts w:ascii="Times New Roman" w:cs="Times New Roman" w:eastAsia="Times New Roman" w:hAnsi="Times New Roman"/>
          <w:sz w:val="20"/>
          <w:szCs w:val="20"/>
          <w:color w:val="auto"/>
        </w:rPr>
        <w:t>– Cost of sales consists of the costs of raw materials utilized in the manufacture of products, co-packing fees, repacking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flavors, ingredients and packaging materials.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Operating Expenses </w:t>
      </w:r>
      <w:r>
        <w:rPr>
          <w:rFonts w:ascii="Times New Roman" w:cs="Times New Roman" w:eastAsia="Times New Roman" w:hAnsi="Times New Roman"/>
          <w:sz w:val="20"/>
          <w:szCs w:val="20"/>
          <w:color w:val="auto"/>
        </w:rPr>
        <w:t>– Operating expenses include selling expenses such as distribution expenses to transport products to customers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89" w:lineRule="exact"/>
        <w:rPr>
          <w:sz w:val="20"/>
          <w:szCs w:val="20"/>
          <w:color w:val="auto"/>
        </w:rPr>
      </w:pPr>
    </w:p>
    <w:p>
      <w:pPr>
        <w:jc w:val="both"/>
        <w:ind w:right="20" w:firstLine="648"/>
        <w:spacing w:after="0" w:line="300" w:lineRule="auto"/>
        <w:rPr>
          <w:sz w:val="20"/>
          <w:szCs w:val="20"/>
          <w:color w:val="auto"/>
        </w:rPr>
      </w:pPr>
      <w:r>
        <w:rPr>
          <w:rFonts w:ascii="Times New Roman" w:cs="Times New Roman" w:eastAsia="Times New Roman" w:hAnsi="Times New Roman"/>
          <w:sz w:val="19"/>
          <w:szCs w:val="19"/>
          <w:i w:val="1"/>
          <w:iCs w:val="1"/>
          <w:color w:val="auto"/>
        </w:rPr>
        <w:t xml:space="preserve">Freight-Out Costs </w:t>
      </w:r>
      <w:r>
        <w:rPr>
          <w:rFonts w:ascii="Times New Roman" w:cs="Times New Roman" w:eastAsia="Times New Roman" w:hAnsi="Times New Roman"/>
          <w:sz w:val="19"/>
          <w:szCs w:val="19"/>
          <w:color w:val="auto"/>
        </w:rPr>
        <w:t>– For the years ended December 31, 2014, 2013 and 2012, freight-out costs amounted to $92.7 million, $84.0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million and $76.1 million, respectively, and have been recorded in operating expenses in the accompanying consolidated statements of income.</w:t>
      </w:r>
    </w:p>
    <w:p>
      <w:pPr>
        <w:spacing w:after="0" w:line="1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Advertising and Promotional Expenses </w:t>
      </w:r>
      <w:r>
        <w:rPr>
          <w:rFonts w:ascii="Times New Roman" w:cs="Times New Roman" w:eastAsia="Times New Roman" w:hAnsi="Times New Roman"/>
          <w:sz w:val="19"/>
          <w:szCs w:val="19"/>
          <w:color w:val="auto"/>
        </w:rPr>
        <w:t>– The Company accounts for advertising production costs by expensing such production costs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periodic performance compliance provisions of the contracts. Advertising and promotional expenses, including but not limited to production costs, amounted to $171.5 million, $181.8 million and $165.4 million for the years ended December 31, 2014, 2013 and 2012, respectively. Advertising and promotional expenses are included in operating expenses in the accompanying consolidated statements of income.</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Income Taxes </w:t>
      </w:r>
      <w:r>
        <w:rPr>
          <w:rFonts w:ascii="Times New Roman" w:cs="Times New Roman" w:eastAsia="Times New Roman" w:hAnsi="Times New Roman"/>
          <w:sz w:val="20"/>
          <w:szCs w:val="20"/>
          <w:color w:val="auto"/>
        </w:rPr>
        <w:t>– The Company utilizes the liability method of accounting for income taxes as set forth in ASC 740. Under the liability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ectPr>
          <w:pgSz w:w="11900" w:h="16838" w:orient="portrait"/>
          <w:cols w:equalWidth="0" w:num="1">
            <w:col w:w="11420"/>
          </w:cols>
          <w:pgMar w:left="240" w:top="118" w:right="239" w:bottom="144" w:gutter="0" w:footer="0" w:header="0"/>
        </w:sectPr>
      </w:pPr>
    </w:p>
    <w:bookmarkStart w:id="55" w:name="page56"/>
    <w:bookmarkEnd w:id="55"/>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Stock-Based Compensation </w:t>
      </w:r>
      <w:r>
        <w:rPr>
          <w:rFonts w:ascii="Times New Roman" w:cs="Times New Roman" w:eastAsia="Times New Roman" w:hAnsi="Times New Roman"/>
          <w:sz w:val="20"/>
          <w:szCs w:val="20"/>
          <w:color w:val="auto"/>
        </w:rPr>
        <w:t>– The Company accounts for stock-based compensation under the provisions of ASC 718.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(See Note 13).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Net Income Per Common Share </w:t>
      </w:r>
      <w:r>
        <w:rPr>
          <w:rFonts w:ascii="Times New Roman" w:cs="Times New Roman" w:eastAsia="Times New Roman" w:hAnsi="Times New Roman"/>
          <w:sz w:val="20"/>
          <w:szCs w:val="20"/>
          <w:color w:val="auto"/>
        </w:rPr>
        <w:t>– In accordance with ASC 260, net income per common share, on a basic and diluted basis,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Concentration of Risk – </w:t>
      </w:r>
      <w:r>
        <w:rPr>
          <w:rFonts w:ascii="Times New Roman" w:cs="Times New Roman" w:eastAsia="Times New Roman" w:hAnsi="Times New Roman"/>
          <w:sz w:val="20"/>
          <w:szCs w:val="20"/>
          <w:color w:val="auto"/>
        </w:rPr>
        <w:t>Certain of the Company’s products utilize components (raw materials and/or co-packing services) from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take steps on an ongoing basis to secure the availability of alternative sources for such components and minimize the risk of any disruption in production.</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Coca-Cola Refreshments USA, Inc. (“CCR”), a customer of the Direct Store Delivery segment (“DSD”) with sales within specific markets in the United States and Canada, accounted for approximately 29%, 29% and 28% of the Company’s net sales for the years ended December 31, 2014, 2013 and 2012, respectively.</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Credit Risk </w:t>
      </w:r>
      <w:r>
        <w:rPr>
          <w:rFonts w:ascii="Times New Roman" w:cs="Times New Roman" w:eastAsia="Times New Roman" w:hAnsi="Times New Roman"/>
          <w:sz w:val="20"/>
          <w:szCs w:val="20"/>
          <w:color w:val="auto"/>
        </w:rPr>
        <w:t>– The Company sells its products nationally and internationally, primarily to full service beverage distributors, retail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grocery and specialty chains, wholesalers, club stores, drug chains, mass merchandisers, convenience chains, health food distributors and food service customers. The Company performs ongoing credit evaluations of its customers and generally does not require collateral. The Company maintains reserves for estimated credit losses, and historically, such losses have been within management’s expectations.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Fair Value of Financial Instruments </w:t>
      </w:r>
      <w:r>
        <w:rPr>
          <w:rFonts w:ascii="Times New Roman" w:cs="Times New Roman" w:eastAsia="Times New Roman" w:hAnsi="Times New Roman"/>
          <w:sz w:val="20"/>
          <w:szCs w:val="20"/>
          <w:color w:val="auto"/>
        </w:rPr>
        <w:t>– The carrying value of the Company’s financial instruments, including cash and cash equivalents,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accounts receivable, accounts payable and accrued liabilities, approximate fair value due to the relatively short maturity of the respective instruments.</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Use of Estimates </w:t>
      </w:r>
      <w:r>
        <w:rPr>
          <w:rFonts w:ascii="Times New Roman" w:cs="Times New Roman" w:eastAsia="Times New Roman" w:hAnsi="Times New Roman"/>
          <w:sz w:val="20"/>
          <w:szCs w:val="20"/>
          <w:color w:val="auto"/>
        </w:rPr>
        <w:t>– The preparation of the consolidated financial statements in conformity with GAAP requires management to make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Recent Accounting Pronouncements – </w:t>
      </w:r>
      <w:r>
        <w:rPr>
          <w:rFonts w:ascii="Times New Roman" w:cs="Times New Roman" w:eastAsia="Times New Roman" w:hAnsi="Times New Roman"/>
          <w:sz w:val="20"/>
          <w:szCs w:val="20"/>
          <w:color w:val="auto"/>
        </w:rPr>
        <w:t>In September 2014, the Company elected to early adopt FASB ASU No. 2014-08, “Presentation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The adoption of ASU 2014-08 did not have a material impact on the Company’s financial position, results of operations or liquidity.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In June 2014, the FASB issued ASU No. 2014-12, “Compensation—Stock Compensation (Topic 718): Accounting for Share-Based Payments When the Terms of an Award Provide That a Performance Target Could Be Achieved after the Requisite Service Period (a consensus of the FASB Emerging Issues Task Force)”. ASU 2014-12 clarifies that a performance target that affects vesting and that could be 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w:t>
      </w:r>
    </w:p>
    <w:p>
      <w:pPr>
        <w:sectPr>
          <w:pgSz w:w="11900" w:h="16838" w:orient="portrait"/>
          <w:cols w:equalWidth="0" w:num="1">
            <w:col w:w="11420"/>
          </w:cols>
          <w:pgMar w:left="240" w:top="114" w:right="239" w:bottom="0" w:gutter="0" w:footer="0" w:header="0"/>
        </w:sectPr>
      </w:pPr>
    </w:p>
    <w:bookmarkStart w:id="56" w:name="page57"/>
    <w:bookmarkEnd w:id="56"/>
    <w:p>
      <w:pPr>
        <w:jc w:val="both"/>
        <w:spacing w:after="0" w:line="245" w:lineRule="auto"/>
        <w:rPr>
          <w:sz w:val="20"/>
          <w:szCs w:val="20"/>
          <w:color w:val="auto"/>
        </w:rPr>
      </w:pPr>
      <w:r>
        <w:rPr>
          <w:rFonts w:ascii="Times New Roman" w:cs="Times New Roman" w:eastAsia="Times New Roman" w:hAnsi="Times New Roman"/>
          <w:sz w:val="20"/>
          <w:szCs w:val="20"/>
          <w:color w:val="auto"/>
        </w:rPr>
        <w:t>probable that the performance target will be achieved and should represent the compensation cost attributable to the period(s) for which the requisite service has already been rendered. ASU 2014-12 is effective for annual periods, and interim periods within those years, beginning after December 15, 2015. Early adoption is permitted.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The adoption of ASU 2014-12 is not expected to have a material impact on the Company’s financial position, results of operations or liquidity.</w:t>
      </w:r>
    </w:p>
    <w:p>
      <w:pPr>
        <w:spacing w:after="0" w:line="198" w:lineRule="exact"/>
        <w:rPr>
          <w:sz w:val="20"/>
          <w:szCs w:val="20"/>
          <w:color w:val="auto"/>
        </w:rPr>
      </w:pPr>
    </w:p>
    <w:p>
      <w:pPr>
        <w:jc w:val="both"/>
        <w:ind w:firstLine="492"/>
        <w:spacing w:after="0" w:line="247" w:lineRule="auto"/>
        <w:rPr>
          <w:sz w:val="20"/>
          <w:szCs w:val="20"/>
          <w:color w:val="auto"/>
        </w:rPr>
      </w:pPr>
      <w:r>
        <w:rPr>
          <w:rFonts w:ascii="Times New Roman" w:cs="Times New Roman" w:eastAsia="Times New Roman" w:hAnsi="Times New Roman"/>
          <w:sz w:val="20"/>
          <w:szCs w:val="20"/>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ind w:left="320" w:hanging="312"/>
        <w:spacing w:after="0"/>
        <w:tabs>
          <w:tab w:leader="none" w:pos="3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contract(s) with a customer; (2) identify the performance obligations in the contract; (3) determine the transaction price;</w:t>
      </w:r>
    </w:p>
    <w:p>
      <w:pPr>
        <w:jc w:val="both"/>
        <w:ind w:firstLine="8"/>
        <w:spacing w:after="0" w:line="241" w:lineRule="auto"/>
        <w:tabs>
          <w:tab w:leader="none" w:pos="31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 the transaction price to the contract’s performance obligations; and (5) recognize revenue when (or as) the entity satisfies a performance obligation. ASU 2014-09 is effective for reporting periods beginning after December 15, 2016 and can be adopted using either a full retrospective or modified approach. The Company is currently evaluating the impact of ASU 2014-09 on its financial position, results of operations and liquidity.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table summarizes the Company’s investments at: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left="43"/>
              <w:spacing w:after="0"/>
              <w:rPr>
                <w:sz w:val="20"/>
                <w:szCs w:val="20"/>
                <w:color w:val="auto"/>
              </w:rPr>
            </w:pPr>
            <w:r>
              <w:rPr>
                <w:rFonts w:ascii="Times New Roman" w:cs="Times New Roman" w:eastAsia="Times New Roman" w:hAnsi="Times New Roman"/>
                <w:sz w:val="15"/>
                <w:szCs w:val="15"/>
                <w:color w:val="auto"/>
              </w:rPr>
              <w:t>Continuous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left="43"/>
              <w:spacing w:after="0"/>
              <w:rPr>
                <w:sz w:val="20"/>
                <w:szCs w:val="20"/>
                <w:color w:val="auto"/>
              </w:rPr>
            </w:pPr>
            <w:r>
              <w:rPr>
                <w:rFonts w:ascii="Times New Roman" w:cs="Times New Roman" w:eastAsia="Times New Roman" w:hAnsi="Times New Roman"/>
                <w:sz w:val="15"/>
                <w:szCs w:val="15"/>
                <w:color w:val="auto"/>
              </w:rPr>
              <w:t>Continuous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18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left="4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left="43"/>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left="43"/>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80" w:type="dxa"/>
            <w:vAlign w:val="bottom"/>
          </w:tcPr>
          <w:p>
            <w:pPr>
              <w:spacing w:after="0"/>
              <w:rPr>
                <w:sz w:val="14"/>
                <w:szCs w:val="14"/>
                <w:color w:val="auto"/>
              </w:rPr>
            </w:pPr>
          </w:p>
        </w:tc>
        <w:tc>
          <w:tcPr>
            <w:tcW w:w="880" w:type="dxa"/>
            <w:vAlign w:val="bottom"/>
          </w:tcPr>
          <w:p>
            <w:pPr>
              <w:jc w:val="center"/>
              <w:ind w:right="203"/>
              <w:spacing w:after="0" w:line="162" w:lineRule="exact"/>
              <w:rPr>
                <w:sz w:val="20"/>
                <w:szCs w:val="20"/>
                <w:color w:val="auto"/>
              </w:rPr>
            </w:pPr>
            <w:r>
              <w:rPr>
                <w:rFonts w:ascii="Times New Roman" w:cs="Times New Roman" w:eastAsia="Times New Roman" w:hAnsi="Times New Roman"/>
                <w:sz w:val="15"/>
                <w:szCs w:val="15"/>
                <w:color w:val="auto"/>
                <w:w w:val="99"/>
              </w:rPr>
              <w:t>Fair</w:t>
            </w:r>
          </w:p>
        </w:tc>
        <w:tc>
          <w:tcPr>
            <w:tcW w:w="220" w:type="dxa"/>
            <w:vAlign w:val="bottom"/>
          </w:tcPr>
          <w:p>
            <w:pPr>
              <w:spacing w:after="0"/>
              <w:rPr>
                <w:sz w:val="14"/>
                <w:szCs w:val="14"/>
                <w:color w:val="auto"/>
              </w:rPr>
            </w:pPr>
          </w:p>
        </w:tc>
        <w:tc>
          <w:tcPr>
            <w:tcW w:w="980" w:type="dxa"/>
            <w:vAlign w:val="bottom"/>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less than 12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color w:val="auto"/>
              </w:rPr>
              <w:t>greater than 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December 31, 2014</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Amortized Cost</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5"/>
                <w:szCs w:val="15"/>
                <w:color w:val="auto"/>
              </w:rPr>
              <w:t>Gains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5"/>
                <w:szCs w:val="15"/>
                <w:color w:val="auto"/>
              </w:rPr>
              <w:t>Losses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5"/>
                <w:szCs w:val="15"/>
                <w:color w:val="auto"/>
              </w:rPr>
              <w:t>Value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5"/>
                <w:szCs w:val="15"/>
                <w:color w:val="auto"/>
              </w:rPr>
              <w:t>Months</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5"/>
                <w:szCs w:val="15"/>
                <w:color w:val="auto"/>
              </w:rPr>
              <w:t>Months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12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Held-to-Maturity</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Commercial paper</w:t>
            </w: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19,482</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24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8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19,480</w:t>
            </w:r>
          </w:p>
        </w:tc>
        <w:tc>
          <w:tcPr>
            <w:tcW w:w="1200" w:type="dxa"/>
            <w:vAlign w:val="bottom"/>
            <w:gridSpan w:val="2"/>
          </w:tcPr>
          <w:p>
            <w:pPr>
              <w:jc w:val="right"/>
              <w:ind w:right="7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7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Municipal securities</w:t>
            </w:r>
          </w:p>
        </w:tc>
        <w:tc>
          <w:tcPr>
            <w:tcW w:w="180" w:type="dxa"/>
            <w:vAlign w:val="bottom"/>
          </w:tcPr>
          <w:p>
            <w:pPr>
              <w:spacing w:after="0"/>
              <w:rPr>
                <w:sz w:val="14"/>
                <w:szCs w:val="14"/>
                <w:color w:val="auto"/>
              </w:rPr>
            </w:pPr>
          </w:p>
        </w:tc>
        <w:tc>
          <w:tcPr>
            <w:tcW w:w="12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744,542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744,647</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U.S. Government Agencies</w:t>
            </w:r>
          </w:p>
        </w:tc>
        <w:tc>
          <w:tcPr>
            <w:tcW w:w="180" w:type="dxa"/>
            <w:vAlign w:val="bottom"/>
          </w:tcPr>
          <w:p>
            <w:pPr>
              <w:spacing w:after="0"/>
              <w:rPr>
                <w:sz w:val="14"/>
                <w:szCs w:val="14"/>
                <w:color w:val="auto"/>
              </w:rPr>
            </w:pPr>
          </w:p>
        </w:tc>
        <w:tc>
          <w:tcPr>
            <w:tcW w:w="12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9,199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9,198</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Lont-term:</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20" w:type="dxa"/>
            <w:vAlign w:val="bottom"/>
          </w:tcPr>
          <w:p>
            <w:pPr>
              <w:ind w:left="180"/>
              <w:spacing w:after="0" w:line="158" w:lineRule="exact"/>
              <w:rPr>
                <w:sz w:val="20"/>
                <w:szCs w:val="20"/>
                <w:color w:val="auto"/>
              </w:rPr>
            </w:pPr>
            <w:r>
              <w:rPr>
                <w:rFonts w:ascii="Times New Roman" w:cs="Times New Roman" w:eastAsia="Times New Roman" w:hAnsi="Times New Roman"/>
                <w:sz w:val="15"/>
                <w:szCs w:val="15"/>
                <w:color w:val="auto"/>
              </w:rPr>
              <w:t>Municipal securities</w:t>
            </w:r>
          </w:p>
        </w:tc>
        <w:tc>
          <w:tcPr>
            <w:tcW w:w="180" w:type="dxa"/>
            <w:vAlign w:val="bottom"/>
          </w:tcPr>
          <w:p>
            <w:pPr>
              <w:spacing w:after="0"/>
              <w:rPr>
                <w:sz w:val="13"/>
                <w:szCs w:val="13"/>
                <w:color w:val="auto"/>
              </w:rPr>
            </w:pPr>
          </w:p>
        </w:tc>
        <w:tc>
          <w:tcPr>
            <w:tcW w:w="120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5"/>
                <w:szCs w:val="15"/>
                <w:color w:val="auto"/>
              </w:rPr>
              <w:t>42,940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10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43"/>
              <w:spacing w:after="0" w:line="158"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42,950</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12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Available-for-sale</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Variable rate demand notes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4,001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4,001</w:t>
            </w:r>
          </w:p>
        </w:tc>
        <w:tc>
          <w:tcPr>
            <w:tcW w:w="2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56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820,164</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112</w:t>
            </w: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820,276</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7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7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Trading</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Auction rate securities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3,910</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Long-term:</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Auction rate securities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54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824,186</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vMerge w:val="restart"/>
          </w:tcPr>
          <w:p>
            <w:pPr>
              <w:jc w:val="center"/>
              <w:ind w:left="43"/>
              <w:spacing w:after="0"/>
              <w:rPr>
                <w:sz w:val="20"/>
                <w:szCs w:val="20"/>
                <w:color w:val="auto"/>
              </w:rPr>
            </w:pPr>
            <w:r>
              <w:rPr>
                <w:rFonts w:ascii="Times New Roman" w:cs="Times New Roman" w:eastAsia="Times New Roman" w:hAnsi="Times New Roman"/>
                <w:sz w:val="15"/>
                <w:szCs w:val="15"/>
                <w:color w:val="auto"/>
              </w:rPr>
              <w:t>Continuous</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vMerge w:val="restart"/>
          </w:tcPr>
          <w:p>
            <w:pPr>
              <w:jc w:val="center"/>
              <w:ind w:left="43"/>
              <w:spacing w:after="0"/>
              <w:rPr>
                <w:sz w:val="20"/>
                <w:szCs w:val="20"/>
                <w:color w:val="auto"/>
              </w:rPr>
            </w:pPr>
            <w:r>
              <w:rPr>
                <w:rFonts w:ascii="Times New Roman" w:cs="Times New Roman" w:eastAsia="Times New Roman" w:hAnsi="Times New Roman"/>
                <w:sz w:val="15"/>
                <w:szCs w:val="15"/>
                <w:color w:val="auto"/>
              </w:rPr>
              <w:t>Continuous</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18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left="4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left="43"/>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left="43"/>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80" w:type="dxa"/>
            <w:vAlign w:val="bottom"/>
          </w:tcPr>
          <w:p>
            <w:pPr>
              <w:spacing w:after="0"/>
              <w:rPr>
                <w:sz w:val="14"/>
                <w:szCs w:val="14"/>
                <w:color w:val="auto"/>
              </w:rPr>
            </w:pPr>
          </w:p>
        </w:tc>
        <w:tc>
          <w:tcPr>
            <w:tcW w:w="880" w:type="dxa"/>
            <w:vAlign w:val="bottom"/>
          </w:tcPr>
          <w:p>
            <w:pPr>
              <w:jc w:val="center"/>
              <w:ind w:right="203"/>
              <w:spacing w:after="0" w:line="162" w:lineRule="exact"/>
              <w:rPr>
                <w:sz w:val="20"/>
                <w:szCs w:val="20"/>
                <w:color w:val="auto"/>
              </w:rPr>
            </w:pPr>
            <w:r>
              <w:rPr>
                <w:rFonts w:ascii="Times New Roman" w:cs="Times New Roman" w:eastAsia="Times New Roman" w:hAnsi="Times New Roman"/>
                <w:sz w:val="15"/>
                <w:szCs w:val="15"/>
                <w:color w:val="auto"/>
                <w:w w:val="99"/>
              </w:rPr>
              <w:t>Fair</w:t>
            </w:r>
          </w:p>
        </w:tc>
        <w:tc>
          <w:tcPr>
            <w:tcW w:w="220" w:type="dxa"/>
            <w:vAlign w:val="bottom"/>
          </w:tcPr>
          <w:p>
            <w:pPr>
              <w:spacing w:after="0"/>
              <w:rPr>
                <w:sz w:val="14"/>
                <w:szCs w:val="14"/>
                <w:color w:val="auto"/>
              </w:rPr>
            </w:pPr>
          </w:p>
        </w:tc>
        <w:tc>
          <w:tcPr>
            <w:tcW w:w="980" w:type="dxa"/>
            <w:vAlign w:val="bottom"/>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less than 12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color w:val="auto"/>
              </w:rPr>
              <w:t>greater than 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December 31, 2013</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Amortized Cost</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5"/>
                <w:szCs w:val="15"/>
                <w:color w:val="auto"/>
              </w:rPr>
              <w:t>Gains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5"/>
                <w:szCs w:val="15"/>
                <w:color w:val="auto"/>
              </w:rPr>
              <w:t>Losses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5"/>
                <w:szCs w:val="15"/>
                <w:color w:val="auto"/>
              </w:rPr>
              <w:t>Value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5"/>
                <w:szCs w:val="15"/>
                <w:color w:val="auto"/>
              </w:rPr>
              <w:t>Months</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5"/>
                <w:szCs w:val="15"/>
                <w:color w:val="auto"/>
              </w:rPr>
              <w:t>Months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12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Held-to-Maturity</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Certificates of deposit</w:t>
            </w: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22,045</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8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22,045</w:t>
            </w:r>
          </w:p>
        </w:tc>
        <w:tc>
          <w:tcPr>
            <w:tcW w:w="1200" w:type="dxa"/>
            <w:vAlign w:val="bottom"/>
            <w:gridSpan w:val="2"/>
          </w:tcPr>
          <w:p>
            <w:pPr>
              <w:jc w:val="right"/>
              <w:ind w:right="7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7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Commercial paper</w:t>
            </w:r>
          </w:p>
        </w:tc>
        <w:tc>
          <w:tcPr>
            <w:tcW w:w="180" w:type="dxa"/>
            <w:vAlign w:val="bottom"/>
          </w:tcPr>
          <w:p>
            <w:pPr>
              <w:spacing w:after="0"/>
              <w:rPr>
                <w:sz w:val="14"/>
                <w:szCs w:val="14"/>
                <w:color w:val="auto"/>
              </w:rPr>
            </w:pPr>
          </w:p>
        </w:tc>
        <w:tc>
          <w:tcPr>
            <w:tcW w:w="12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5,991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5,991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Municipal securities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367,819</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48</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367,867</w:t>
            </w:r>
          </w:p>
        </w:tc>
        <w:tc>
          <w:tcPr>
            <w:tcW w:w="2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56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395,855</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48</w:t>
            </w: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395,903</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7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7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Trading</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Auction rate securities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6,392</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Long-term:</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Auction rate securities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9,792</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56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412,087</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2014, realized gains or losses recognized on the sale of investments were not significant. During the year ended December 31, 2013, the Company recognized $2.5 million of realized gains on the sale of available-for-sale investments. Realized gains or losses on the sale of all other investments during the year ended December 31, 2013 were not significant. During the year ended December 31, 2012, realized gains or losses recognized on the sale of investments were not significant.</w:t>
      </w:r>
    </w:p>
    <w:p>
      <w:pPr>
        <w:sectPr>
          <w:pgSz w:w="11900" w:h="16838" w:orient="portrait"/>
          <w:cols w:equalWidth="0" w:num="1">
            <w:col w:w="11420"/>
          </w:cols>
          <w:pgMar w:left="240" w:top="118" w:right="239" w:bottom="311"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311" w:gutter="0" w:footer="0" w:header="0"/>
          <w:type w:val="continuous"/>
        </w:sectPr>
      </w:pPr>
    </w:p>
    <w:bookmarkStart w:id="57" w:name="page58"/>
    <w:bookmarkEnd w:id="57"/>
    <w:p>
      <w:pPr>
        <w:spacing w:after="0" w:line="10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a net gain through earnings on its trading securities as follows for the years ended: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1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Gain (loss) on transfer from available-for-sale to trading</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2014</w:t>
            </w:r>
          </w:p>
        </w:tc>
        <w:tc>
          <w:tcPr>
            <w:tcW w:w="4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2012</w:t>
            </w:r>
          </w:p>
        </w:tc>
        <w:tc>
          <w:tcPr>
            <w:tcW w:w="0" w:type="dxa"/>
            <w:vAlign w:val="bottom"/>
          </w:tcPr>
          <w:p>
            <w:pPr>
              <w:spacing w:after="0"/>
              <w:rPr>
                <w:sz w:val="1"/>
                <w:szCs w:val="1"/>
                <w:color w:val="auto"/>
              </w:rPr>
            </w:pPr>
          </w:p>
        </w:tc>
      </w:tr>
      <w:tr>
        <w:trPr>
          <w:trHeight w:val="200"/>
        </w:trPr>
        <w:tc>
          <w:tcPr>
            <w:tcW w:w="5120" w:type="dxa"/>
            <w:vAlign w:val="bottom"/>
            <w:vMerge w:val="continue"/>
          </w:tcPr>
          <w:p>
            <w:pPr>
              <w:spacing w:after="0"/>
              <w:rPr>
                <w:sz w:val="17"/>
                <w:szCs w:val="17"/>
                <w:color w:val="auto"/>
              </w:rPr>
            </w:pPr>
          </w:p>
        </w:tc>
        <w:tc>
          <w:tcPr>
            <w:tcW w:w="880" w:type="dxa"/>
            <w:vAlign w:val="bottom"/>
          </w:tcPr>
          <w:p>
            <w:pPr>
              <w:jc w:val="right"/>
              <w:ind w:right="5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Gain on trading securities sold</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(Loss) gain on trading securities held</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w:t>
            </w:r>
          </w:p>
        </w:tc>
        <w:tc>
          <w:tcPr>
            <w:tcW w:w="0" w:type="dxa"/>
            <w:vAlign w:val="bottom"/>
          </w:tcPr>
          <w:p>
            <w:pPr>
              <w:spacing w:after="0"/>
              <w:rPr>
                <w:sz w:val="1"/>
                <w:szCs w:val="1"/>
                <w:color w:val="auto"/>
              </w:rPr>
            </w:pPr>
          </w:p>
        </w:tc>
      </w:tr>
      <w:tr>
        <w:trPr>
          <w:trHeight w:val="23"/>
        </w:trPr>
        <w:tc>
          <w:tcPr>
            <w:tcW w:w="51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Gain on trading securites</w:t>
            </w: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880" w:type="dxa"/>
            <w:vAlign w:val="bottom"/>
            <w:tcBorders>
              <w:bottom w:val="single" w:sz="8" w:color="auto"/>
            </w:tcBorders>
          </w:tcPr>
          <w:p>
            <w:pPr>
              <w:jc w:val="right"/>
              <w:ind w:right="5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801</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1,071</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1,883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828"/>
        <w:spacing w:after="0" w:line="244" w:lineRule="auto"/>
        <w:rPr>
          <w:sz w:val="20"/>
          <w:szCs w:val="20"/>
          <w:color w:val="auto"/>
        </w:rPr>
      </w:pPr>
      <w:r>
        <w:rPr>
          <w:rFonts w:ascii="Times New Roman" w:cs="Times New Roman" w:eastAsia="Times New Roman" w:hAnsi="Times New Roman"/>
          <w:sz w:val="20"/>
          <w:szCs w:val="20"/>
          <w:color w:val="auto"/>
        </w:rPr>
        <w:t>The Company’s investments at December 31, 2014 and 2013 in certificates of deposit, commercial paper, municipal securities, U.S. government agency securities and/or variable rate demand notes (“VRSNs”)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 day, settlement basis. All of the Company’s investments at December 31, 2014 and 2013 in municipal, educational or other public body securities with an auction reset feature (“auction rate securities”) also carried investment grade credit ratings.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underlying contractual maturities of the Company’s investments at: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745"/>
              <w:spacing w:after="0"/>
              <w:rPr>
                <w:sz w:val="20"/>
                <w:szCs w:val="20"/>
                <w:color w:val="auto"/>
              </w:rPr>
            </w:pPr>
            <w:r>
              <w:rPr>
                <w:rFonts w:ascii="Times New Roman" w:cs="Times New Roman" w:eastAsia="Times New Roman" w:hAnsi="Times New Roman"/>
                <w:sz w:val="19"/>
                <w:szCs w:val="19"/>
                <w:color w:val="auto"/>
              </w:rPr>
              <w:t>December 31, 2014</w:t>
            </w:r>
          </w:p>
        </w:tc>
        <w:tc>
          <w:tcPr>
            <w:tcW w:w="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725"/>
              <w:spacing w:after="0"/>
              <w:rPr>
                <w:sz w:val="20"/>
                <w:szCs w:val="20"/>
                <w:color w:val="auto"/>
              </w:rPr>
            </w:pPr>
            <w:r>
              <w:rPr>
                <w:rFonts w:ascii="Times New Roman" w:cs="Times New Roman" w:eastAsia="Times New Roman" w:hAnsi="Times New Roman"/>
                <w:sz w:val="19"/>
                <w:szCs w:val="19"/>
                <w:color w:val="auto"/>
              </w:rPr>
              <w:t>December 31, 2013</w:t>
            </w:r>
          </w:p>
        </w:tc>
        <w:tc>
          <w:tcPr>
            <w:tcW w:w="0" w:type="dxa"/>
            <w:vAlign w:val="bottom"/>
          </w:tcPr>
          <w:p>
            <w:pPr>
              <w:spacing w:after="0"/>
              <w:rPr>
                <w:sz w:val="1"/>
                <w:szCs w:val="1"/>
                <w:color w:val="auto"/>
              </w:rPr>
            </w:pPr>
          </w:p>
        </w:tc>
      </w:tr>
      <w:tr>
        <w:trPr>
          <w:trHeight w:val="331"/>
        </w:trPr>
        <w:tc>
          <w:tcPr>
            <w:tcW w:w="47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Less than 1 year:</w:t>
            </w:r>
          </w:p>
        </w:tc>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Amortized Cost</w:t>
            </w:r>
          </w:p>
        </w:tc>
        <w:tc>
          <w:tcPr>
            <w:tcW w:w="2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Fair Value</w:t>
            </w:r>
          </w:p>
        </w:tc>
        <w:tc>
          <w:tcPr>
            <w:tcW w:w="176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Amortized Cost</w:t>
            </w:r>
          </w:p>
        </w:tc>
        <w:tc>
          <w:tcPr>
            <w:tcW w:w="240" w:type="dxa"/>
            <w:vAlign w:val="bottom"/>
          </w:tcPr>
          <w:p>
            <w:pPr>
              <w:spacing w:after="0"/>
              <w:rPr>
                <w:sz w:val="24"/>
                <w:szCs w:val="24"/>
                <w:color w:val="auto"/>
              </w:rPr>
            </w:pPr>
          </w:p>
        </w:tc>
        <w:tc>
          <w:tcPr>
            <w:tcW w:w="11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w w:val="99"/>
              </w:rPr>
              <w:t>Fair Value</w:t>
            </w:r>
          </w:p>
        </w:tc>
        <w:tc>
          <w:tcPr>
            <w:tcW w:w="0" w:type="dxa"/>
            <w:vAlign w:val="bottom"/>
          </w:tcPr>
          <w:p>
            <w:pPr>
              <w:spacing w:after="0"/>
              <w:rPr>
                <w:sz w:val="1"/>
                <w:szCs w:val="1"/>
                <w:color w:val="auto"/>
              </w:rPr>
            </w:pPr>
          </w:p>
        </w:tc>
      </w:tr>
      <w:tr>
        <w:trPr>
          <w:trHeight w:val="170"/>
        </w:trPr>
        <w:tc>
          <w:tcPr>
            <w:tcW w:w="4760" w:type="dxa"/>
            <w:vAlign w:val="bottom"/>
            <w:vMerge w:val="continue"/>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U.S. Treasuries</w:t>
            </w:r>
          </w:p>
        </w:tc>
        <w:tc>
          <w:tcPr>
            <w:tcW w:w="500" w:type="dxa"/>
            <w:vAlign w:val="bottom"/>
          </w:tcPr>
          <w:p>
            <w:pPr>
              <w:jc w:val="right"/>
              <w:ind w:right="205"/>
              <w:spacing w:after="0" w:line="216"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500" w:type="dxa"/>
            <w:vAlign w:val="bottom"/>
          </w:tcPr>
          <w:p>
            <w:pPr>
              <w:jc w:val="right"/>
              <w:ind w:right="205"/>
              <w:spacing w:after="0" w:line="216"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Certificates of deposit</w:t>
            </w: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22,045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22,045</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Commercial paper</w:t>
            </w: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19,482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19,480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5,991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5,991</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Municipal securities</w:t>
            </w: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744,542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744,647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367,819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367,867</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U.S. government agency securities</w:t>
            </w: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9,199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9,198</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Due 1 -10 years: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Municipal securities</w:t>
            </w: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42,940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42,950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Due 11 - 20 years: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Auction rate securities</w:t>
            </w: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3,910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3,910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11,102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11,102</w:t>
            </w:r>
          </w:p>
        </w:tc>
        <w:tc>
          <w:tcPr>
            <w:tcW w:w="0" w:type="dxa"/>
            <w:vAlign w:val="bottom"/>
          </w:tcPr>
          <w:p>
            <w:pPr>
              <w:spacing w:after="0"/>
              <w:rPr>
                <w:sz w:val="1"/>
                <w:szCs w:val="1"/>
                <w:color w:val="auto"/>
              </w:rPr>
            </w:pP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Due 21 - 30 years: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Variable rate demand notes</w:t>
            </w: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4,001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Auction rate securities</w:t>
            </w: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5,082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5,082</w:t>
            </w:r>
          </w:p>
        </w:tc>
        <w:tc>
          <w:tcPr>
            <w:tcW w:w="0" w:type="dxa"/>
            <w:vAlign w:val="bottom"/>
          </w:tcPr>
          <w:p>
            <w:pPr>
              <w:spacing w:after="0"/>
              <w:rPr>
                <w:sz w:val="1"/>
                <w:szCs w:val="1"/>
                <w:color w:val="auto"/>
              </w:rPr>
            </w:pPr>
          </w:p>
        </w:tc>
      </w:tr>
      <w:tr>
        <w:trPr>
          <w:trHeight w:val="26"/>
        </w:trPr>
        <w:tc>
          <w:tcPr>
            <w:tcW w:w="476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auto"/>
              </w:rPr>
              <w:t>Total</w:t>
            </w: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500" w:type="dxa"/>
            <w:vAlign w:val="bottom"/>
            <w:tcBorders>
              <w:bottom w:val="single" w:sz="8" w:color="auto"/>
            </w:tcBorders>
          </w:tcPr>
          <w:p>
            <w:pPr>
              <w:jc w:val="right"/>
              <w:ind w:right="205"/>
              <w:spacing w:after="0" w:line="210"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824,074</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824,186</w:t>
            </w:r>
          </w:p>
        </w:tc>
        <w:tc>
          <w:tcPr>
            <w:tcW w:w="280" w:type="dxa"/>
            <w:vAlign w:val="bottom"/>
          </w:tcPr>
          <w:p>
            <w:pPr>
              <w:spacing w:after="0"/>
              <w:rPr>
                <w:sz w:val="18"/>
                <w:szCs w:val="18"/>
                <w:color w:val="auto"/>
              </w:rPr>
            </w:pPr>
          </w:p>
        </w:tc>
        <w:tc>
          <w:tcPr>
            <w:tcW w:w="500" w:type="dxa"/>
            <w:vAlign w:val="bottom"/>
            <w:tcBorders>
              <w:bottom w:val="single" w:sz="8" w:color="auto"/>
            </w:tcBorders>
          </w:tcPr>
          <w:p>
            <w:pPr>
              <w:jc w:val="right"/>
              <w:ind w:right="205"/>
              <w:spacing w:after="0" w:line="210"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412,039</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412,087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0" w:hanging="592"/>
        <w:spacing w:after="0"/>
        <w:tabs>
          <w:tab w:leader="none" w:pos="6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90" w:lineRule="exact"/>
        <w:rPr>
          <w:sz w:val="20"/>
          <w:szCs w:val="20"/>
          <w:color w:val="auto"/>
        </w:rPr>
      </w:pPr>
    </w:p>
    <w:p>
      <w:pPr>
        <w:ind w:left="1220" w:hanging="546"/>
        <w:spacing w:after="0"/>
        <w:tabs>
          <w:tab w:leader="none" w:pos="12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Quoted prices in active markets for identical assets or liabilities.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left="660" w:hanging="328"/>
        <w:spacing w:after="0" w:line="256" w:lineRule="auto"/>
        <w:tabs>
          <w:tab w:leader="none" w:pos="59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Observable inputs other than Level 1 prices, such as quoted prices for similar assets or liabilities; quoted prices in markets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not active; or other inputs that are observable or can be corroborated by observable market data for substantially the full term of the related assets or liabilities.</w:t>
      </w:r>
    </w:p>
    <w:p>
      <w:pPr>
        <w:spacing w:after="0" w:line="182" w:lineRule="exact"/>
        <w:rPr>
          <w:rFonts w:ascii="Times New Roman" w:cs="Times New Roman" w:eastAsia="Times New Roman" w:hAnsi="Times New Roman"/>
          <w:sz w:val="20"/>
          <w:szCs w:val="20"/>
          <w:color w:val="auto"/>
        </w:rPr>
      </w:pPr>
    </w:p>
    <w:p>
      <w:pPr>
        <w:ind w:left="660" w:hanging="328"/>
        <w:spacing w:after="0" w:line="273" w:lineRule="auto"/>
        <w:tabs>
          <w:tab w:leader="none" w:pos="61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Unobservable inputs that are supported by little or no market activity and that are significant to the fair value of the assets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w:t>
      </w:r>
    </w:p>
    <w:p>
      <w:pPr>
        <w:spacing w:after="0" w:line="17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ASC 820 requires the use of observable market inputs (quoted market prices) when measuring fair value and requires a Level 1 quoted price to be used to measure fair value whenever possible.</w:t>
      </w:r>
    </w:p>
    <w:p>
      <w:pPr>
        <w:sectPr>
          <w:pgSz w:w="11900" w:h="16945" w:orient="portrait"/>
          <w:cols w:equalWidth="0" w:num="1">
            <w:col w:w="11420"/>
          </w:cols>
          <w:pgMar w:left="240" w:top="121" w:right="239" w:bottom="0" w:gutter="0" w:footer="0" w:header="0"/>
        </w:sectPr>
      </w:pPr>
    </w:p>
    <w:bookmarkStart w:id="58" w:name="page59"/>
    <w:bookmarkEnd w:id="58"/>
    <w:p>
      <w:pPr>
        <w:spacing w:after="0" w:line="2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Company’s held-to-maturity investments at amortized cost as well as the fair value of the Company’s financial assets that are recorded at fair value on a recurring basis, segregated among the appropriate levels within the fair value hierarchy at: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84"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December 31, 2014</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Level 1</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Level 2</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Level 3</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52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Cash</w:t>
            </w:r>
          </w:p>
        </w:tc>
        <w:tc>
          <w:tcPr>
            <w:tcW w:w="2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196,090</w:t>
            </w:r>
          </w:p>
        </w:tc>
        <w:tc>
          <w:tcPr>
            <w:tcW w:w="38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196,090</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106,928</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106,928</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19,482</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19,482</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Municipal securities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854,787</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854,787</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9,199</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9,199</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Variable rate demand notes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4,001</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4,001</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Auction rate securities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3,910</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3,910</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Put option related to auction rate securities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250</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250</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derivatives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(252)</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303,018</w:t>
            </w:r>
          </w:p>
        </w:tc>
        <w:tc>
          <w:tcPr>
            <w:tcW w:w="3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887,217</w:t>
            </w: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4,160</w:t>
            </w:r>
          </w:p>
        </w:tc>
        <w:tc>
          <w:tcPr>
            <w:tcW w:w="4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1,194,395</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303,018</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67,305</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370,323</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777,224</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3,910</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781,134</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83</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Investments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42,940</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42,940</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250</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250</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(335)</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303,018</w:t>
            </w:r>
          </w:p>
        </w:tc>
        <w:tc>
          <w:tcPr>
            <w:tcW w:w="3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887,217</w:t>
            </w: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4,160</w:t>
            </w:r>
          </w:p>
        </w:tc>
        <w:tc>
          <w:tcPr>
            <w:tcW w:w="4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1,194,395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December 31, 2013</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Level 1</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Level 2</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Level 3</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52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Cash</w:t>
            </w:r>
          </w:p>
        </w:tc>
        <w:tc>
          <w:tcPr>
            <w:tcW w:w="2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139,300</w:t>
            </w:r>
          </w:p>
        </w:tc>
        <w:tc>
          <w:tcPr>
            <w:tcW w:w="38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139,300</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60,102</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60,102</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22,045</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22,045</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5,991</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5,991</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Municipal securities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379,766</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379,766</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Auction rate securities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16,184</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16,184</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Put option related to auction rate securities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1,092</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1,092</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199,402</w:t>
            </w:r>
          </w:p>
        </w:tc>
        <w:tc>
          <w:tcPr>
            <w:tcW w:w="3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407,802</w:t>
            </w: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17,276</w:t>
            </w:r>
          </w:p>
        </w:tc>
        <w:tc>
          <w:tcPr>
            <w:tcW w:w="4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624,480</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199,402</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11,947</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211,349</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395,855</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6,392</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402,247</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Investments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9,792</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9,792</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486</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486</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606</w:t>
            </w:r>
          </w:p>
        </w:tc>
        <w:tc>
          <w:tcPr>
            <w:tcW w:w="4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606</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199,402</w:t>
            </w:r>
          </w:p>
        </w:tc>
        <w:tc>
          <w:tcPr>
            <w:tcW w:w="3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407,802</w:t>
            </w: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17,276</w:t>
            </w:r>
          </w:p>
        </w:tc>
        <w:tc>
          <w:tcPr>
            <w:tcW w:w="4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624,480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certificates of deposit, commercial paper, municipal securities, U.S. government agency securities and VRDNs, is based on other observable inputs, specifically a market approach which utilizes valuation models, pricing systems, mathematical tools and other relevant information for the same or similar securities. The Company’s valuation of its Level 2 foreign exchange contracts is based on quoted market prices of the same or similar instruments, adjusted for counterparty risk. There were no transfers between Level 1 and Level 2 measurements during the year ended December 31, 2014 or the year ended December 31, 2013, and there were no changes in the Company’s valuation techniques.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99"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w:t>
      </w:r>
    </w:p>
    <w:p>
      <w:pPr>
        <w:sectPr>
          <w:pgSz w:w="11900" w:h="16860" w:orient="portrait"/>
          <w:cols w:equalWidth="0" w:num="1">
            <w:col w:w="11420"/>
          </w:cols>
          <w:pgMar w:left="240" w:top="346" w:right="239" w:bottom="0" w:gutter="0" w:footer="0" w:header="0"/>
        </w:sectPr>
      </w:pPr>
    </w:p>
    <w:bookmarkStart w:id="59" w:name="page60"/>
    <w:bookmarkEnd w:id="59"/>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year ended December 31, 2014.</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presents quantitative information related to the significant unobservable inputs utilized in the Company’s Level 3 recurring fair value measurements as of December 31,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2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Auction Rate Securities</w:t>
            </w:r>
          </w:p>
        </w:tc>
        <w:tc>
          <w:tcPr>
            <w:tcW w:w="440" w:type="dxa"/>
            <w:vAlign w:val="bottom"/>
          </w:tcPr>
          <w:p>
            <w:pPr>
              <w:spacing w:after="0"/>
              <w:rPr>
                <w:sz w:val="21"/>
                <w:szCs w:val="21"/>
                <w:color w:val="auto"/>
              </w:rPr>
            </w:pPr>
          </w:p>
        </w:tc>
        <w:tc>
          <w:tcPr>
            <w:tcW w:w="258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Valuation Technique</w:t>
            </w:r>
          </w:p>
        </w:tc>
        <w:tc>
          <w:tcPr>
            <w:tcW w:w="240" w:type="dxa"/>
            <w:vAlign w:val="bottom"/>
          </w:tcPr>
          <w:p>
            <w:pPr>
              <w:spacing w:after="0"/>
              <w:rPr>
                <w:sz w:val="21"/>
                <w:szCs w:val="21"/>
                <w:color w:val="auto"/>
              </w:rPr>
            </w:pPr>
          </w:p>
        </w:tc>
        <w:tc>
          <w:tcPr>
            <w:tcW w:w="3140" w:type="dxa"/>
            <w:vAlign w:val="bottom"/>
            <w:gridSpan w:val="2"/>
          </w:tcPr>
          <w:p>
            <w:pPr>
              <w:ind w:left="700"/>
              <w:spacing w:after="0"/>
              <w:rPr>
                <w:sz w:val="20"/>
                <w:szCs w:val="20"/>
                <w:color w:val="auto"/>
              </w:rPr>
            </w:pPr>
            <w:r>
              <w:rPr>
                <w:rFonts w:ascii="Times New Roman" w:cs="Times New Roman" w:eastAsia="Times New Roman" w:hAnsi="Times New Roman"/>
                <w:sz w:val="19"/>
                <w:szCs w:val="19"/>
                <w:color w:val="auto"/>
              </w:rPr>
              <w:t>Unobservable Input</w:t>
            </w:r>
          </w:p>
        </w:tc>
        <w:tc>
          <w:tcPr>
            <w:tcW w:w="28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Range (Weighted-Average)</w:t>
            </w:r>
          </w:p>
        </w:tc>
        <w:tc>
          <w:tcPr>
            <w:tcW w:w="0" w:type="dxa"/>
            <w:vAlign w:val="bottom"/>
          </w:tcPr>
          <w:p>
            <w:pPr>
              <w:spacing w:after="0"/>
              <w:rPr>
                <w:sz w:val="1"/>
                <w:szCs w:val="1"/>
                <w:color w:val="auto"/>
              </w:rPr>
            </w:pPr>
          </w:p>
        </w:tc>
      </w:tr>
      <w:tr>
        <w:trPr>
          <w:trHeight w:val="183"/>
        </w:trPr>
        <w:tc>
          <w:tcPr>
            <w:tcW w:w="22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9"/>
                <w:szCs w:val="19"/>
                <w:color w:val="auto"/>
              </w:rPr>
              <w:t>Discounted cash flow</w:t>
            </w:r>
          </w:p>
        </w:tc>
        <w:tc>
          <w:tcPr>
            <w:tcW w:w="240" w:type="dxa"/>
            <w:vAlign w:val="bottom"/>
          </w:tcPr>
          <w:p>
            <w:pPr>
              <w:spacing w:after="0"/>
              <w:rPr>
                <w:sz w:val="15"/>
                <w:szCs w:val="15"/>
                <w:color w:val="auto"/>
              </w:rPr>
            </w:pPr>
          </w:p>
        </w:tc>
        <w:tc>
          <w:tcPr>
            <w:tcW w:w="290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9"/>
                <w:szCs w:val="19"/>
                <w:color w:val="auto"/>
              </w:rPr>
              <w:t>Maximum rate probability</w:t>
            </w:r>
          </w:p>
        </w:tc>
        <w:tc>
          <w:tcPr>
            <w:tcW w:w="240" w:type="dxa"/>
            <w:vAlign w:val="bottom"/>
          </w:tcPr>
          <w:p>
            <w:pPr>
              <w:spacing w:after="0"/>
              <w:rPr>
                <w:sz w:val="15"/>
                <w:szCs w:val="15"/>
                <w:color w:val="auto"/>
              </w:rPr>
            </w:pPr>
          </w:p>
        </w:tc>
        <w:tc>
          <w:tcPr>
            <w:tcW w:w="280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9"/>
                <w:szCs w:val="19"/>
                <w:color w:val="auto"/>
              </w:rPr>
              <w:t>1.37%-3.02% (2.58%)</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Principal returned probability</w:t>
            </w:r>
          </w:p>
        </w:tc>
        <w:tc>
          <w:tcPr>
            <w:tcW w:w="28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84.78%-94.07% (87.05%)</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Default probability</w:t>
            </w:r>
          </w:p>
        </w:tc>
        <w:tc>
          <w:tcPr>
            <w:tcW w:w="28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4.56%-12.21% (10.37%)</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Liquidity risk</w:t>
            </w:r>
          </w:p>
        </w:tc>
        <w:tc>
          <w:tcPr>
            <w:tcW w:w="28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2.50%-2.50% (2.50%)</w:t>
            </w: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Recovery rate</w:t>
            </w:r>
          </w:p>
        </w:tc>
        <w:tc>
          <w:tcPr>
            <w:tcW w:w="2800" w:type="dxa"/>
            <w:vAlign w:val="bottom"/>
          </w:tcPr>
          <w:p>
            <w:pPr>
              <w:spacing w:after="0"/>
              <w:rPr>
                <w:sz w:val="20"/>
                <w:szCs w:val="20"/>
                <w:color w:val="auto"/>
              </w:rPr>
            </w:pPr>
            <w:r>
              <w:rPr>
                <w:rFonts w:ascii="Times New Roman" w:cs="Times New Roman" w:eastAsia="Times New Roman" w:hAnsi="Times New Roman"/>
                <w:sz w:val="19"/>
                <w:szCs w:val="19"/>
                <w:color w:val="auto"/>
              </w:rPr>
              <w:t>60-60 (60)</w:t>
            </w:r>
          </w:p>
        </w:tc>
        <w:tc>
          <w:tcPr>
            <w:tcW w:w="0" w:type="dxa"/>
            <w:vAlign w:val="bottom"/>
          </w:tcPr>
          <w:p>
            <w:pPr>
              <w:spacing w:after="0"/>
              <w:rPr>
                <w:sz w:val="1"/>
                <w:szCs w:val="1"/>
                <w:color w:val="auto"/>
              </w:rPr>
            </w:pPr>
          </w:p>
        </w:tc>
      </w:tr>
      <w:tr>
        <w:trPr>
          <w:trHeight w:val="432"/>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Put Options</w:t>
            </w:r>
          </w:p>
        </w:tc>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9"/>
                <w:szCs w:val="19"/>
                <w:color w:val="auto"/>
              </w:rPr>
              <w:t>Discounted cash flow</w:t>
            </w: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Counterparty risk</w:t>
            </w:r>
          </w:p>
        </w:tc>
        <w:tc>
          <w:tcPr>
            <w:tcW w:w="2800" w:type="dxa"/>
            <w:vAlign w:val="bottom"/>
          </w:tcPr>
          <w:p>
            <w:pPr>
              <w:spacing w:after="0"/>
              <w:rPr>
                <w:sz w:val="20"/>
                <w:szCs w:val="20"/>
                <w:color w:val="auto"/>
              </w:rPr>
            </w:pPr>
            <w:r>
              <w:rPr>
                <w:rFonts w:ascii="Times New Roman" w:cs="Times New Roman" w:eastAsia="Times New Roman" w:hAnsi="Times New Roman"/>
                <w:sz w:val="19"/>
                <w:szCs w:val="19"/>
                <w:color w:val="auto"/>
              </w:rPr>
              <w:t>0.73%-0.79% (0.74%)</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At December 31, 2014, the Company held auction rate securities with a face value of $4.2 million (amortized cost basis of $3.9 million). A Level 3 valuation was performed on the Company’s auction rate securities as of December 31, 2014 resulting in a fair value of $3.9 million for the Company’s trading auction rate securities (after a $0.3 million impairment), which are included in short-term and long-term investments.</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w:t>
      </w:r>
    </w:p>
    <w:p>
      <w:pPr>
        <w:spacing w:after="0" w:line="1" w:lineRule="exact"/>
        <w:rPr>
          <w:sz w:val="20"/>
          <w:szCs w:val="20"/>
          <w:color w:val="auto"/>
        </w:rPr>
      </w:pPr>
    </w:p>
    <w:p>
      <w:pPr>
        <w:jc w:val="both"/>
        <w:ind w:firstLine="8"/>
        <w:spacing w:after="0"/>
        <w:tabs>
          <w:tab w:leader="none" w:pos="30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year ended December 31, 2014, $6.2 million of 2011 ARS Securities were redeemed at par through the exercise of a portion of the 2011 Put Option and $6.9 million of 2011 ARS Securities were redeemed at par through normal market channels ($2.3 million, $1.3 million and $3.7 million of 2011 ARS Securities were redeemed at par through normal market channels during the years ended December 31, 2013, 2012 and 2011, respectively). The 2011 Put Option does not meet the definition of derivative instruments under ASC 815. Therefore, the Company elected the fair value option under ASC 825-10 in accounting for the 2011 Put Option. As of December 31, 2014, the Company recorded $0.3 million as the fair market value of the 2011 Put Option, included in prepaid expenses and other current assets, as well as in other assets, in the consolidated balance sheet.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net effect of (i) the revaluation of the 2011 Put Option as of December 31, 2014; (ii) the redemption at par of certain 2011 ARS Securities; and (iii) the revaluation of the Company’s trading auction rate securities as of December 31, 2014 resulted in a loss of ($0.04) million, which is included in other (expense) income for the year ended December 31, 2014. The net effect of (i) the revaluation of the 2011 Put Option as of December 31, 2013; (ii) the redemption at par of certain 2011 ARS Securities; (iii) the revaluation of the Company’s trading auction rate securities as of December 31, 2013; and (iv) a recognized gain resulting from the redemption of previously other-than-temporary impaired securities; resulted in a gain of $2.7 million, which is included in other (expense) income for the year ended December 31, 2013.</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provides a summary reconciliation of the Company’s financial assets that are recorded at fair value on a recurring basis using significant unobservable inputs (Level 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80" w:type="dxa"/>
            <w:vAlign w:val="bottom"/>
            <w:gridSpan w:val="5"/>
          </w:tcPr>
          <w:p>
            <w:pPr>
              <w:ind w:left="500"/>
              <w:spacing w:after="0"/>
              <w:rPr>
                <w:sz w:val="20"/>
                <w:szCs w:val="20"/>
                <w:color w:val="auto"/>
              </w:rPr>
            </w:pPr>
            <w:r>
              <w:rPr>
                <w:rFonts w:ascii="Times New Roman" w:cs="Times New Roman" w:eastAsia="Times New Roman" w:hAnsi="Times New Roman"/>
                <w:sz w:val="20"/>
                <w:szCs w:val="20"/>
                <w:color w:val="auto"/>
              </w:rPr>
              <w:t>December 31, 2014</w:t>
            </w:r>
          </w:p>
        </w:tc>
        <w:tc>
          <w:tcPr>
            <w:tcW w:w="240" w:type="dxa"/>
            <w:vAlign w:val="bottom"/>
          </w:tcPr>
          <w:p>
            <w:pPr>
              <w:spacing w:after="0"/>
              <w:rPr>
                <w:sz w:val="21"/>
                <w:szCs w:val="21"/>
                <w:color w:val="auto"/>
              </w:rPr>
            </w:pPr>
          </w:p>
        </w:tc>
        <w:tc>
          <w:tcPr>
            <w:tcW w:w="2760" w:type="dxa"/>
            <w:vAlign w:val="bottom"/>
            <w:gridSpan w:val="4"/>
          </w:tcPr>
          <w:p>
            <w:pPr>
              <w:jc w:val="right"/>
              <w:ind w:right="621"/>
              <w:spacing w:after="0"/>
              <w:rPr>
                <w:sz w:val="20"/>
                <w:szCs w:val="20"/>
                <w:color w:val="auto"/>
              </w:rPr>
            </w:pPr>
            <w:r>
              <w:rPr>
                <w:rFonts w:ascii="Times New Roman" w:cs="Times New Roman" w:eastAsia="Times New Roman" w:hAnsi="Times New Roman"/>
                <w:sz w:val="20"/>
                <w:szCs w:val="20"/>
                <w:color w:val="auto"/>
              </w:rPr>
              <w:t>December 31, 2013</w:t>
            </w:r>
          </w:p>
        </w:tc>
        <w:tc>
          <w:tcPr>
            <w:tcW w:w="0" w:type="dxa"/>
            <w:vAlign w:val="bottom"/>
          </w:tcPr>
          <w:p>
            <w:pPr>
              <w:spacing w:after="0"/>
              <w:rPr>
                <w:sz w:val="1"/>
                <w:szCs w:val="1"/>
                <w:color w:val="auto"/>
              </w:rPr>
            </w:pPr>
          </w:p>
        </w:tc>
      </w:tr>
      <w:tr>
        <w:trPr>
          <w:trHeight w:val="200"/>
        </w:trPr>
        <w:tc>
          <w:tcPr>
            <w:tcW w:w="50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540"/>
              <w:spacing w:after="0" w:line="200" w:lineRule="exact"/>
              <w:rPr>
                <w:sz w:val="20"/>
                <w:szCs w:val="20"/>
                <w:color w:val="auto"/>
              </w:rPr>
            </w:pPr>
            <w:r>
              <w:rPr>
                <w:rFonts w:ascii="Times New Roman" w:cs="Times New Roman" w:eastAsia="Times New Roman" w:hAnsi="Times New Roman"/>
                <w:sz w:val="20"/>
                <w:szCs w:val="20"/>
                <w:color w:val="auto"/>
                <w:w w:val="99"/>
              </w:rPr>
              <w:t>Auction</w:t>
            </w: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520"/>
              <w:spacing w:after="0" w:line="200" w:lineRule="exact"/>
              <w:rPr>
                <w:sz w:val="20"/>
                <w:szCs w:val="20"/>
                <w:color w:val="auto"/>
              </w:rPr>
            </w:pPr>
            <w:r>
              <w:rPr>
                <w:rFonts w:ascii="Times New Roman" w:cs="Times New Roman" w:eastAsia="Times New Roman" w:hAnsi="Times New Roman"/>
                <w:sz w:val="20"/>
                <w:szCs w:val="20"/>
                <w:color w:val="auto"/>
                <w:w w:val="99"/>
              </w:rPr>
              <w:t>Auction</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20"/>
                <w:szCs w:val="20"/>
                <w:color w:val="auto"/>
                <w:w w:val="98"/>
              </w:rPr>
              <w:t>Rate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8"/>
              </w:rPr>
              <w:t>Rate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Opening Balance</w:t>
            </w:r>
          </w:p>
        </w:tc>
        <w:tc>
          <w:tcPr>
            <w:tcW w:w="24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8"/>
              </w:rPr>
              <w:t>Securities</w:t>
            </w:r>
          </w:p>
        </w:tc>
        <w:tc>
          <w:tcPr>
            <w:tcW w:w="22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Put Options</w:t>
            </w:r>
          </w:p>
        </w:tc>
        <w:tc>
          <w:tcPr>
            <w:tcW w:w="240" w:type="dxa"/>
            <w:vAlign w:val="bottom"/>
          </w:tcPr>
          <w:p>
            <w:pPr>
              <w:spacing w:after="0"/>
              <w:rPr>
                <w:sz w:val="21"/>
                <w:szCs w:val="21"/>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8"/>
              </w:rPr>
              <w:t>Securities</w:t>
            </w:r>
          </w:p>
        </w:tc>
        <w:tc>
          <w:tcPr>
            <w:tcW w:w="200" w:type="dxa"/>
            <w:vAlign w:val="bottom"/>
          </w:tcPr>
          <w:p>
            <w:pPr>
              <w:spacing w:after="0"/>
              <w:rPr>
                <w:sz w:val="21"/>
                <w:szCs w:val="21"/>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6"/>
              </w:rPr>
              <w:t>Put Options</w:t>
            </w:r>
          </w:p>
        </w:tc>
        <w:tc>
          <w:tcPr>
            <w:tcW w:w="0" w:type="dxa"/>
            <w:vAlign w:val="bottom"/>
          </w:tcPr>
          <w:p>
            <w:pPr>
              <w:spacing w:after="0"/>
              <w:rPr>
                <w:sz w:val="1"/>
                <w:szCs w:val="1"/>
                <w:color w:val="auto"/>
              </w:rPr>
            </w:pPr>
          </w:p>
        </w:tc>
      </w:tr>
      <w:tr>
        <w:trPr>
          <w:trHeight w:val="200"/>
        </w:trPr>
        <w:tc>
          <w:tcPr>
            <w:tcW w:w="5000" w:type="dxa"/>
            <w:vAlign w:val="bottom"/>
            <w:vMerge w:val="continue"/>
          </w:tcPr>
          <w:p>
            <w:pPr>
              <w:spacing w:after="0"/>
              <w:rPr>
                <w:sz w:val="17"/>
                <w:szCs w:val="17"/>
                <w:color w:val="auto"/>
              </w:rPr>
            </w:pPr>
          </w:p>
        </w:tc>
        <w:tc>
          <w:tcPr>
            <w:tcW w:w="2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16,184</w:t>
            </w:r>
          </w:p>
        </w:tc>
        <w:tc>
          <w:tcPr>
            <w:tcW w:w="300" w:type="dxa"/>
            <w:vAlign w:val="bottom"/>
          </w:tcPr>
          <w:p>
            <w:pPr>
              <w:spacing w:after="0"/>
              <w:rPr>
                <w:sz w:val="17"/>
                <w:szCs w:val="17"/>
                <w:color w:val="auto"/>
              </w:rPr>
            </w:pPr>
          </w:p>
        </w:tc>
        <w:tc>
          <w:tcPr>
            <w:tcW w:w="2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1,092</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23,156</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1,929</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Transfers into Level 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Transfers out of Level 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gains (losses) for the period: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Included in earnings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0" w:type="dxa"/>
            <w:vAlign w:val="bottom"/>
          </w:tcPr>
          <w:p>
            <w:pPr>
              <w:spacing w:after="0"/>
              <w:rPr>
                <w:sz w:val="1"/>
                <w:szCs w:val="1"/>
                <w:color w:val="auto"/>
              </w:rPr>
            </w:pPr>
          </w:p>
        </w:tc>
      </w:tr>
      <w:tr>
        <w:trPr>
          <w:trHeight w:val="258"/>
        </w:trPr>
        <w:tc>
          <w:tcPr>
            <w:tcW w:w="5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Included in other comprehensive income</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(2,482)</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ectPr>
          <w:pgSz w:w="11900" w:h="16890" w:orient="portrait"/>
          <w:cols w:equalWidth="0" w:num="1">
            <w:col w:w="11420"/>
          </w:cols>
          <w:pgMar w:left="240" w:top="108" w:right="239" w:bottom="0" w:gutter="0" w:footer="0" w:header="0"/>
        </w:sectPr>
      </w:pPr>
    </w:p>
    <w:bookmarkStart w:id="60" w:name="page61"/>
    <w:bookmarkEnd w:id="60"/>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Settlements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(13,075)</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(8,043)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Closing Balance</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44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3,910</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ind w:right="3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250</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ind w:left="260"/>
              <w:spacing w:after="0" w:line="223" w:lineRule="exact"/>
              <w:rPr>
                <w:sz w:val="20"/>
                <w:szCs w:val="20"/>
                <w:color w:val="auto"/>
              </w:rPr>
            </w:pPr>
            <w:r>
              <w:rPr>
                <w:rFonts w:ascii="Times New Roman" w:cs="Times New Roman" w:eastAsia="Times New Roman" w:hAnsi="Times New Roman"/>
                <w:sz w:val="20"/>
                <w:szCs w:val="20"/>
                <w:color w:val="auto"/>
              </w:rPr>
              <w:t>16,184</w:t>
            </w:r>
          </w:p>
        </w:tc>
        <w:tc>
          <w:tcPr>
            <w:tcW w:w="280" w:type="dxa"/>
            <w:vAlign w:val="bottom"/>
          </w:tcPr>
          <w:p>
            <w:pPr>
              <w:spacing w:after="0"/>
              <w:rPr>
                <w:sz w:val="19"/>
                <w:szCs w:val="19"/>
                <w:color w:val="auto"/>
              </w:rPr>
            </w:pPr>
          </w:p>
        </w:tc>
        <w:tc>
          <w:tcPr>
            <w:tcW w:w="520" w:type="dxa"/>
            <w:vAlign w:val="bottom"/>
            <w:tcBorders>
              <w:bottom w:val="single" w:sz="8" w:color="auto"/>
            </w:tcBorders>
          </w:tcPr>
          <w:p>
            <w:pPr>
              <w:jc w:val="right"/>
              <w:ind w:right="2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1,092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INSTRUMENTS AND HEDGING ACTIVITIES</w:t>
      </w:r>
    </w:p>
    <w:p>
      <w:pPr>
        <w:spacing w:after="0" w:line="2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 is exposed to foreign currency exchange rate risks related primarily to its foreign business operations. During the year ended December 31, 2014,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the Company as of December 31, 2014 have terms of one month or less. The Company does not enter into forward currency exchange contracts for speculation or trading purposes.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has not designated its foreign currency exchange contracts as hedge transactions under ASC 815. Therefore, gains and losses on the Company’s foreign currency exchange contracts are recognized in interest and other (expense) income, net, in the consolidated statements of income, and are largely offset by the changes in the fair value of the underlying economically hedged item.</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notional amount and fair value of all outstanding foreign currency derivative instruments in the consolidated balance sheets consist of the following at: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5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0"/>
                <w:szCs w:val="20"/>
                <w:color w:val="auto"/>
                <w:w w:val="99"/>
              </w:rPr>
              <w:t>Derivatives not designated as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color w:val="auto"/>
              </w:rPr>
              <w:t>December 31, 2014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8"/>
              </w:rPr>
              <w:t>hedging instruments under</w:t>
            </w:r>
          </w:p>
        </w:tc>
        <w:tc>
          <w:tcPr>
            <w:tcW w:w="2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Notional</w:t>
            </w:r>
          </w:p>
        </w:tc>
        <w:tc>
          <w:tcPr>
            <w:tcW w:w="340" w:type="dxa"/>
            <w:vAlign w:val="bottom"/>
          </w:tcPr>
          <w:p>
            <w:pPr>
              <w:spacing w:after="0"/>
              <w:rPr>
                <w:sz w:val="19"/>
                <w:szCs w:val="19"/>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Fair</w:t>
            </w: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4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6"/>
              </w:rPr>
              <w:t>FASB ASC 815-20</w:t>
            </w:r>
          </w:p>
        </w:tc>
        <w:tc>
          <w:tcPr>
            <w:tcW w:w="280" w:type="dxa"/>
            <w:vAlign w:val="bottom"/>
          </w:tcPr>
          <w:p>
            <w:pPr>
              <w:spacing w:after="0"/>
              <w:rPr>
                <w:sz w:val="21"/>
                <w:szCs w:val="21"/>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Amount</w:t>
            </w:r>
          </w:p>
        </w:tc>
        <w:tc>
          <w:tcPr>
            <w:tcW w:w="340" w:type="dxa"/>
            <w:vAlign w:val="bottom"/>
          </w:tcPr>
          <w:p>
            <w:pPr>
              <w:spacing w:after="0"/>
              <w:rPr>
                <w:sz w:val="21"/>
                <w:szCs w:val="21"/>
                <w:color w:val="auto"/>
              </w:rPr>
            </w:pPr>
          </w:p>
        </w:tc>
        <w:tc>
          <w:tcPr>
            <w:tcW w:w="10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Value</w:t>
            </w:r>
          </w:p>
        </w:tc>
        <w:tc>
          <w:tcPr>
            <w:tcW w:w="300" w:type="dxa"/>
            <w:vAlign w:val="bottom"/>
          </w:tcPr>
          <w:p>
            <w:pPr>
              <w:spacing w:after="0"/>
              <w:rPr>
                <w:sz w:val="21"/>
                <w:szCs w:val="21"/>
                <w:color w:val="auto"/>
              </w:rPr>
            </w:pPr>
          </w:p>
        </w:tc>
        <w:tc>
          <w:tcPr>
            <w:tcW w:w="25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Balance Sheet Location</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Assets:</w:t>
            </w:r>
          </w:p>
        </w:tc>
        <w:tc>
          <w:tcPr>
            <w:tcW w:w="3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4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CAD/pay USD</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19,940</w:t>
            </w:r>
          </w:p>
        </w:tc>
        <w:tc>
          <w:tcPr>
            <w:tcW w:w="280" w:type="dxa"/>
            <w:vAlign w:val="bottom"/>
          </w:tcPr>
          <w:p>
            <w:pPr>
              <w:spacing w:after="0"/>
              <w:rPr>
                <w:sz w:val="22"/>
                <w:szCs w:val="22"/>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28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Accounts receivable, net</w:t>
            </w:r>
          </w:p>
        </w:tc>
        <w:tc>
          <w:tcPr>
            <w:tcW w:w="0" w:type="dxa"/>
            <w:vAlign w:val="bottom"/>
          </w:tcPr>
          <w:p>
            <w:pPr>
              <w:spacing w:after="0"/>
              <w:rPr>
                <w:sz w:val="1"/>
                <w:szCs w:val="1"/>
                <w:color w:val="auto"/>
              </w:rPr>
            </w:pPr>
          </w:p>
        </w:tc>
      </w:tr>
      <w:tr>
        <w:trPr>
          <w:trHeight w:val="430"/>
        </w:trPr>
        <w:tc>
          <w:tcPr>
            <w:tcW w:w="5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EUR/pay USD</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13,265</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8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AUD</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8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JPY</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28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ZAR</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8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MXN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8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CLP</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8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4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COP</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2,845</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8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had no foreign currency exchange contracts outstanding at December 31, 2013.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gain on derivative instruments in the consolidated statements of income were as follows:</w:t>
      </w:r>
    </w:p>
    <w:p>
      <w:pPr>
        <w:spacing w:after="0" w:line="200" w:lineRule="exact"/>
        <w:rPr>
          <w:sz w:val="20"/>
          <w:szCs w:val="20"/>
          <w:color w:val="auto"/>
        </w:rPr>
      </w:pPr>
    </w:p>
    <w:p>
      <w:pPr>
        <w:spacing w:after="0" w:line="232"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20"/>
          <w:szCs w:val="20"/>
          <w:color w:val="auto"/>
        </w:rPr>
        <w:t>Amount of gain</w:t>
      </w:r>
    </w:p>
    <w:p>
      <w:pPr>
        <w:spacing w:after="0" w:line="2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20"/>
          <w:szCs w:val="20"/>
          <w:color w:val="auto"/>
        </w:rPr>
        <w:t>recognized in income on</w:t>
      </w:r>
    </w:p>
    <w:p>
      <w:pPr>
        <w:jc w:val="center"/>
        <w:ind w:left="7760"/>
        <w:spacing w:after="0"/>
        <w:rPr>
          <w:sz w:val="20"/>
          <w:szCs w:val="20"/>
          <w:color w:val="auto"/>
        </w:rPr>
      </w:pPr>
      <w:r>
        <w:rPr>
          <w:rFonts w:ascii="Times New Roman" w:cs="Times New Roman" w:eastAsia="Times New Roman" w:hAnsi="Times New Roman"/>
          <w:sz w:val="20"/>
          <w:szCs w:val="20"/>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0</wp:posOffset>
            </wp:positionV>
            <wp:extent cx="21869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ind w:left="9140"/>
        <w:spacing w:after="0"/>
        <w:rPr>
          <w:sz w:val="20"/>
          <w:szCs w:val="20"/>
          <w:color w:val="auto"/>
        </w:rPr>
      </w:pPr>
      <w:r>
        <w:rPr>
          <w:rFonts w:ascii="Times New Roman" w:cs="Times New Roman" w:eastAsia="Times New Roman" w:hAnsi="Times New Roman"/>
          <w:sz w:val="20"/>
          <w:szCs w:val="20"/>
          <w:color w:val="auto"/>
        </w:rPr>
        <w:t>Year ended</w:t>
      </w:r>
    </w:p>
    <w:tbl>
      <w:tblPr>
        <w:tblLayout w:type="fixed"/>
        <w:tblInd w:w="0" w:type="dxa"/>
        <w:tblCellMar>
          <w:top w:w="0" w:type="dxa"/>
          <w:left w:w="0" w:type="dxa"/>
          <w:bottom w:w="0" w:type="dxa"/>
          <w:right w:w="0" w:type="dxa"/>
        </w:tblCellMar>
      </w:tblPr>
      <w:tr>
        <w:trPr>
          <w:trHeight w:val="194"/>
        </w:trPr>
        <w:tc>
          <w:tcPr>
            <w:tcW w:w="39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20"/>
                <w:szCs w:val="20"/>
                <w:color w:val="auto"/>
                <w:w w:val="99"/>
              </w:rPr>
              <w:t>Derivatives not designated as</w:t>
            </w:r>
          </w:p>
        </w:tc>
        <w:tc>
          <w:tcPr>
            <w:tcW w:w="394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20"/>
                <w:szCs w:val="20"/>
                <w:color w:val="auto"/>
                <w:w w:val="99"/>
              </w:rPr>
              <w:t>Location of gain</w:t>
            </w: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r>
      <w:tr>
        <w:trPr>
          <w:trHeight w:val="230"/>
        </w:trPr>
        <w:tc>
          <w:tcPr>
            <w:tcW w:w="392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8"/>
              </w:rPr>
              <w:t>hedging instruments under</w:t>
            </w:r>
          </w:p>
        </w:tc>
        <w:tc>
          <w:tcPr>
            <w:tcW w:w="39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9"/>
              </w:rPr>
              <w:t>recognized in income on</w:t>
            </w:r>
          </w:p>
        </w:tc>
        <w:tc>
          <w:tcPr>
            <w:tcW w:w="220" w:type="dxa"/>
            <w:vAlign w:val="bottom"/>
          </w:tcPr>
          <w:p>
            <w:pPr>
              <w:spacing w:after="0"/>
              <w:rPr>
                <w:sz w:val="19"/>
                <w:szCs w:val="19"/>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9"/>
              </w:rPr>
              <w:t>December 31,</w:t>
            </w:r>
          </w:p>
        </w:tc>
        <w:tc>
          <w:tcPr>
            <w:tcW w:w="200" w:type="dxa"/>
            <w:vAlign w:val="bottom"/>
          </w:tcPr>
          <w:p>
            <w:pPr>
              <w:spacing w:after="0"/>
              <w:rPr>
                <w:sz w:val="19"/>
                <w:szCs w:val="19"/>
                <w:color w:val="auto"/>
              </w:rPr>
            </w:pPr>
          </w:p>
        </w:tc>
        <w:tc>
          <w:tcPr>
            <w:tcW w:w="1380" w:type="dxa"/>
            <w:vAlign w:val="bottom"/>
          </w:tcPr>
          <w:p>
            <w:pPr>
              <w:jc w:val="center"/>
              <w:ind w:right="124"/>
              <w:spacing w:after="0"/>
              <w:rPr>
                <w:sz w:val="20"/>
                <w:szCs w:val="20"/>
                <w:color w:val="auto"/>
              </w:rPr>
            </w:pPr>
            <w:r>
              <w:rPr>
                <w:rFonts w:ascii="Times New Roman" w:cs="Times New Roman" w:eastAsia="Times New Roman" w:hAnsi="Times New Roman"/>
                <w:sz w:val="20"/>
                <w:szCs w:val="20"/>
                <w:color w:val="auto"/>
                <w:w w:val="99"/>
              </w:rPr>
              <w:t>December 31,</w:t>
            </w:r>
          </w:p>
        </w:tc>
      </w:tr>
      <w:tr>
        <w:trPr>
          <w:trHeight w:val="252"/>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FASB ASC 815-20</w:t>
            </w:r>
          </w:p>
        </w:tc>
        <w:tc>
          <w:tcPr>
            <w:tcW w:w="300" w:type="dxa"/>
            <w:vAlign w:val="bottom"/>
          </w:tcPr>
          <w:p>
            <w:pPr>
              <w:spacing w:after="0"/>
              <w:rPr>
                <w:sz w:val="21"/>
                <w:szCs w:val="21"/>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derivatives</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20"/>
                <w:szCs w:val="20"/>
                <w:color w:val="auto"/>
              </w:rPr>
              <w:t>2014</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20"/>
                <w:szCs w:val="20"/>
                <w:color w:val="auto"/>
              </w:rPr>
              <w:t>2013</w:t>
            </w:r>
          </w:p>
        </w:tc>
      </w:tr>
      <w:tr>
        <w:trPr>
          <w:trHeight w:val="331"/>
        </w:trPr>
        <w:tc>
          <w:tcPr>
            <w:tcW w:w="3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3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Interest and other income (expense), net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3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40" w:hanging="632"/>
        <w:spacing w:after="0"/>
        <w:tabs>
          <w:tab w:leader="none" w:pos="6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 consist of the following at December 31:</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52"/>
        </w:trPr>
        <w:tc>
          <w:tcPr>
            <w:tcW w:w="7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2014</w:t>
            </w:r>
          </w:p>
        </w:tc>
        <w:tc>
          <w:tcPr>
            <w:tcW w:w="3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2013</w:t>
            </w:r>
          </w:p>
        </w:tc>
        <w:tc>
          <w:tcPr>
            <w:tcW w:w="0" w:type="dxa"/>
            <w:vAlign w:val="bottom"/>
          </w:tcPr>
          <w:p>
            <w:pPr>
              <w:spacing w:after="0"/>
              <w:rPr>
                <w:sz w:val="1"/>
                <w:szCs w:val="1"/>
                <w:color w:val="auto"/>
              </w:rPr>
            </w:pPr>
          </w:p>
        </w:tc>
      </w:tr>
      <w:tr>
        <w:trPr>
          <w:trHeight w:val="200"/>
        </w:trPr>
        <w:tc>
          <w:tcPr>
            <w:tcW w:w="7420" w:type="dxa"/>
            <w:vAlign w:val="bottom"/>
            <w:vMerge w:val="continue"/>
          </w:tcPr>
          <w:p>
            <w:pPr>
              <w:spacing w:after="0"/>
              <w:rPr>
                <w:sz w:val="17"/>
                <w:szCs w:val="17"/>
                <w:color w:val="auto"/>
              </w:rPr>
            </w:pPr>
          </w:p>
        </w:tc>
        <w:tc>
          <w:tcPr>
            <w:tcW w:w="34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59,938</w:t>
            </w:r>
          </w:p>
        </w:tc>
        <w:tc>
          <w:tcPr>
            <w:tcW w:w="360" w:type="dxa"/>
            <w:vAlign w:val="bottom"/>
          </w:tcPr>
          <w:p>
            <w:pPr>
              <w:spacing w:after="0"/>
              <w:rPr>
                <w:sz w:val="17"/>
                <w:szCs w:val="17"/>
                <w:color w:val="auto"/>
              </w:rPr>
            </w:pPr>
          </w:p>
        </w:tc>
        <w:tc>
          <w:tcPr>
            <w:tcW w:w="36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68,088</w:t>
            </w:r>
          </w:p>
        </w:tc>
        <w:tc>
          <w:tcPr>
            <w:tcW w:w="0" w:type="dxa"/>
            <w:vAlign w:val="bottom"/>
          </w:tcPr>
          <w:p>
            <w:pPr>
              <w:spacing w:after="0"/>
              <w:rPr>
                <w:sz w:val="1"/>
                <w:szCs w:val="1"/>
                <w:color w:val="auto"/>
              </w:rPr>
            </w:pPr>
          </w:p>
        </w:tc>
      </w:tr>
      <w:tr>
        <w:trPr>
          <w:trHeight w:val="252"/>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114,635</w:t>
            </w:r>
          </w:p>
        </w:tc>
        <w:tc>
          <w:tcPr>
            <w:tcW w:w="3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153,361</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174,573</w:t>
            </w:r>
          </w:p>
        </w:tc>
        <w:tc>
          <w:tcPr>
            <w:tcW w:w="36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221,449</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116" w:right="239" w:bottom="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7"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Net</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consist of the following at December 31:</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2"/>
        </w:trPr>
        <w:tc>
          <w:tcPr>
            <w:tcW w:w="7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Land</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2014</w:t>
            </w:r>
          </w:p>
        </w:tc>
        <w:tc>
          <w:tcPr>
            <w:tcW w:w="4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2013</w:t>
            </w:r>
          </w:p>
        </w:tc>
        <w:tc>
          <w:tcPr>
            <w:tcW w:w="0" w:type="dxa"/>
            <w:vAlign w:val="bottom"/>
          </w:tcPr>
          <w:p>
            <w:pPr>
              <w:spacing w:after="0"/>
              <w:rPr>
                <w:sz w:val="1"/>
                <w:szCs w:val="1"/>
                <w:color w:val="auto"/>
              </w:rPr>
            </w:pPr>
          </w:p>
        </w:tc>
      </w:tr>
      <w:tr>
        <w:trPr>
          <w:trHeight w:val="200"/>
        </w:trPr>
        <w:tc>
          <w:tcPr>
            <w:tcW w:w="7400" w:type="dxa"/>
            <w:vAlign w:val="bottom"/>
            <w:vMerge w:val="continue"/>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6,792</w:t>
            </w:r>
          </w:p>
        </w:tc>
        <w:tc>
          <w:tcPr>
            <w:tcW w:w="420" w:type="dxa"/>
            <w:vAlign w:val="bottom"/>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5,382</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2,796</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3,371</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3,474</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Office and computer equipment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14,135</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1,317</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Equipment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84,263</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62,552</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Building</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37,311</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33,468</w:t>
            </w:r>
          </w:p>
        </w:tc>
        <w:tc>
          <w:tcPr>
            <w:tcW w:w="0" w:type="dxa"/>
            <w:vAlign w:val="bottom"/>
          </w:tcPr>
          <w:p>
            <w:pPr>
              <w:spacing w:after="0"/>
              <w:rPr>
                <w:sz w:val="1"/>
                <w:szCs w:val="1"/>
                <w:color w:val="auto"/>
              </w:rPr>
            </w:pPr>
          </w:p>
        </w:tc>
      </w:tr>
      <w:tr>
        <w:trPr>
          <w:trHeight w:val="252"/>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Vehicles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27,813</w:t>
            </w:r>
          </w:p>
        </w:tc>
        <w:tc>
          <w:tcPr>
            <w:tcW w:w="4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30,442</w:t>
            </w:r>
          </w:p>
        </w:tc>
        <w:tc>
          <w:tcPr>
            <w:tcW w:w="0" w:type="dxa"/>
            <w:vAlign w:val="bottom"/>
          </w:tcPr>
          <w:p>
            <w:pPr>
              <w:spacing w:after="0"/>
              <w:rPr>
                <w:sz w:val="1"/>
                <w:szCs w:val="1"/>
                <w:color w:val="auto"/>
              </w:rPr>
            </w:pPr>
          </w:p>
        </w:tc>
      </w:tr>
      <w:tr>
        <w:trPr>
          <w:trHeight w:val="200"/>
        </w:trPr>
        <w:tc>
          <w:tcPr>
            <w:tcW w:w="7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173,735</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152,466</w:t>
            </w:r>
          </w:p>
        </w:tc>
        <w:tc>
          <w:tcPr>
            <w:tcW w:w="0" w:type="dxa"/>
            <w:vAlign w:val="bottom"/>
          </w:tcPr>
          <w:p>
            <w:pPr>
              <w:spacing w:after="0"/>
              <w:rPr>
                <w:sz w:val="1"/>
                <w:szCs w:val="1"/>
                <w:color w:val="auto"/>
              </w:rPr>
            </w:pPr>
          </w:p>
        </w:tc>
      </w:tr>
      <w:tr>
        <w:trPr>
          <w:trHeight w:val="252"/>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(83,579)</w:t>
            </w:r>
          </w:p>
        </w:tc>
        <w:tc>
          <w:tcPr>
            <w:tcW w:w="4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(64,323)</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90,156</w:t>
            </w:r>
          </w:p>
        </w:tc>
        <w:tc>
          <w:tcPr>
            <w:tcW w:w="42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88,143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INTANGIBLES, Net</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provides additional information concerning the Company’s intangibles as of December 31:</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2"/>
        </w:trPr>
        <w:tc>
          <w:tcPr>
            <w:tcW w:w="7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Amortizing intangibles</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2014</w:t>
            </w:r>
          </w:p>
        </w:tc>
        <w:tc>
          <w:tcPr>
            <w:tcW w:w="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2013</w:t>
            </w:r>
          </w:p>
        </w:tc>
        <w:tc>
          <w:tcPr>
            <w:tcW w:w="0" w:type="dxa"/>
            <w:vAlign w:val="bottom"/>
          </w:tcPr>
          <w:p>
            <w:pPr>
              <w:spacing w:after="0"/>
              <w:rPr>
                <w:sz w:val="1"/>
                <w:szCs w:val="1"/>
                <w:color w:val="auto"/>
              </w:rPr>
            </w:pPr>
          </w:p>
        </w:tc>
      </w:tr>
      <w:tr>
        <w:trPr>
          <w:trHeight w:val="200"/>
        </w:trPr>
        <w:tc>
          <w:tcPr>
            <w:tcW w:w="7140" w:type="dxa"/>
            <w:vAlign w:val="bottom"/>
            <w:vMerge w:val="continue"/>
          </w:tcPr>
          <w:p>
            <w:pPr>
              <w:spacing w:after="0"/>
              <w:rPr>
                <w:sz w:val="17"/>
                <w:szCs w:val="17"/>
                <w:color w:val="auto"/>
              </w:rPr>
            </w:pPr>
          </w:p>
        </w:tc>
        <w:tc>
          <w:tcPr>
            <w:tcW w:w="38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233</w:t>
            </w:r>
          </w:p>
        </w:tc>
        <w:tc>
          <w:tcPr>
            <w:tcW w:w="420" w:type="dxa"/>
            <w:vAlign w:val="bottom"/>
          </w:tcPr>
          <w:p>
            <w:pPr>
              <w:spacing w:after="0"/>
              <w:rPr>
                <w:sz w:val="17"/>
                <w:szCs w:val="17"/>
                <w:color w:val="auto"/>
              </w:rPr>
            </w:pPr>
          </w:p>
        </w:tc>
        <w:tc>
          <w:tcPr>
            <w:tcW w:w="36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1,076</w:t>
            </w:r>
          </w:p>
        </w:tc>
        <w:tc>
          <w:tcPr>
            <w:tcW w:w="0" w:type="dxa"/>
            <w:vAlign w:val="bottom"/>
          </w:tcPr>
          <w:p>
            <w:pPr>
              <w:spacing w:after="0"/>
              <w:rPr>
                <w:sz w:val="1"/>
                <w:szCs w:val="1"/>
                <w:color w:val="auto"/>
              </w:rPr>
            </w:pPr>
          </w:p>
        </w:tc>
      </w:tr>
      <w:tr>
        <w:trPr>
          <w:trHeight w:val="252"/>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Accumulated amortization</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183</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486</w:t>
            </w:r>
          </w:p>
        </w:tc>
        <w:tc>
          <w:tcPr>
            <w:tcW w:w="0" w:type="dxa"/>
            <w:vAlign w:val="bottom"/>
          </w:tcPr>
          <w:p>
            <w:pPr>
              <w:spacing w:after="0"/>
              <w:rPr>
                <w:sz w:val="1"/>
                <w:szCs w:val="1"/>
                <w:color w:val="auto"/>
              </w:rPr>
            </w:pPr>
          </w:p>
        </w:tc>
      </w:tr>
      <w:tr>
        <w:trPr>
          <w:trHeight w:val="252"/>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Non-amortizing intangibles</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50,565</w:t>
            </w:r>
          </w:p>
        </w:tc>
        <w:tc>
          <w:tcPr>
            <w:tcW w:w="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65,288</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50,748</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65,774</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828"/>
        <w:spacing w:after="0" w:line="244" w:lineRule="auto"/>
        <w:rPr>
          <w:sz w:val="20"/>
          <w:szCs w:val="20"/>
          <w:color w:val="auto"/>
        </w:rPr>
      </w:pPr>
      <w:r>
        <w:rPr>
          <w:rFonts w:ascii="Times New Roman" w:cs="Times New Roman" w:eastAsia="Times New Roman" w:hAnsi="Times New Roman"/>
          <w:sz w:val="20"/>
          <w:szCs w:val="20"/>
          <w:color w:val="auto"/>
        </w:rPr>
        <w:t>All amortizing intangibles have been assigned an estimated finite useful life and such intangibles are amortized on a straight-line basis over the number of years that approximate their respective useful lives ranging from one to 25 years (weighted-average life of 17 years). Total amortization expense recorded was $0.4 million, $0.05 million and $0.05 million for the years ended December 31, 2014, 2013 and 2012, respectively. As of December 31, 2014, future estimated amortization expense related to amortizing intangibles through the year ending December 31, 2019 is approximately $0.01 million per year. At December 31, 2014, $18.0 million of non-amortizing intangibles and $0.1 million of amortizing intangibles (net of accumulated amortization) are subject to divestiture under the TCCC Transaction and are included in intangibles held-for-sale in the accompanying consolidated balance sheet at December 31, 2014.</w:t>
      </w:r>
    </w:p>
    <w:p>
      <w:pPr>
        <w:spacing w:after="0" w:line="200" w:lineRule="exact"/>
        <w:rPr>
          <w:sz w:val="20"/>
          <w:szCs w:val="20"/>
          <w:color w:val="auto"/>
        </w:rPr>
      </w:pPr>
    </w:p>
    <w:p>
      <w:pPr>
        <w:ind w:left="640" w:hanging="632"/>
        <w:spacing w:after="0"/>
        <w:tabs>
          <w:tab w:leader="none" w:pos="6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AGREEMENTS</w:t>
      </w:r>
    </w:p>
    <w:p>
      <w:pPr>
        <w:spacing w:after="0" w:line="2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Amounts received pursuant to new and/or amended distribution agreements entered into with certain distributors, relating to the costs associated with terminating agreements with the Company’s prior distributors, have been accounted for as deferred revenue in the accompanying consolidated balance sheets and are recognized as revenue ratably over the anticipated life of the respective distribution agreement, generally 20 years. Revenue recognized was $7.8 million, $8.4 million and $8.2 million for years ended December 31, 2014, 2013 and 2012, respectively.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Company incurred termination amounts (net of adjustments to estimated amounts previously accrued) to certain of its prior distributors amounting to a credit of ($0.2) million and an expense of $10.8 million and $1.5 million in aggregate for the years ended December 31, 2014, 2013 and 2012, respectively. Such termination amounts have been expensed in full and are included in operating expenses for the years ended December 31, 2014, 2013 and 2012.</w:t>
      </w:r>
    </w:p>
    <w:p>
      <w:pPr>
        <w:sectPr>
          <w:pgSz w:w="11900" w:h="16838" w:orient="portrait"/>
          <w:cols w:equalWidth="0" w:num="1">
            <w:col w:w="11420"/>
          </w:cols>
          <w:pgMar w:left="240" w:top="342" w:right="239" w:bottom="14" w:gutter="0" w:footer="0" w:header="0"/>
        </w:sectPr>
      </w:pPr>
    </w:p>
    <w:bookmarkStart w:id="62" w:name="page63"/>
    <w:bookmarkEnd w:id="62"/>
    <w:p>
      <w:pPr>
        <w:spacing w:after="0" w:line="3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As part of the TCCC Transaction, the amended distribution coordination agreements to be entered into with TCCC will provide for the transition of third parties’ rights to distribute the Company’s products in most territories in the U.S. and Canada to members of TCCC’s distribution network, which consists of owned or controlled bottlers/distributors and independent bottling/distribution partners. On February 9, 2015 in accordance with its existing agreements with the applicable third-party distributors, the Company sent notices of termination to certain affected third-party distributors, including the majority of the Company’s Anheuser-Busch distributors (the “AB Distributors”) in the U.S., providing for the termination of their respective distribution agreements, to be effective at various dates beginning in March 2015. The associated distribution rights will be transitioned to TCCC’s distribution network in each applicable territory as of the effective date of the termination of the applicable third party’s rights in such territory. The Company estimates the termination costs associated with the transition of its distribution arrangements to be approximately $280.0 million, the majority of which will be recognized in the first quarter of 2015 in accordance with ASC No. 420 “Exit or Disposal Cost Obligations.” Actual termination amounts may differ materially from those estimated, which could have a material impact on the Company’s financial position, results of operations or liquidity. The Company anticipates that approximately $38.2 million of deferred revenue will be recognized into income in the first quarter of 2015 associated with the terminated AB Distributors. As a result, this amount has been classified as a current liability in the accompanying consolidated balance sheet at December 31, 2014.</w:t>
      </w:r>
    </w:p>
    <w:p>
      <w:pPr>
        <w:spacing w:after="0" w:line="206"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The Company entered into a credit facility with Comerica Bank (“Comerica”) consisting of a revolving line of credit, which was amended in June 2013, under which the Company may borrow up to $10.0 million of non-collateralized debt. The revolving line of credit is effective through June 1, 2015. Interest on borrowings under the line of credit is based on Comerica’s base (prime) rate minus 1% to 1.5%, or London Interbank Offered Rates plus an additional percentage of 1.25% to 1.75%, depending upon certain financial ratios maintained by the Company. The Company had no outstanding borrowings on this line of credit at December 31, 2014. Under this revolving line of credit, the Company may also issue standby Letters of Credit with an aggregate amount of up to $4.0 million. The fee on the standby Letters of Credit ranges from 1.00% to 1.50% depending upon certain financial ratios maintained by the Company. The Company had no outstanding standby Letters of Credit at December 31, 2014.</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Company’s debt of $0.4 million and $1.3 million at December 31, 2014 and 2013, respectively, consisted of capital leases, collateralized by vehicles, payable over 12 months in monthly installments at various effective interest rates, with final payments ending on or before December 31, 2015.</w:t>
      </w:r>
    </w:p>
    <w:p>
      <w:pPr>
        <w:spacing w:after="0" w:line="201"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At December 31, 2014 and 2013, the assets acquired under capital leases had a net book value of $3.7 million and $4.2 million, net of accumulated depreciation of $3.5 million and $2.3 million, respectively.</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Interest expense for capital lease obligations amounted to $0.03 million, $0.05 and $0.05 for the years ended December 31, 2014, 2013 and 2012,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40" w:hanging="632"/>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AND CONTINGENCIES</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Company is obligated under various non-cancellable lease agreements providing for office space, warehouse space, and automobiles that expire at various dates through the year 2023.</w:t>
      </w:r>
    </w:p>
    <w:p>
      <w:pPr>
        <w:spacing w:after="0" w:line="17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Rent expense under operating leases was $6.8 million, $7.4 million and $4.6 million for the years ended December 31, 2014, 2013 and 2012, respectively.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Future minimum rental payments at December 31, 2014 under the operating leases referred to above are as follows: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44"/>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Year Ending December 31:</w:t>
            </w: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17"/>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2015</w:t>
            </w:r>
          </w:p>
        </w:tc>
        <w:tc>
          <w:tcPr>
            <w:tcW w:w="48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5,310</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2016</w:t>
            </w:r>
          </w:p>
        </w:tc>
        <w:tc>
          <w:tcPr>
            <w:tcW w:w="480" w:type="dxa"/>
            <w:vAlign w:val="bottom"/>
          </w:tcPr>
          <w:p>
            <w:pPr>
              <w:spacing w:after="0"/>
              <w:rPr>
                <w:sz w:val="19"/>
                <w:szCs w:val="19"/>
                <w:color w:val="auto"/>
              </w:rPr>
            </w:pPr>
          </w:p>
        </w:tc>
        <w:tc>
          <w:tcPr>
            <w:tcW w:w="98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4,329</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2017</w:t>
            </w:r>
          </w:p>
        </w:tc>
        <w:tc>
          <w:tcPr>
            <w:tcW w:w="480" w:type="dxa"/>
            <w:vAlign w:val="bottom"/>
          </w:tcPr>
          <w:p>
            <w:pPr>
              <w:spacing w:after="0"/>
              <w:rPr>
                <w:sz w:val="19"/>
                <w:szCs w:val="19"/>
                <w:color w:val="auto"/>
              </w:rPr>
            </w:pPr>
          </w:p>
        </w:tc>
        <w:tc>
          <w:tcPr>
            <w:tcW w:w="98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1,178</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2018</w:t>
            </w:r>
          </w:p>
        </w:tc>
        <w:tc>
          <w:tcPr>
            <w:tcW w:w="480" w:type="dxa"/>
            <w:vAlign w:val="bottom"/>
          </w:tcPr>
          <w:p>
            <w:pPr>
              <w:spacing w:after="0"/>
              <w:rPr>
                <w:sz w:val="19"/>
                <w:szCs w:val="19"/>
                <w:color w:val="auto"/>
              </w:rPr>
            </w:pPr>
          </w:p>
        </w:tc>
        <w:tc>
          <w:tcPr>
            <w:tcW w:w="98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495</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2019</w:t>
            </w:r>
          </w:p>
        </w:tc>
        <w:tc>
          <w:tcPr>
            <w:tcW w:w="480" w:type="dxa"/>
            <w:vAlign w:val="bottom"/>
          </w:tcPr>
          <w:p>
            <w:pPr>
              <w:spacing w:after="0"/>
              <w:rPr>
                <w:sz w:val="19"/>
                <w:szCs w:val="19"/>
                <w:color w:val="auto"/>
              </w:rPr>
            </w:pPr>
          </w:p>
        </w:tc>
        <w:tc>
          <w:tcPr>
            <w:tcW w:w="98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495</w:t>
            </w:r>
          </w:p>
        </w:tc>
      </w:tr>
      <w:tr>
        <w:trPr>
          <w:trHeight w:val="242"/>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2020 and thereafter</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color w:val="auto"/>
              </w:rPr>
              <w:t>1,166</w:t>
            </w:r>
          </w:p>
        </w:tc>
      </w:tr>
      <w:tr>
        <w:trPr>
          <w:trHeight w:val="210"/>
        </w:trPr>
        <w:tc>
          <w:tcPr>
            <w:tcW w:w="5380" w:type="dxa"/>
            <w:vAlign w:val="bottom"/>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ind w:right="65"/>
              <w:spacing w:after="0" w:line="210" w:lineRule="exact"/>
              <w:rPr>
                <w:sz w:val="20"/>
                <w:szCs w:val="20"/>
                <w:color w:val="auto"/>
              </w:rPr>
            </w:pPr>
            <w:r>
              <w:rPr>
                <w:rFonts w:ascii="Times New Roman" w:cs="Times New Roman" w:eastAsia="Times New Roman" w:hAnsi="Times New Roman"/>
                <w:sz w:val="19"/>
                <w:szCs w:val="19"/>
                <w:color w:val="auto"/>
              </w:rPr>
              <w:t>12,973</w:t>
            </w: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right="8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Contractual obligations </w:t>
      </w:r>
      <w:r>
        <w:rPr>
          <w:rFonts w:ascii="Times New Roman" w:cs="Times New Roman" w:eastAsia="Times New Roman" w:hAnsi="Times New Roman"/>
          <w:sz w:val="20"/>
          <w:szCs w:val="20"/>
          <w:color w:val="auto"/>
        </w:rPr>
        <w:t>– The Company has the following contractual obligations related primarily to sponsorships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commitments as of December 31, 2014:</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Year Ending December 31:</w:t>
      </w:r>
    </w:p>
    <w:p>
      <w:pPr>
        <w:sectPr>
          <w:pgSz w:w="11900" w:h="16873" w:orient="portrait"/>
          <w:cols w:equalWidth="0" w:num="1">
            <w:col w:w="11420"/>
          </w:cols>
          <w:pgMar w:left="240" w:top="112" w:right="239" w:bottom="0" w:gutter="0" w:footer="0" w:header="0"/>
        </w:sectPr>
      </w:pPr>
    </w:p>
    <w:bookmarkStart w:id="63" w:name="page64"/>
    <w:bookmarkEnd w:id="63"/>
    <w:tbl>
      <w:tblPr>
        <w:tblLayout w:type="fixed"/>
        <w:tblInd w:w="66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2015</w:t>
            </w:r>
          </w:p>
        </w:tc>
        <w:tc>
          <w:tcPr>
            <w:tcW w:w="48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46,290</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2016</w:t>
            </w:r>
          </w:p>
        </w:tc>
        <w:tc>
          <w:tcPr>
            <w:tcW w:w="480" w:type="dxa"/>
            <w:vAlign w:val="bottom"/>
          </w:tcPr>
          <w:p>
            <w:pPr>
              <w:spacing w:after="0"/>
              <w:rPr>
                <w:sz w:val="19"/>
                <w:szCs w:val="19"/>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25,296</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2017</w:t>
            </w:r>
          </w:p>
        </w:tc>
        <w:tc>
          <w:tcPr>
            <w:tcW w:w="480" w:type="dxa"/>
            <w:vAlign w:val="bottom"/>
          </w:tcPr>
          <w:p>
            <w:pPr>
              <w:spacing w:after="0"/>
              <w:rPr>
                <w:sz w:val="19"/>
                <w:szCs w:val="19"/>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3,602</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2018</w:t>
            </w:r>
          </w:p>
        </w:tc>
        <w:tc>
          <w:tcPr>
            <w:tcW w:w="480" w:type="dxa"/>
            <w:vAlign w:val="bottom"/>
          </w:tcPr>
          <w:p>
            <w:pPr>
              <w:spacing w:after="0"/>
              <w:rPr>
                <w:sz w:val="19"/>
                <w:szCs w:val="19"/>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2,793</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2019</w:t>
            </w:r>
          </w:p>
        </w:tc>
        <w:tc>
          <w:tcPr>
            <w:tcW w:w="480" w:type="dxa"/>
            <w:vAlign w:val="bottom"/>
          </w:tcPr>
          <w:p>
            <w:pPr>
              <w:spacing w:after="0"/>
              <w:rPr>
                <w:sz w:val="19"/>
                <w:szCs w:val="19"/>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r>
      <w:tr>
        <w:trPr>
          <w:trHeight w:val="242"/>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2020 and thereafter</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r>
      <w:tr>
        <w:trPr>
          <w:trHeight w:val="210"/>
        </w:trPr>
        <w:tc>
          <w:tcPr>
            <w:tcW w:w="5380" w:type="dxa"/>
            <w:vAlign w:val="bottom"/>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77,981</w:t>
            </w: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Purchase Commitments </w:t>
      </w:r>
      <w:r>
        <w:rPr>
          <w:rFonts w:ascii="Times New Roman" w:cs="Times New Roman" w:eastAsia="Times New Roman" w:hAnsi="Times New Roman"/>
          <w:sz w:val="20"/>
          <w:szCs w:val="20"/>
          <w:color w:val="auto"/>
        </w:rPr>
        <w:t>– The Company has purchase commitments aggregating approximately $31.3 million at December 31, 2014,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represent commitments made by the Company and its subsidiaries to various suppliers of raw materials for the production of its products. These obligations vary in terms, but are generally satisfied within one year.</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 purchases various raw material items, including, but not limited to, flavors, ingredients, dietary ingredients, containers, milk, cream and protein, from a limited number of resources.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2014, 2013 and 2012 was $292.8 million, $282.5 million and $264.2 million, respectively.</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Guarantees </w:t>
      </w:r>
      <w:r>
        <w:rPr>
          <w:rFonts w:ascii="Times New Roman" w:cs="Times New Roman" w:eastAsia="Times New Roman" w:hAnsi="Times New Roman"/>
          <w:sz w:val="20"/>
          <w:szCs w:val="20"/>
          <w:color w:val="auto"/>
        </w:rPr>
        <w:t>– The Company from time to time enters into certain types of contracts that contingently require the Company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indemnify parties against third 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spacing w:after="0" w:line="17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Litigation – </w:t>
      </w:r>
      <w:r>
        <w:rPr>
          <w:rFonts w:ascii="Times New Roman" w:cs="Times New Roman" w:eastAsia="Times New Roman" w:hAnsi="Times New Roman"/>
          <w:sz w:val="20"/>
          <w:szCs w:val="20"/>
          <w:color w:val="auto"/>
        </w:rPr>
        <w:t>On October 17, 2012, Wendy Crossland and Richard Fournier filed a lawsuit in the Superior Court of the State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California, County of Riverside, styled </w:t>
      </w:r>
      <w:r>
        <w:rPr>
          <w:rFonts w:ascii="Times New Roman" w:cs="Times New Roman" w:eastAsia="Times New Roman" w:hAnsi="Times New Roman"/>
          <w:sz w:val="20"/>
          <w:szCs w:val="20"/>
          <w:i w:val="1"/>
          <w:iCs w:val="1"/>
          <w:color w:val="auto"/>
        </w:rPr>
        <w:t>Wendy Crossland and Richard Fournier v. Monster Beverage Corporation</w:t>
      </w:r>
      <w:r>
        <w:rPr>
          <w:rFonts w:ascii="Times New Roman" w:cs="Times New Roman" w:eastAsia="Times New Roman" w:hAnsi="Times New Roman"/>
          <w:sz w:val="20"/>
          <w:szCs w:val="20"/>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 and a motion to strike the plaintiffs’ complaint on November 19, 2012, and the plaintiffs filed a first amended complaint on December 19, 2012. The Company filed its answer to the first amended complaint on June 7, 2013. The parties attended a court ordered mediation on January 23, 2014. Discovery has commenced and trial has been scheduled for August 21, 2015.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 position or results of operations in the event any damages were awarded.</w:t>
      </w:r>
    </w:p>
    <w:p>
      <w:pPr>
        <w:spacing w:after="0" w:line="18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Securities Litigation </w:t>
      </w:r>
      <w:r>
        <w:rPr>
          <w:rFonts w:ascii="Times New Roman" w:cs="Times New Roman" w:eastAsia="Times New Roman" w:hAnsi="Times New Roman"/>
          <w:sz w:val="20"/>
          <w:szCs w:val="20"/>
          <w:color w:val="auto"/>
        </w:rPr>
        <w:t>– On September 11, 2008, a federal securities class action complaint styled</w:t>
      </w:r>
      <w:r>
        <w:rPr>
          <w:rFonts w:ascii="Times New Roman" w:cs="Times New Roman" w:eastAsia="Times New Roman" w:hAnsi="Times New Roman"/>
          <w:sz w:val="20"/>
          <w:szCs w:val="20"/>
          <w:i w:val="1"/>
          <w:iCs w:val="1"/>
          <w:color w:val="auto"/>
        </w:rPr>
        <w:t xml:space="preserve"> Cunha v. Hansen Natural Corp., et al. </w:t>
      </w:r>
      <w:r>
        <w:rPr>
          <w:rFonts w:ascii="Times New Roman" w:cs="Times New Roman" w:eastAsia="Times New Roman" w:hAnsi="Times New Roman"/>
          <w:sz w:val="20"/>
          <w:szCs w:val="20"/>
          <w:color w:val="auto"/>
        </w:rPr>
        <w:t xml:space="preserve">was filed in the United States District Court for the Central District of California (the “District Court”). On September 17, 2008, a second federal securities class action complaint styled </w:t>
      </w:r>
      <w:r>
        <w:rPr>
          <w:rFonts w:ascii="Times New Roman" w:cs="Times New Roman" w:eastAsia="Times New Roman" w:hAnsi="Times New Roman"/>
          <w:sz w:val="20"/>
          <w:szCs w:val="20"/>
          <w:i w:val="1"/>
          <w:iCs w:val="1"/>
          <w:color w:val="auto"/>
        </w:rPr>
        <w:t>Brown v. Hansen Natural Corp., et al.</w:t>
      </w:r>
      <w:r>
        <w:rPr>
          <w:rFonts w:ascii="Times New Roman" w:cs="Times New Roman" w:eastAsia="Times New Roman" w:hAnsi="Times New Roman"/>
          <w:sz w:val="20"/>
          <w:szCs w:val="20"/>
          <w:color w:val="auto"/>
        </w:rPr>
        <w:t xml:space="preserve"> was also filed in the District Court. After the District Court consolidated the two actions and appointed the Structural Ironworkers Local Union #1 Pension Fund as lead plaintiff, a Consolidated Complaint for Violations of Federal Securities Laws was filed on August 28, 2009 (the “Consolidated Class Action Complaint”).</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9" w:right="239" w:bottom="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District Court dismissed the Consolidated Class Action Complaint, with leave to amend, on July 12, 2010. Plaintiff thereafter filed a Consolidated Amended Class Action Complaint for Violations of Federal Securities Laws on August 27, 2010 (the “Amended Class Action Complaint”). While similar in many respects to the Consolidated Class Action Complaint, the Amended Class Action Complaint dropped certain of the allegations set forth in the Consolidated Class Action Complaint and made certain new allegations, including that the Company engaged in “channel stuffing” during the Class Period that rendered false or misleading the Company’s reported sales results and certain other statements made by the defendants. In addition, it no longer named Thomas J. Kelly as a defendant.</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September 4, 2012, the District Court dismissed certain of the claims in the Amended Class Action Complaint, including plaintiff’s allegations relating to promotional expenses, but denied defendants’ motion to dismiss with regard to the majority of plaintiff’s claims, including plaintiff’s channel stuffing allegations. Plaintiff filed a motion seeking class certification on December 6, 2012, which the court denied, without prejudice, on January 17, 2014.</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Following a mediation conducted by an independent mediator, the Company entered into a Stipulation of Settlement on April 16, 2014 to resolve the litigation. Following a fairness hearing, on January 29, 2015, the District Court granted final approval of the settlement and entered a final judgment dismissing the action with prejudice.</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Under the terms of the settlement, certain of the Company’s insurance carriers paid $16.25 million into an escrow account for distribution to a settlement class, certified by the District Court for settlement purposes only and consisting of all persons who purchased or otherwise acquired the Company’s stock during the Class Period (with certain exclusions as specified in the settlement agreement). Under the settlement, defendants and various of their related persons and entities received a full release of all claims that were or could have been brought in the action as well as all claims that arise out of, are based upon or relate to the allegations, transactions, facts, representations, omissions or other matters involved in the complaints filed in the action or any statement communicated to the public during the Class Period, and the purchase, acquisition or sale of the Company’s stock during the Class Period.</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settlement contained no admission of any liability or wrongdoing on the part of the defendants, each of whom continues to deny all of the allegations against them and believes that the claims were without merit. Because the full amount of the settlement was paid by the Company’s insurance carriers, the settlement did not have an effect on the Company’s results of operations.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State Attorney General Inquiry </w:t>
      </w:r>
      <w:r>
        <w:rPr>
          <w:rFonts w:ascii="Times New Roman" w:cs="Times New Roman" w:eastAsia="Times New Roman" w:hAnsi="Times New Roman"/>
          <w:sz w:val="20"/>
          <w:szCs w:val="20"/>
          <w:color w:val="auto"/>
        </w:rPr>
        <w:t>– In July 2012, the Company received a subpoena from the Attorney General for the State of New York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connection with its investigation concerning the Company’s advertising, marketing, promotion, ingredients, usage and sale of its Monster Energy® brand of energy drinks. Production of documents pursuant to that subpoena was completed in approximately May 2014.</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August 6, 2014, the Attorney General for the State of New York issued a second subpoena seeking additional documents and the deposition of a Company employee. On September 8, 2014, the Company moved to quash the second subpoena. The motion has been fully briefed and argument has been scheduled on the motion for March 17, 2015.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San Francisco City Attorney Litigation </w:t>
      </w:r>
      <w:r>
        <w:rPr>
          <w:rFonts w:ascii="Times New Roman" w:cs="Times New Roman" w:eastAsia="Times New Roman" w:hAnsi="Times New Roman"/>
          <w:sz w:val="20"/>
          <w:szCs w:val="20"/>
          <w:color w:val="auto"/>
        </w:rPr>
        <w:t>– On October 31, 2012, the Company received a written request for information from the City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1" w:lineRule="exact"/>
        <w:rPr>
          <w:sz w:val="20"/>
          <w:szCs w:val="20"/>
          <w:color w:val="auto"/>
        </w:rPr>
      </w:pPr>
    </w:p>
    <w:p>
      <w:pPr>
        <w:ind w:right="20" w:firstLine="8"/>
        <w:spacing w:after="0" w:line="246" w:lineRule="auto"/>
        <w:tabs>
          <w:tab w:leader="none" w:pos="2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“Reformulate its products to lower the caffeine content to safe levels” - (ii) “Provide adequate warning labels”; (iii) “Cease promoting over-consumption in marketing”; (iv) “Cease use of alcohol and drug references in marketing”; and (v) “Cease targeting minors.”</w:t>
      </w:r>
    </w:p>
    <w:p>
      <w:pPr>
        <w:spacing w:after="0" w:line="191" w:lineRule="exact"/>
        <w:rPr>
          <w:rFonts w:ascii="Times New Roman" w:cs="Times New Roman" w:eastAsia="Times New Roman" w:hAnsi="Times New Roman"/>
          <w:sz w:val="20"/>
          <w:szCs w:val="20"/>
          <w:color w:val="auto"/>
        </w:rPr>
      </w:pPr>
    </w:p>
    <w:p>
      <w:pPr>
        <w:jc w:val="both"/>
        <w:ind w:firstLine="656"/>
        <w:spacing w:after="0" w:line="257" w:lineRule="auto"/>
        <w:tabs>
          <w:tab w:leader="none" w:pos="911"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The Company Action </w:t>
      </w:r>
      <w:r>
        <w:rPr>
          <w:rFonts w:ascii="Times New Roman" w:cs="Times New Roman" w:eastAsia="Times New Roman" w:hAnsi="Times New Roman"/>
          <w:sz w:val="19"/>
          <w:szCs w:val="19"/>
          <w:color w:val="auto"/>
        </w:rPr>
        <w:t>– On April 29, 2013, the Company and its wholly owned subsidiary, Monster Energy Company, filed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complaint for declaratory and injunctive relief against the San Francisco City Attorney (the “Company Action”) in United States District Court for the Central District of California (the “Central District Court”), styled </w:t>
      </w:r>
      <w:r>
        <w:rPr>
          <w:rFonts w:ascii="Times New Roman" w:cs="Times New Roman" w:eastAsia="Times New Roman" w:hAnsi="Times New Roman"/>
          <w:sz w:val="19"/>
          <w:szCs w:val="19"/>
          <w:i w:val="1"/>
          <w:iCs w:val="1"/>
          <w:color w:val="auto"/>
        </w:rPr>
        <w:t>Monster Beverage Corp., et al. v. Dennis Herrera</w:t>
      </w:r>
      <w:r>
        <w:rPr>
          <w:rFonts w:ascii="Times New Roman" w:cs="Times New Roman" w:eastAsia="Times New Roman" w:hAnsi="Times New Roman"/>
          <w:sz w:val="19"/>
          <w:szCs w:val="19"/>
          <w:color w:val="auto"/>
        </w:rPr>
        <w:t>. The Company sought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 Action, arguing in part that the complaint should be dismissed in light of the San Francisco Action (described below) filed on May 6, 2013. On August 22, 2013, the Central District Court granted in part and denied in part the City Attorney’s motion. On October 17, 2013 (after the San Francisco Action, described below, was remanded to San Francisco Superior Court), the City Attorney filed a renewed motion to dismiss the Company Action and on December 16,</w:t>
      </w:r>
    </w:p>
    <w:p>
      <w:pPr>
        <w:sectPr>
          <w:pgSz w:w="11900" w:h="16838" w:orient="portrait"/>
          <w:cols w:equalWidth="0" w:num="1">
            <w:col w:w="11420"/>
          </w:cols>
          <w:pgMar w:left="240" w:top="364" w:right="239" w:bottom="0" w:gutter="0" w:footer="0" w:header="0"/>
        </w:sectPr>
      </w:pPr>
    </w:p>
    <w:bookmarkStart w:id="65" w:name="page66"/>
    <w:bookmarkEnd w:id="65"/>
    <w:p>
      <w:pPr>
        <w:jc w:val="both"/>
        <w:spacing w:after="0" w:line="253" w:lineRule="auto"/>
        <w:rPr>
          <w:sz w:val="20"/>
          <w:szCs w:val="20"/>
          <w:color w:val="auto"/>
        </w:rPr>
      </w:pPr>
      <w:r>
        <w:rPr>
          <w:rFonts w:ascii="Times New Roman" w:cs="Times New Roman" w:eastAsia="Times New Roman" w:hAnsi="Times New Roman"/>
          <w:sz w:val="20"/>
          <w:szCs w:val="20"/>
          <w:color w:val="auto"/>
        </w:rPr>
        <w:t>2013, the Central District Court granted the City Attorney’s renewed motion, dismissing the Company Action. The Company filed a Notice of Appeal to the Ninth Circuit on December 18, 2013. The Company filed its opening brief on November 28, 2014. The City Attorney’s filed an answering brief on February 13, 2015, and the Company’s reply brief is currently due on February 27, 2015.</w:t>
      </w:r>
    </w:p>
    <w:p>
      <w:pPr>
        <w:spacing w:after="0" w:line="186" w:lineRule="exact"/>
        <w:rPr>
          <w:sz w:val="20"/>
          <w:szCs w:val="20"/>
          <w:color w:val="auto"/>
        </w:rPr>
      </w:pPr>
    </w:p>
    <w:p>
      <w:pPr>
        <w:jc w:val="both"/>
        <w:ind w:firstLine="656"/>
        <w:spacing w:after="0" w:line="257" w:lineRule="auto"/>
        <w:tabs>
          <w:tab w:leader="none" w:pos="953"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The San Francisco Action </w:t>
      </w:r>
      <w:r>
        <w:rPr>
          <w:rFonts w:ascii="Times New Roman" w:cs="Times New Roman" w:eastAsia="Times New Roman" w:hAnsi="Times New Roman"/>
          <w:sz w:val="19"/>
          <w:szCs w:val="19"/>
          <w:color w:val="auto"/>
        </w:rPr>
        <w:t>– On May 6, 2013, the San Francisco City Attorney filed a complaint for declaratory and injunctive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relief, civil penalties and restitution for alleged violation of California’s Unfair Competition Law, Business &amp; Professions Code sections 17200, </w:t>
      </w:r>
      <w:r>
        <w:rPr>
          <w:rFonts w:ascii="Times New Roman" w:cs="Times New Roman" w:eastAsia="Times New Roman" w:hAnsi="Times New Roman"/>
          <w:sz w:val="19"/>
          <w:szCs w:val="19"/>
          <w:i w:val="1"/>
          <w:iCs w:val="1"/>
          <w:color w:val="auto"/>
        </w:rPr>
        <w:t>et seq., styled People Of The State Of California ex rel. Dennis Herrera, San Francisco City Attorney v. Monster Beverage Corporation</w:t>
      </w:r>
      <w:r>
        <w:rPr>
          <w:rFonts w:ascii="Times New Roman" w:cs="Times New Roman" w:eastAsia="Times New Roman" w:hAnsi="Times New Roman"/>
          <w:sz w:val="19"/>
          <w:szCs w:val="19"/>
          <w:color w:val="auto"/>
        </w:rPr>
        <w:t>, in San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Francisco Superior Court (the “San Francisco Action”). The City Attorney alleges that the Company (1) mislabeled its products as a dietary supplement, in violation of California’s Sherman Food, Drug and Cosmetic Law, California Health &amp; Safety Code sections 109875 et. seq.;</w:t>
      </w:r>
    </w:p>
    <w:p>
      <w:pPr>
        <w:spacing w:after="0" w:line="4" w:lineRule="exact"/>
        <w:rPr>
          <w:rFonts w:ascii="Times New Roman" w:cs="Times New Roman" w:eastAsia="Times New Roman" w:hAnsi="Times New Roman"/>
          <w:sz w:val="19"/>
          <w:szCs w:val="19"/>
          <w:color w:val="auto"/>
        </w:rPr>
      </w:pPr>
    </w:p>
    <w:p>
      <w:pPr>
        <w:jc w:val="both"/>
        <w:ind w:firstLine="8"/>
        <w:spacing w:after="0"/>
        <w:tabs>
          <w:tab w:leader="none" w:pos="30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sought a declaration that the Company has engaged in unfair and unlawful business acts and practices in violation of the Unfair Competition Law; an injunction from performing or proposing to perform any acts in violation of the Unfair Competition Law; restitution; and civil penalties. On June 3, 2013, the Company removed the San Francisco Action to the United States District Court for the Northern District of California (the “Northern District Court”). On July 3, 2013, the City Attorney filed a motion to remand the San Francisco Action back to state court. On September 18, 2013, the Northern District Court granted the City Attorney’s motion to remand the San Francisco Action back to state court.</w:t>
      </w: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January 15, 2014, the Company filed a demurrer to and motion to strike allegations in the complaint in the San Francisco Action. On March 5, 2014, the Court overruled the demurrer, granted the motion to strike as to one theory for relief pleaded by the City Attorney, and lifted the stay on discovery.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March 20, 2014, the City Attorney filed an amended complaint, adding allegations supporting the theory for relief as to which the Court had granted the motion to strike. On April 18, 2014, the Company filed a renewed motion to strike, challenging the theory for relief previously rejected by the Court, as well as a motion asking the Court to bifurcate and/or stay claims relating to the safety of Monster Energy® drinks, pending resolution of the ongoing FDA investigation of the safety and labeling of food products to which caffeine is added. On May 22, 2014, the Court denied the Company’s motion to strike and motion to bifurcate and/or stay claims relating to safety.</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June 16, 2014, the Company filed a petition for writ of mandate with the Court of Appeal, asking for a writ directing the trial court to vacate its order denying the Company’s motion to bifurcate and/or stay the San Francisco Action, and instead to stay proceedings pending FDA’s investigation. On June 19, 2014, the Court of Appeal denied the petition. On June 25, 2014, the Company filed a petition for review with the California Supreme Court. On July 23, 2014, the Supreme Court denied the petition.</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August 27, 2014, the Court issued an order setting the case for a two-week bench trial beginning on February 8, 2016. On September 5, 2014, the City Attorney filed a second amended complaint, adding Monster Energy Company as a defendant. The Company and Monster Energy Company filed answers to the second amended complaint on October 4, 2014 and November 10, 2014, respectively. A case management conference is scheduled for March 10, 2015. Discovery is ongoing.</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w:t>
      </w:r>
    </w:p>
    <w:p>
      <w:pPr>
        <w:spacing w:after="0" w:line="21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w:t>
      </w:r>
    </w:p>
    <w:p>
      <w:pPr>
        <w:sectPr>
          <w:pgSz w:w="11900" w:h="16838" w:orient="portrait"/>
          <w:cols w:equalWidth="0" w:num="1">
            <w:col w:w="11420"/>
          </w:cols>
          <w:pgMar w:left="240" w:top="118" w:right="239" w:bottom="0" w:gutter="0" w:footer="0" w:header="0"/>
        </w:sectPr>
      </w:pPr>
    </w:p>
    <w:bookmarkStart w:id="66" w:name="page67"/>
    <w:bookmarkEnd w:id="66"/>
    <w:p>
      <w:pPr>
        <w:jc w:val="both"/>
        <w:spacing w:after="0" w:line="246" w:lineRule="auto"/>
        <w:rPr>
          <w:sz w:val="20"/>
          <w:szCs w:val="20"/>
          <w:color w:val="auto"/>
        </w:rPr>
      </w:pPr>
      <w:r>
        <w:rPr>
          <w:rFonts w:ascii="Times New Roman" w:cs="Times New Roman" w:eastAsia="Times New Roman" w:hAnsi="Times New Roman"/>
          <w:sz w:val="20"/>
          <w:szCs w:val="20"/>
          <w:color w:val="auto"/>
        </w:rPr>
        <w:t>December 31, 2014 and December 31, 2013, the Company’s consolidated balance sheets include accrued loss contingencies of approximately $3.7 million and $17.0 million, respectively, and receivables for insurance reimbursements of approximately $0.0 million and $16.25 million, respectively.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20" w:hanging="612"/>
        <w:spacing w:after="0"/>
        <w:tabs>
          <w:tab w:leader="none" w:pos="6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ACCUMULATED OTHER COMPREHENSIVE LOSS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The components of accumulated other comprehensive loss are as follows at December 31:</w:t>
      </w:r>
    </w:p>
    <w:p>
      <w:pPr>
        <w:spacing w:after="0" w:line="297" w:lineRule="exact"/>
        <w:rPr>
          <w:sz w:val="20"/>
          <w:szCs w:val="20"/>
          <w:color w:val="auto"/>
        </w:rPr>
      </w:pPr>
    </w:p>
    <w:p>
      <w:pPr>
        <w:ind w:left="7940"/>
        <w:spacing w:after="0"/>
        <w:tabs>
          <w:tab w:leader="none" w:pos="10180" w:val="left"/>
        </w:tabs>
        <w:rPr>
          <w:sz w:val="20"/>
          <w:szCs w:val="20"/>
          <w:color w:val="auto"/>
        </w:rPr>
      </w:pPr>
      <w:r>
        <w:rPr>
          <w:rFonts w:ascii="Times New Roman" w:cs="Times New Roman" w:eastAsia="Times New Roman" w:hAnsi="Times New Roman"/>
          <w:sz w:val="20"/>
          <w:szCs w:val="20"/>
          <w:color w:val="auto"/>
        </w:rPr>
        <w:t>2014</w:t>
      </w:r>
      <w:r>
        <w:rPr>
          <w:sz w:val="20"/>
          <w:szCs w:val="20"/>
          <w:color w:val="auto"/>
        </w:rPr>
        <w:tab/>
      </w:r>
      <w:r>
        <w:rPr>
          <w:rFonts w:ascii="Times New Roman" w:cs="Times New Roman" w:eastAsia="Times New Roman" w:hAnsi="Times New Roman"/>
          <w:sz w:val="20"/>
          <w:szCs w:val="20"/>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13970</wp:posOffset>
            </wp:positionV>
            <wp:extent cx="27012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88" w:lineRule="exact"/>
        <w:rPr>
          <w:sz w:val="20"/>
          <w:szCs w:val="20"/>
          <w:color w:val="auto"/>
        </w:rPr>
      </w:pPr>
    </w:p>
    <w:p>
      <w:pPr>
        <w:spacing w:after="0"/>
        <w:tabs>
          <w:tab w:leader="none" w:pos="7200" w:val="left"/>
          <w:tab w:leader="none" w:pos="8560" w:val="left"/>
          <w:tab w:leader="none" w:pos="9420" w:val="left"/>
          <w:tab w:leader="none" w:pos="10840" w:val="left"/>
        </w:tabs>
        <w:rPr>
          <w:sz w:val="20"/>
          <w:szCs w:val="20"/>
          <w:color w:val="auto"/>
        </w:rPr>
      </w:pPr>
      <w:r>
        <w:rPr>
          <w:rFonts w:ascii="Times New Roman" w:cs="Times New Roman" w:eastAsia="Times New Roman" w:hAnsi="Times New Roman"/>
          <w:sz w:val="20"/>
          <w:szCs w:val="20"/>
          <w:color w:val="auto"/>
        </w:rPr>
        <w:t>Foreign currency translation adjustments</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11,453</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22860</wp:posOffset>
            </wp:positionV>
            <wp:extent cx="270129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01290" cy="26035"/>
                    </a:xfrm>
                    <a:prstGeom prst="rect">
                      <a:avLst/>
                    </a:prstGeom>
                    <a:noFill/>
                  </pic:spPr>
                </pic:pic>
              </a:graphicData>
            </a:graphic>
          </wp:anchor>
        </w:drawing>
      </w:r>
    </w:p>
    <w:p>
      <w:pPr>
        <w:spacing w:after="0" w:line="263"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TREASURY STOCK PURCHASE</w:t>
      </w:r>
    </w:p>
    <w:p>
      <w:pPr>
        <w:spacing w:after="0" w:line="2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April 7, 2013, the Company’s Board of Directors authorized a new share repurchase program for the repurchase of up to $200.0 million of the Company’s outstanding common stock (the “April 2013 Repurchase Plan”). During the year ended December 31, 2014, no shares of common stock were purchased under the April 2013 Repurchase Plan. During the year ended December 31, 2013, the Company purchased 0.951 million shares of common stock under the April 2013 Repurchase Plan at an average purchase price of $56.98 per share for a total amount of $54.2 million (excluding broker commissions).</w:t>
      </w:r>
    </w:p>
    <w:p>
      <w:pPr>
        <w:spacing w:after="0" w:line="194" w:lineRule="exact"/>
        <w:rPr>
          <w:sz w:val="20"/>
          <w:szCs w:val="20"/>
          <w:color w:val="auto"/>
        </w:rPr>
      </w:pPr>
    </w:p>
    <w:p>
      <w:pPr>
        <w:jc w:val="both"/>
        <w:ind w:firstLine="828"/>
        <w:spacing w:after="0" w:line="274" w:lineRule="auto"/>
        <w:rPr>
          <w:sz w:val="20"/>
          <w:szCs w:val="20"/>
          <w:color w:val="auto"/>
        </w:rPr>
      </w:pPr>
      <w:r>
        <w:rPr>
          <w:rFonts w:ascii="Times New Roman" w:cs="Times New Roman" w:eastAsia="Times New Roman" w:hAnsi="Times New Roman"/>
          <w:sz w:val="19"/>
          <w:szCs w:val="19"/>
          <w:color w:val="auto"/>
        </w:rPr>
        <w:t>During the year ended December 31, 2014, 0.09 million shares were purchased from employees in lieu of cash payments for options exercised or withholding taxes due for a total amount of $8.2 million. While such purchases are considered common stock repurchases, they are not counted as purchases against the Company’s authorized share repurchase programs, including the April 2013 Repurchase Plan.</w:t>
      </w:r>
    </w:p>
    <w:p>
      <w:pPr>
        <w:spacing w:after="0" w:line="170" w:lineRule="exact"/>
        <w:rPr>
          <w:sz w:val="20"/>
          <w:szCs w:val="20"/>
          <w:color w:val="auto"/>
        </w:rPr>
      </w:pPr>
    </w:p>
    <w:p>
      <w:pPr>
        <w:ind w:left="640" w:hanging="632"/>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The Company has two stock-based compensation plans under which shares were available for grant at December 31, 2014: the Monster Beverage Corporation 2011 Omnibus Incentive Plan (the “2011 Omnibus Incentive Plan”) and the 2009 Monster Beverage Corporation Stock Incentive Plan for Non-Employee Directors (the “2009 Directors Plan”).</w:t>
      </w:r>
    </w:p>
    <w:p>
      <w:pPr>
        <w:spacing w:after="0" w:line="18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2011 Omnibus Incentive Plan permits the granting of options, stock appreciation rights, restricted stock, restricted stock units, performance awards and other stock-based awards up to an aggregate of 14,500,000 shares of the common stock of the Company to employees or consultants of the Company and its subsidiaries. Shares authorized under the 2011 Omnibus Incentive Plan are reduced by 2.16 shares for each share granted or issued with respect to a Full Value Award. A Full Value Award is an award other than an incentive stock option, a non-qualified stock option, or a stock appreciation right, which is settled by the issuance of shares. Options granted under the 2011 Omnibus Incentive Plan may be incentive stock options under Section 422 of the Internal Revenue Code, as amended, or non-qualified stock options. The Compensation Committee of the Board of Directors (the “Compensation Committee”) has sole and exclusive authority to grant stock awards to all employees who are not new hires and to all new hires who are subject to Section 16 of the Exchange Act. The Compensation Committee and the Executive Committee of the Board of Directors (the “Executive Committee”) each independently has the authority to grant stock awards to new hires who are not Section 16 employees. Awards granted by the</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Executive Committee are not subject to approval or ratification by the Board or the Compensation Committee. Options granted under the 2011 Omnibus Incentive Plan generally vest over a five-year period from the grant date and are generally exercisable up to 10 years after the grant date. As of December 31, 2014, 3,620,280 shares of the Company’s common stock have been granted, net of cancellations, and 9,865,555 shares of the Company’s common stock remain available for grant under the 2011 Omnibus Incentive Plan.</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2009 Directors Plan permits the granting of options, stock appreciation rights (each, an “SAR”), and other stock-based awards to purchase up to an aggregate of 1,600,000 shares of common stock of the Company to non-employee directors of the Company. The 2009 Directors Plan is administered by the Board of Directors. Each award granted under the 2009 Directors Plan will be evidenced by a written agreement and will contain the terms and conditions that the Board of Directors deems appropriate. The Board of Directors may grant such awards on the last business day prior to the date of the annual meeting of stockholders. Any award granted under the 2009 Directors Plan will</w:t>
      </w:r>
    </w:p>
    <w:p>
      <w:pPr>
        <w:sectPr>
          <w:pgSz w:w="11900" w:h="16838" w:orient="portrait"/>
          <w:cols w:equalWidth="0" w:num="1">
            <w:col w:w="11420"/>
          </w:cols>
          <w:pgMar w:left="240" w:top="118" w:right="239" w:bottom="0"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19"/>
          <w:szCs w:val="19"/>
          <w:color w:val="auto"/>
        </w:rPr>
        <w:t>vest, with respect to 100% of such award, on the last business day prior to the date of the annual meeting, in the calendar year following the calendar year in which such award is granted. The Board of Directors may determine the exercise price per share of the Company’s common stock under each option, but such price may not be less than 100% of the closing price of the Company’s common stock on the date an option is granted. Option grants may be made under the 2009 Directors Plan for 10 years from June 4, 2009. The Board of Directors may also grant SARs, independently, or in connection with an option grant. The Board of Directors may determine the exercise price per share of the Company’s common stock under each SAR, but such price may not be less than the greater of (i) the fair market value of a share on the date the SAR is granted and (ii) the price of the related option, if the SAR is granted in connection with an option grant. Additionally, the Board of Directors may grant other stock-based awards, which include awards of shares of the Company’s common stock, restricted shares of the Company’s common stock, and awards that are valued based on the fair market value of shares of the Company’s common stock. SARs and other stock-based awards are subject to the general provisions of the 2009 Directors Plan. The Board of Directors may amend or terminate the 2009 Directors Plan at any time. As of December 31, 2014, options to purchase 81,160 shares of the Company’s common stock had been granted under the 2009 Directors Plan, and options to purchase 1,518,840 shares of the Company’s common stock remained available for grant.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recorded $28.6 million, $28.8 million and $28.4 million of compensation expense relating to outstanding options, restricted stock awards, stock appreciation rights and restricted stock units during the years ended December 31, 2014, 2013 and 2012, respectively.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excess tax benefit realized for tax deductions from non-qualified stock option exercises, disqualifying dispositions of incentive stock options, vesting of restricted stock units and restricted stock awards for the years ended December 31, 2014, 2013 and 2012 was $11.9 million, $30.3 million and $19.7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Stock Options</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Under the Company’s stock-based compensation plans, all stock options granted as of December 31, 2014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weighted-average assumptions were used to estimate the fair value of options granted during:</w:t>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252"/>
        </w:trPr>
        <w:tc>
          <w:tcPr>
            <w:tcW w:w="3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6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2014</w:t>
            </w:r>
          </w:p>
        </w:tc>
        <w:tc>
          <w:tcPr>
            <w:tcW w:w="280" w:type="dxa"/>
            <w:vAlign w:val="bottom"/>
          </w:tcPr>
          <w:p>
            <w:pPr>
              <w:spacing w:after="0"/>
              <w:rPr>
                <w:sz w:val="21"/>
                <w:szCs w:val="21"/>
                <w:color w:val="auto"/>
              </w:rPr>
            </w:pPr>
          </w:p>
        </w:tc>
        <w:tc>
          <w:tcPr>
            <w:tcW w:w="16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2013</w:t>
            </w:r>
          </w:p>
        </w:tc>
        <w:tc>
          <w:tcPr>
            <w:tcW w:w="280" w:type="dxa"/>
            <w:vAlign w:val="bottom"/>
          </w:tcPr>
          <w:p>
            <w:pPr>
              <w:spacing w:after="0"/>
              <w:rPr>
                <w:sz w:val="21"/>
                <w:szCs w:val="21"/>
                <w:color w:val="auto"/>
              </w:rPr>
            </w:pPr>
          </w:p>
        </w:tc>
        <w:tc>
          <w:tcPr>
            <w:tcW w:w="17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2012</w:t>
            </w:r>
          </w:p>
        </w:tc>
        <w:tc>
          <w:tcPr>
            <w:tcW w:w="0" w:type="dxa"/>
            <w:vAlign w:val="bottom"/>
          </w:tcPr>
          <w:p>
            <w:pPr>
              <w:spacing w:after="0"/>
              <w:rPr>
                <w:sz w:val="1"/>
                <w:szCs w:val="1"/>
                <w:color w:val="auto"/>
              </w:rPr>
            </w:pPr>
          </w:p>
        </w:tc>
      </w:tr>
      <w:tr>
        <w:trPr>
          <w:trHeight w:val="200"/>
        </w:trPr>
        <w:tc>
          <w:tcPr>
            <w:tcW w:w="3660" w:type="dxa"/>
            <w:vAlign w:val="bottom"/>
            <w:vMerge w:val="continue"/>
          </w:tcPr>
          <w:p>
            <w:pPr>
              <w:spacing w:after="0"/>
              <w:rPr>
                <w:sz w:val="17"/>
                <w:szCs w:val="17"/>
                <w:color w:val="auto"/>
              </w:rPr>
            </w:pPr>
          </w:p>
        </w:tc>
        <w:tc>
          <w:tcPr>
            <w:tcW w:w="16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0.0 %</w:t>
            </w:r>
          </w:p>
        </w:tc>
        <w:tc>
          <w:tcPr>
            <w:tcW w:w="280" w:type="dxa"/>
            <w:vAlign w:val="bottom"/>
          </w:tcPr>
          <w:p>
            <w:pPr>
              <w:spacing w:after="0"/>
              <w:rPr>
                <w:sz w:val="17"/>
                <w:szCs w:val="17"/>
                <w:color w:val="auto"/>
              </w:rPr>
            </w:pPr>
          </w:p>
        </w:tc>
        <w:tc>
          <w:tcPr>
            <w:tcW w:w="16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0.0 %</w:t>
            </w:r>
          </w:p>
        </w:tc>
        <w:tc>
          <w:tcPr>
            <w:tcW w:w="280" w:type="dxa"/>
            <w:vAlign w:val="bottom"/>
          </w:tcPr>
          <w:p>
            <w:pPr>
              <w:spacing w:after="0"/>
              <w:rPr>
                <w:sz w:val="17"/>
                <w:szCs w:val="17"/>
                <w:color w:val="auto"/>
              </w:rPr>
            </w:pPr>
          </w:p>
        </w:tc>
        <w:tc>
          <w:tcPr>
            <w:tcW w:w="17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0.0 %</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41.4 %</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47.5 %</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48.1 %</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1.55 %</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0.98 %</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0.74 %</w:t>
            </w:r>
          </w:p>
        </w:tc>
        <w:tc>
          <w:tcPr>
            <w:tcW w:w="0" w:type="dxa"/>
            <w:vAlign w:val="bottom"/>
          </w:tcPr>
          <w:p>
            <w:pPr>
              <w:spacing w:after="0"/>
              <w:rPr>
                <w:sz w:val="1"/>
                <w:szCs w:val="1"/>
                <w:color w:val="auto"/>
              </w:rPr>
            </w:pPr>
          </w:p>
        </w:tc>
      </w:tr>
      <w:tr>
        <w:trPr>
          <w:trHeight w:val="258"/>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w:t>
            </w:r>
          </w:p>
        </w:tc>
        <w:tc>
          <w:tcPr>
            <w:tcW w:w="18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5.8 Years</w:t>
            </w:r>
          </w:p>
        </w:tc>
        <w:tc>
          <w:tcPr>
            <w:tcW w:w="18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5.7 Years</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 Years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Expected Volatility</w:t>
      </w:r>
      <w:r>
        <w:rPr>
          <w:rFonts w:ascii="Times New Roman" w:cs="Times New Roman" w:eastAsia="Times New Roman" w:hAnsi="Times New Roman"/>
          <w:sz w:val="20"/>
          <w:szCs w:val="20"/>
          <w:color w:val="auto"/>
        </w:rPr>
        <w:t>: The Company uses historical volatility as it provides a reasonable estimate of the expected volatility. Historical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volatility is based on the most recent volatility of the stock price over a period of time equivalent to the expected term of the option.</w:t>
      </w:r>
    </w:p>
    <w:p>
      <w:pPr>
        <w:spacing w:after="0" w:line="16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Risk-Free Interest Rate</w:t>
      </w:r>
      <w:r>
        <w:rPr>
          <w:rFonts w:ascii="Times New Roman" w:cs="Times New Roman" w:eastAsia="Times New Roman" w:hAnsi="Times New Roman"/>
          <w:sz w:val="20"/>
          <w:szCs w:val="20"/>
          <w:color w:val="auto"/>
        </w:rPr>
        <w:t>: The risk-free interest rate is based on the U.S. Treasury zero coupon yield curve in effect at the time of grant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expected term of the option.</w:t>
      </w:r>
    </w:p>
    <w:p>
      <w:pPr>
        <w:spacing w:after="0" w:line="1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Expected Term</w:t>
      </w:r>
      <w:r>
        <w:rPr>
          <w:rFonts w:ascii="Times New Roman" w:cs="Times New Roman" w:eastAsia="Times New Roman" w:hAnsi="Times New Roman"/>
          <w:sz w:val="20"/>
          <w:szCs w:val="20"/>
          <w:color w:val="auto"/>
        </w:rPr>
        <w:t>: The Company’s expected term represents the weighted-average period that the Company’s stock options are expected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Company’s activities with respect to its stock option plans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Weighted-</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20"/>
                <w:szCs w:val="20"/>
                <w:color w:val="auto"/>
                <w:w w:val="97"/>
              </w:rPr>
              <w:t>Weighted-</w:t>
            </w: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4"/>
              </w:rPr>
              <w:t>Average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20"/>
                <w:szCs w:val="20"/>
                <w:color w:val="auto"/>
                <w:w w:val="97"/>
              </w:rPr>
              <w:t>Average</w:t>
            </w: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rPr>
              <w:t>Remaining</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color w:val="auto"/>
                <w:w w:val="98"/>
              </w:rPr>
              <w:t>Number of</w:t>
            </w:r>
          </w:p>
        </w:tc>
        <w:tc>
          <w:tcPr>
            <w:tcW w:w="260" w:type="dxa"/>
            <w:vAlign w:val="bottom"/>
          </w:tcPr>
          <w:p>
            <w:pPr>
              <w:spacing w:after="0"/>
              <w:rPr>
                <w:sz w:val="19"/>
                <w:szCs w:val="19"/>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20"/>
                <w:szCs w:val="20"/>
                <w:color w:val="auto"/>
                <w:w w:val="98"/>
              </w:rPr>
              <w:t>Exercise</w:t>
            </w: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Contractual</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Shares (In</w:t>
            </w:r>
          </w:p>
        </w:tc>
        <w:tc>
          <w:tcPr>
            <w:tcW w:w="260" w:type="dxa"/>
            <w:vAlign w:val="bottom"/>
          </w:tcPr>
          <w:p>
            <w:pPr>
              <w:spacing w:after="0"/>
              <w:rPr>
                <w:sz w:val="19"/>
                <w:szCs w:val="19"/>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20"/>
                <w:szCs w:val="20"/>
                <w:color w:val="auto"/>
                <w:w w:val="98"/>
              </w:rPr>
              <w:t>Price Per</w:t>
            </w: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4"/>
              </w:rPr>
              <w:t>Term (In</w:t>
            </w:r>
          </w:p>
        </w:tc>
        <w:tc>
          <w:tcPr>
            <w:tcW w:w="180" w:type="dxa"/>
            <w:vAlign w:val="bottom"/>
          </w:tcPr>
          <w:p>
            <w:pPr>
              <w:spacing w:after="0"/>
              <w:rPr>
                <w:sz w:val="19"/>
                <w:szCs w:val="19"/>
                <w:color w:val="auto"/>
              </w:rPr>
            </w:pPr>
          </w:p>
        </w:tc>
        <w:tc>
          <w:tcPr>
            <w:tcW w:w="1520" w:type="dxa"/>
            <w:vAlign w:val="bottom"/>
          </w:tcPr>
          <w:p>
            <w:pPr>
              <w:jc w:val="center"/>
              <w:ind w:right="201"/>
              <w:spacing w:after="0"/>
              <w:rPr>
                <w:sz w:val="20"/>
                <w:szCs w:val="20"/>
                <w:color w:val="auto"/>
              </w:rPr>
            </w:pPr>
            <w:r>
              <w:rPr>
                <w:rFonts w:ascii="Times New Roman" w:cs="Times New Roman" w:eastAsia="Times New Roman" w:hAnsi="Times New Roman"/>
                <w:sz w:val="20"/>
                <w:szCs w:val="20"/>
                <w:color w:val="auto"/>
                <w:w w:val="98"/>
              </w:rPr>
              <w:t>Aggregate</w:t>
            </w:r>
          </w:p>
        </w:tc>
      </w:tr>
      <w:tr>
        <w:trPr>
          <w:trHeight w:val="252"/>
        </w:trPr>
        <w:tc>
          <w:tcPr>
            <w:tcW w:w="20" w:type="dxa"/>
            <w:vAlign w:val="bottom"/>
          </w:tcPr>
          <w:p>
            <w:pPr>
              <w:spacing w:after="0"/>
              <w:rPr>
                <w:sz w:val="21"/>
                <w:szCs w:val="21"/>
                <w:color w:val="auto"/>
              </w:rPr>
            </w:pPr>
          </w:p>
        </w:tc>
        <w:tc>
          <w:tcPr>
            <w:tcW w:w="4060" w:type="dxa"/>
            <w:vAlign w:val="bottom"/>
            <w:gridSpan w:val="2"/>
          </w:tcPr>
          <w:p>
            <w:pPr>
              <w:ind w:left="1560"/>
              <w:spacing w:after="0"/>
              <w:rPr>
                <w:sz w:val="20"/>
                <w:szCs w:val="20"/>
                <w:color w:val="auto"/>
              </w:rPr>
            </w:pPr>
            <w:r>
              <w:rPr>
                <w:rFonts w:ascii="Times New Roman" w:cs="Times New Roman" w:eastAsia="Times New Roman" w:hAnsi="Times New Roman"/>
                <w:sz w:val="20"/>
                <w:szCs w:val="20"/>
                <w:color w:val="auto"/>
              </w:rPr>
              <w:t>Options</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color w:val="auto"/>
                <w:w w:val="99"/>
              </w:rPr>
              <w:t>thousands)</w:t>
            </w:r>
          </w:p>
        </w:tc>
        <w:tc>
          <w:tcPr>
            <w:tcW w:w="260" w:type="dxa"/>
            <w:vAlign w:val="bottom"/>
          </w:tcPr>
          <w:p>
            <w:pPr>
              <w:spacing w:after="0"/>
              <w:rPr>
                <w:sz w:val="21"/>
                <w:szCs w:val="21"/>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20"/>
                <w:szCs w:val="20"/>
                <w:color w:val="auto"/>
              </w:rPr>
              <w:t>Share</w:t>
            </w: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years)</w:t>
            </w:r>
          </w:p>
        </w:tc>
        <w:tc>
          <w:tcPr>
            <w:tcW w:w="180" w:type="dxa"/>
            <w:vAlign w:val="bottom"/>
          </w:tcPr>
          <w:p>
            <w:pPr>
              <w:spacing w:after="0"/>
              <w:rPr>
                <w:sz w:val="21"/>
                <w:szCs w:val="21"/>
                <w:color w:val="auto"/>
              </w:rPr>
            </w:pPr>
          </w:p>
        </w:tc>
        <w:tc>
          <w:tcPr>
            <w:tcW w:w="1520" w:type="dxa"/>
            <w:vAlign w:val="bottom"/>
          </w:tcPr>
          <w:p>
            <w:pPr>
              <w:jc w:val="center"/>
              <w:ind w:right="181"/>
              <w:spacing w:after="0"/>
              <w:rPr>
                <w:sz w:val="20"/>
                <w:szCs w:val="20"/>
                <w:color w:val="auto"/>
              </w:rPr>
            </w:pPr>
            <w:r>
              <w:rPr>
                <w:rFonts w:ascii="Times New Roman" w:cs="Times New Roman" w:eastAsia="Times New Roman" w:hAnsi="Times New Roman"/>
                <w:sz w:val="20"/>
                <w:szCs w:val="20"/>
                <w:color w:val="auto"/>
                <w:w w:val="97"/>
              </w:rPr>
              <w:t>Intrinsic Value</w:t>
            </w:r>
          </w:p>
        </w:tc>
      </w:tr>
      <w:tr>
        <w:trPr>
          <w:trHeight w:val="200"/>
        </w:trPr>
        <w:tc>
          <w:tcPr>
            <w:tcW w:w="20" w:type="dxa"/>
            <w:vAlign w:val="bottom"/>
          </w:tcPr>
          <w:p>
            <w:pPr>
              <w:spacing w:after="0"/>
              <w:rPr>
                <w:sz w:val="17"/>
                <w:szCs w:val="17"/>
                <w:color w:val="auto"/>
              </w:rPr>
            </w:pPr>
          </w:p>
        </w:tc>
        <w:tc>
          <w:tcPr>
            <w:tcW w:w="376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Outstanding at January 1, 2014</w:t>
            </w:r>
          </w:p>
        </w:tc>
        <w:tc>
          <w:tcPr>
            <w:tcW w:w="300" w:type="dxa"/>
            <w:vAlign w:val="bottom"/>
          </w:tcPr>
          <w:p>
            <w:pPr>
              <w:spacing w:after="0"/>
              <w:rPr>
                <w:sz w:val="17"/>
                <w:szCs w:val="17"/>
                <w:color w:val="auto"/>
              </w:rPr>
            </w:pPr>
          </w:p>
        </w:tc>
        <w:tc>
          <w:tcPr>
            <w:tcW w:w="16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12,973</w:t>
            </w:r>
          </w:p>
        </w:tc>
        <w:tc>
          <w:tcPr>
            <w:tcW w:w="300" w:type="dxa"/>
            <w:vAlign w:val="bottom"/>
          </w:tcPr>
          <w:p>
            <w:pPr>
              <w:spacing w:after="0"/>
              <w:rPr>
                <w:sz w:val="17"/>
                <w:szCs w:val="17"/>
                <w:color w:val="auto"/>
              </w:rPr>
            </w:pPr>
          </w:p>
        </w:tc>
        <w:tc>
          <w:tcPr>
            <w:tcW w:w="26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15.70</w:t>
            </w:r>
          </w:p>
        </w:tc>
        <w:tc>
          <w:tcPr>
            <w:tcW w:w="280" w:type="dxa"/>
            <w:vAlign w:val="bottom"/>
          </w:tcPr>
          <w:p>
            <w:pPr>
              <w:spacing w:after="0"/>
              <w:rPr>
                <w:sz w:val="17"/>
                <w:szCs w:val="17"/>
                <w:color w:val="auto"/>
              </w:rPr>
            </w:pPr>
          </w:p>
        </w:tc>
        <w:tc>
          <w:tcPr>
            <w:tcW w:w="16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3.7</w:t>
            </w:r>
          </w:p>
        </w:tc>
        <w:tc>
          <w:tcPr>
            <w:tcW w:w="280" w:type="dxa"/>
            <w:vAlign w:val="bottom"/>
          </w:tcPr>
          <w:p>
            <w:pPr>
              <w:spacing w:after="0"/>
              <w:rPr>
                <w:sz w:val="17"/>
                <w:szCs w:val="17"/>
                <w:color w:val="auto"/>
              </w:rPr>
            </w:pPr>
          </w:p>
        </w:tc>
        <w:tc>
          <w:tcPr>
            <w:tcW w:w="1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675,595</w:t>
            </w:r>
          </w:p>
        </w:tc>
      </w:tr>
      <w:tr>
        <w:trPr>
          <w:trHeight w:val="230"/>
        </w:trPr>
        <w:tc>
          <w:tcPr>
            <w:tcW w:w="20" w:type="dxa"/>
            <w:vAlign w:val="bottom"/>
          </w:tcPr>
          <w:p>
            <w:pPr>
              <w:spacing w:after="0"/>
              <w:rPr>
                <w:sz w:val="19"/>
                <w:szCs w:val="19"/>
                <w:color w:val="auto"/>
              </w:rPr>
            </w:pPr>
          </w:p>
        </w:tc>
        <w:tc>
          <w:tcPr>
            <w:tcW w:w="40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Granted 01/01/14 - 03/31/14</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w:t>
            </w:r>
          </w:p>
        </w:tc>
        <w:tc>
          <w:tcPr>
            <w:tcW w:w="300" w:type="dxa"/>
            <w:vAlign w:val="bottom"/>
          </w:tcPr>
          <w:p>
            <w:pPr>
              <w:spacing w:after="0"/>
              <w:rPr>
                <w:sz w:val="19"/>
                <w:szCs w:val="19"/>
                <w:color w:val="auto"/>
              </w:rPr>
            </w:pP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70.06</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40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Granted 04/01/14 - 06/30/14</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30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69.15</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ectPr>
          <w:pgSz w:w="11900" w:h="16838" w:orient="portrait"/>
          <w:cols w:equalWidth="0" w:num="1">
            <w:col w:w="11420"/>
          </w:cols>
          <w:pgMar w:left="240" w:top="118" w:right="2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Granted 07/01/14 - 09/30/14</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9"/>
                <w:szCs w:val="19"/>
                <w:color w:val="auto"/>
              </w:rPr>
            </w:pPr>
          </w:p>
        </w:tc>
        <w:tc>
          <w:tcPr>
            <w:tcW w:w="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Granted 10/01/14 - 12/31/14</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260" w:type="dxa"/>
            <w:vAlign w:val="bottom"/>
          </w:tcPr>
          <w:p>
            <w:pPr>
              <w:spacing w:after="0"/>
              <w:rPr>
                <w:sz w:val="19"/>
                <w:szCs w:val="19"/>
                <w:color w:val="auto"/>
              </w:rPr>
            </w:pPr>
          </w:p>
        </w:tc>
        <w:tc>
          <w:tcPr>
            <w:tcW w:w="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111.30</w:t>
            </w: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Exercised</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w:t>
            </w:r>
          </w:p>
        </w:tc>
        <w:tc>
          <w:tcPr>
            <w:tcW w:w="260" w:type="dxa"/>
            <w:vAlign w:val="bottom"/>
          </w:tcPr>
          <w:p>
            <w:pPr>
              <w:spacing w:after="0"/>
              <w:rPr>
                <w:sz w:val="19"/>
                <w:szCs w:val="19"/>
                <w:color w:val="auto"/>
              </w:rPr>
            </w:pPr>
          </w:p>
        </w:tc>
        <w:tc>
          <w:tcPr>
            <w:tcW w:w="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22.38</w:t>
            </w: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2"/>
        </w:trPr>
        <w:tc>
          <w:tcPr>
            <w:tcW w:w="4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Cancelled or 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260" w:type="dxa"/>
            <w:vAlign w:val="bottom"/>
          </w:tcPr>
          <w:p>
            <w:pPr>
              <w:spacing w:after="0"/>
              <w:rPr>
                <w:sz w:val="21"/>
                <w:szCs w:val="21"/>
                <w:color w:val="auto"/>
              </w:rPr>
            </w:pPr>
          </w:p>
        </w:tc>
        <w:tc>
          <w:tcPr>
            <w:tcW w:w="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45.49</w:t>
            </w:r>
          </w:p>
        </w:tc>
        <w:tc>
          <w:tcPr>
            <w:tcW w:w="1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00"/>
        </w:trPr>
        <w:tc>
          <w:tcPr>
            <w:tcW w:w="40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Outstanding at December 31, 2014</w:t>
            </w:r>
          </w:p>
        </w:tc>
        <w:tc>
          <w:tcPr>
            <w:tcW w:w="16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13,066</w:t>
            </w:r>
          </w:p>
        </w:tc>
        <w:tc>
          <w:tcPr>
            <w:tcW w:w="260" w:type="dxa"/>
            <w:vAlign w:val="bottom"/>
          </w:tcPr>
          <w:p>
            <w:pPr>
              <w:spacing w:after="0"/>
              <w:rPr>
                <w:sz w:val="17"/>
                <w:szCs w:val="17"/>
                <w:color w:val="auto"/>
              </w:rPr>
            </w:pPr>
          </w:p>
        </w:tc>
        <w:tc>
          <w:tcPr>
            <w:tcW w:w="600" w:type="dxa"/>
            <w:vAlign w:val="bottom"/>
          </w:tcPr>
          <w:p>
            <w:pPr>
              <w:jc w:val="right"/>
              <w:ind w:right="3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ind w:right="721"/>
              <w:spacing w:after="0" w:line="200" w:lineRule="exact"/>
              <w:rPr>
                <w:sz w:val="20"/>
                <w:szCs w:val="20"/>
                <w:color w:val="auto"/>
              </w:rPr>
            </w:pPr>
            <w:r>
              <w:rPr>
                <w:rFonts w:ascii="Times New Roman" w:cs="Times New Roman" w:eastAsia="Times New Roman" w:hAnsi="Times New Roman"/>
                <w:sz w:val="20"/>
                <w:szCs w:val="20"/>
                <w:color w:val="auto"/>
              </w:rPr>
              <w:t>19.73</w:t>
            </w:r>
          </w:p>
        </w:tc>
        <w:tc>
          <w:tcPr>
            <w:tcW w:w="126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3.1</w:t>
            </w:r>
          </w:p>
        </w:tc>
        <w:tc>
          <w:tcPr>
            <w:tcW w:w="640" w:type="dxa"/>
            <w:vAlign w:val="bottom"/>
          </w:tcPr>
          <w:p>
            <w:pPr>
              <w:jc w:val="right"/>
              <w:ind w:right="2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1,158,412</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Vested and expected to vest in the future at</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0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December 31, 2014</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12,670</w:t>
            </w:r>
          </w:p>
        </w:tc>
        <w:tc>
          <w:tcPr>
            <w:tcW w:w="260" w:type="dxa"/>
            <w:vAlign w:val="bottom"/>
          </w:tcPr>
          <w:p>
            <w:pPr>
              <w:spacing w:after="0"/>
              <w:rPr>
                <w:sz w:val="19"/>
                <w:szCs w:val="19"/>
                <w:color w:val="auto"/>
              </w:rPr>
            </w:pPr>
          </w:p>
        </w:tc>
        <w:tc>
          <w:tcPr>
            <w:tcW w:w="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18.31</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2.9</w:t>
            </w:r>
          </w:p>
        </w:tc>
        <w:tc>
          <w:tcPr>
            <w:tcW w:w="64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1,141,163</w:t>
            </w:r>
          </w:p>
        </w:tc>
      </w:tr>
      <w:tr>
        <w:trPr>
          <w:trHeight w:val="258"/>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Exercisable at December 31, 2014</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10,566</w:t>
            </w:r>
          </w:p>
        </w:tc>
        <w:tc>
          <w:tcPr>
            <w:tcW w:w="260" w:type="dxa"/>
            <w:vAlign w:val="bottom"/>
          </w:tcPr>
          <w:p>
            <w:pPr>
              <w:spacing w:after="0"/>
              <w:rPr>
                <w:sz w:val="22"/>
                <w:szCs w:val="22"/>
                <w:color w:val="auto"/>
              </w:rPr>
            </w:pPr>
          </w:p>
        </w:tc>
        <w:tc>
          <w:tcPr>
            <w:tcW w:w="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10.24</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1.8</w:t>
            </w:r>
          </w:p>
        </w:tc>
        <w:tc>
          <w:tcPr>
            <w:tcW w:w="64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1,036,675</w:t>
            </w:r>
          </w:p>
        </w:tc>
      </w:tr>
      <w:tr>
        <w:trPr>
          <w:trHeight w:val="407"/>
        </w:trPr>
        <w:tc>
          <w:tcPr>
            <w:tcW w:w="4080" w:type="dxa"/>
            <w:vAlign w:val="bottom"/>
          </w:tcPr>
          <w:p>
            <w:pPr>
              <w:spacing w:after="0"/>
              <w:rPr>
                <w:sz w:val="24"/>
                <w:szCs w:val="24"/>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w:t>
            </w: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38"/>
        </w:trPr>
        <w:tc>
          <w:tcPr>
            <w:tcW w:w="40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300"/>
        <w:spacing w:after="0" w:line="290"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0923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92315" cy="17145"/>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information about stock options outstanding and exercisable at December 31,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Options Outstanding</w:t>
            </w:r>
          </w:p>
        </w:tc>
        <w:tc>
          <w:tcPr>
            <w:tcW w:w="15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320" w:type="dxa"/>
            <w:vAlign w:val="bottom"/>
            <w:tcBorders>
              <w:bottom w:val="single" w:sz="8" w:color="auto"/>
            </w:tcBorders>
            <w:gridSpan w:val="3"/>
          </w:tcPr>
          <w:p>
            <w:pPr>
              <w:jc w:val="right"/>
              <w:ind w:right="821"/>
              <w:spacing w:after="0"/>
              <w:rPr>
                <w:sz w:val="20"/>
                <w:szCs w:val="20"/>
                <w:color w:val="auto"/>
              </w:rPr>
            </w:pPr>
            <w:r>
              <w:rPr>
                <w:rFonts w:ascii="Times New Roman" w:cs="Times New Roman" w:eastAsia="Times New Roman" w:hAnsi="Times New Roman"/>
                <w:sz w:val="20"/>
                <w:szCs w:val="20"/>
                <w:color w:val="auto"/>
              </w:rPr>
              <w:t>Options Exercisable</w:t>
            </w:r>
          </w:p>
        </w:tc>
      </w:tr>
      <w:tr>
        <w:trPr>
          <w:trHeight w:val="200"/>
        </w:trPr>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20"/>
                <w:szCs w:val="20"/>
                <w:color w:val="auto"/>
                <w:w w:val="97"/>
              </w:rPr>
              <w:t>Weighted</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7"/>
              </w:rPr>
              <w:t>Average</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7"/>
              </w:rPr>
              <w:t>Weighted</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Number</w:t>
            </w:r>
          </w:p>
        </w:tc>
        <w:tc>
          <w:tcPr>
            <w:tcW w:w="220" w:type="dxa"/>
            <w:vAlign w:val="bottom"/>
          </w:tcPr>
          <w:p>
            <w:pPr>
              <w:spacing w:after="0"/>
              <w:rPr>
                <w:sz w:val="19"/>
                <w:szCs w:val="19"/>
                <w:color w:val="auto"/>
              </w:rPr>
            </w:pPr>
          </w:p>
        </w:tc>
        <w:tc>
          <w:tcPr>
            <w:tcW w:w="166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Weighted</w:t>
            </w:r>
          </w:p>
        </w:tc>
      </w:tr>
      <w:tr>
        <w:trPr>
          <w:trHeight w:val="230"/>
        </w:trPr>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Number</w:t>
            </w:r>
          </w:p>
        </w:tc>
        <w:tc>
          <w:tcPr>
            <w:tcW w:w="240" w:type="dxa"/>
            <w:vAlign w:val="bottom"/>
          </w:tcPr>
          <w:p>
            <w:pPr>
              <w:spacing w:after="0"/>
              <w:rPr>
                <w:sz w:val="19"/>
                <w:szCs w:val="19"/>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Remaining</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4"/>
              </w:rPr>
              <w:t>Average</w:t>
            </w:r>
          </w:p>
        </w:tc>
        <w:tc>
          <w:tcPr>
            <w:tcW w:w="14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Exercisable</w:t>
            </w:r>
          </w:p>
        </w:tc>
        <w:tc>
          <w:tcPr>
            <w:tcW w:w="220" w:type="dxa"/>
            <w:vAlign w:val="bottom"/>
          </w:tcPr>
          <w:p>
            <w:pPr>
              <w:spacing w:after="0"/>
              <w:rPr>
                <w:sz w:val="19"/>
                <w:szCs w:val="19"/>
                <w:color w:val="auto"/>
              </w:rPr>
            </w:pPr>
          </w:p>
        </w:tc>
        <w:tc>
          <w:tcPr>
            <w:tcW w:w="166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4"/>
              </w:rPr>
              <w:t>Average</w:t>
            </w:r>
          </w:p>
        </w:tc>
      </w:tr>
      <w:tr>
        <w:trPr>
          <w:trHeight w:val="230"/>
        </w:trPr>
        <w:tc>
          <w:tcPr>
            <w:tcW w:w="2580" w:type="dxa"/>
            <w:vAlign w:val="bottom"/>
            <w:gridSpan w:val="4"/>
          </w:tcPr>
          <w:p>
            <w:pPr>
              <w:jc w:val="center"/>
              <w:ind w:right="220"/>
              <w:spacing w:after="0"/>
              <w:rPr>
                <w:sz w:val="20"/>
                <w:szCs w:val="20"/>
                <w:color w:val="auto"/>
              </w:rPr>
            </w:pPr>
            <w:r>
              <w:rPr>
                <w:rFonts w:ascii="Times New Roman" w:cs="Times New Roman" w:eastAsia="Times New Roman" w:hAnsi="Times New Roman"/>
                <w:sz w:val="20"/>
                <w:szCs w:val="20"/>
                <w:color w:val="auto"/>
                <w:w w:val="98"/>
              </w:rPr>
              <w:t>Range of Exercise</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Outstanding (In</w:t>
            </w:r>
          </w:p>
        </w:tc>
        <w:tc>
          <w:tcPr>
            <w:tcW w:w="240" w:type="dxa"/>
            <w:vAlign w:val="bottom"/>
          </w:tcPr>
          <w:p>
            <w:pPr>
              <w:spacing w:after="0"/>
              <w:rPr>
                <w:sz w:val="19"/>
                <w:szCs w:val="19"/>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8"/>
              </w:rPr>
              <w:t>Contractual</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8"/>
              </w:rPr>
              <w:t>Exercise</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w:t>
            </w:r>
          </w:p>
        </w:tc>
        <w:tc>
          <w:tcPr>
            <w:tcW w:w="220" w:type="dxa"/>
            <w:vAlign w:val="bottom"/>
          </w:tcPr>
          <w:p>
            <w:pPr>
              <w:spacing w:after="0"/>
              <w:rPr>
                <w:sz w:val="19"/>
                <w:szCs w:val="19"/>
                <w:color w:val="auto"/>
              </w:rPr>
            </w:pPr>
          </w:p>
        </w:tc>
        <w:tc>
          <w:tcPr>
            <w:tcW w:w="166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8"/>
              </w:rPr>
              <w:t>Exercise</w:t>
            </w:r>
          </w:p>
        </w:tc>
      </w:tr>
      <w:tr>
        <w:trPr>
          <w:trHeight w:val="252"/>
        </w:trPr>
        <w:tc>
          <w:tcPr>
            <w:tcW w:w="860" w:type="dxa"/>
            <w:vAlign w:val="bottom"/>
          </w:tcPr>
          <w:p>
            <w:pPr>
              <w:spacing w:after="0"/>
              <w:rPr>
                <w:sz w:val="21"/>
                <w:szCs w:val="21"/>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Prices ($)</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Thousands)</w:t>
            </w:r>
          </w:p>
        </w:tc>
        <w:tc>
          <w:tcPr>
            <w:tcW w:w="240" w:type="dxa"/>
            <w:vAlign w:val="bottom"/>
          </w:tcPr>
          <w:p>
            <w:pPr>
              <w:spacing w:after="0"/>
              <w:rPr>
                <w:sz w:val="21"/>
                <w:szCs w:val="21"/>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5"/>
              </w:rPr>
              <w:t>Term (Years)</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7"/>
              </w:rPr>
              <w:t>Price ($)</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Thousands)</w:t>
            </w:r>
          </w:p>
        </w:tc>
        <w:tc>
          <w:tcPr>
            <w:tcW w:w="220" w:type="dxa"/>
            <w:vAlign w:val="bottom"/>
          </w:tcPr>
          <w:p>
            <w:pPr>
              <w:spacing w:after="0"/>
              <w:rPr>
                <w:sz w:val="21"/>
                <w:szCs w:val="21"/>
                <w:color w:val="auto"/>
              </w:rPr>
            </w:pPr>
          </w:p>
        </w:tc>
        <w:tc>
          <w:tcPr>
            <w:tcW w:w="166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Price ($)</w:t>
            </w:r>
          </w:p>
        </w:tc>
      </w:tr>
      <w:tr>
        <w:trPr>
          <w:trHeight w:val="200"/>
        </w:trPr>
        <w:tc>
          <w:tcPr>
            <w:tcW w:w="860" w:type="dxa"/>
            <w:vAlign w:val="bottom"/>
            <w:tcBorders>
              <w:top w:val="single" w:sz="8" w:color="auto"/>
            </w:tcBorders>
          </w:tcPr>
          <w:p>
            <w:pPr>
              <w:jc w:val="center"/>
              <w:ind w:left="101"/>
              <w:spacing w:after="0" w:line="200" w:lineRule="exact"/>
              <w:rPr>
                <w:sz w:val="20"/>
                <w:szCs w:val="20"/>
                <w:color w:val="auto"/>
              </w:rPr>
            </w:pPr>
            <w:r>
              <w:rPr>
                <w:rFonts w:ascii="Times New Roman" w:cs="Times New Roman" w:eastAsia="Times New Roman" w:hAnsi="Times New Roman"/>
                <w:sz w:val="20"/>
                <w:szCs w:val="20"/>
                <w:color w:val="auto"/>
              </w:rPr>
              <w:t>$3.29</w:t>
            </w:r>
          </w:p>
        </w:tc>
        <w:tc>
          <w:tcPr>
            <w:tcW w:w="500" w:type="dxa"/>
            <w:vAlign w:val="bottom"/>
            <w:tcBorders>
              <w:top w:val="single" w:sz="8" w:color="auto"/>
            </w:tcBorders>
          </w:tcPr>
          <w:p>
            <w:pPr>
              <w:jc w:val="center"/>
              <w:ind w:left="21"/>
              <w:spacing w:after="0" w:line="200" w:lineRule="exact"/>
              <w:rPr>
                <w:sz w:val="20"/>
                <w:szCs w:val="20"/>
                <w:color w:val="auto"/>
              </w:rPr>
            </w:pPr>
            <w:r>
              <w:rPr>
                <w:rFonts w:ascii="Times New Roman" w:cs="Times New Roman" w:eastAsia="Times New Roman" w:hAnsi="Times New Roman"/>
                <w:sz w:val="20"/>
                <w:szCs w:val="20"/>
                <w:color w:val="auto"/>
                <w:w w:val="89"/>
              </w:rPr>
              <w:t>-</w:t>
            </w:r>
          </w:p>
        </w:tc>
        <w:tc>
          <w:tcPr>
            <w:tcW w:w="98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$3.29</w:t>
            </w:r>
          </w:p>
        </w:tc>
        <w:tc>
          <w:tcPr>
            <w:tcW w:w="240" w:type="dxa"/>
            <w:vAlign w:val="bottom"/>
          </w:tcPr>
          <w:p>
            <w:pPr>
              <w:spacing w:after="0"/>
              <w:rPr>
                <w:sz w:val="17"/>
                <w:szCs w:val="17"/>
                <w:color w:val="auto"/>
              </w:rPr>
            </w:pPr>
          </w:p>
        </w:tc>
        <w:tc>
          <w:tcPr>
            <w:tcW w:w="172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4,400</w:t>
            </w:r>
          </w:p>
        </w:tc>
        <w:tc>
          <w:tcPr>
            <w:tcW w:w="240" w:type="dxa"/>
            <w:vAlign w:val="bottom"/>
          </w:tcPr>
          <w:p>
            <w:pPr>
              <w:spacing w:after="0"/>
              <w:rPr>
                <w:sz w:val="17"/>
                <w:szCs w:val="17"/>
                <w:color w:val="auto"/>
              </w:rPr>
            </w:pPr>
          </w:p>
        </w:tc>
        <w:tc>
          <w:tcPr>
            <w:tcW w:w="1560" w:type="dxa"/>
            <w:vAlign w:val="bottom"/>
            <w:tcBorders>
              <w:top w:val="single" w:sz="8" w:color="auto"/>
            </w:tcBorders>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0.2</w:t>
            </w:r>
          </w:p>
        </w:tc>
        <w:tc>
          <w:tcPr>
            <w:tcW w:w="220" w:type="dxa"/>
            <w:vAlign w:val="bottom"/>
          </w:tcPr>
          <w:p>
            <w:pPr>
              <w:spacing w:after="0"/>
              <w:rPr>
                <w:sz w:val="17"/>
                <w:szCs w:val="17"/>
                <w:color w:val="auto"/>
              </w:rPr>
            </w:pPr>
          </w:p>
        </w:tc>
        <w:tc>
          <w:tcPr>
            <w:tcW w:w="15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$3.29</w:t>
            </w:r>
          </w:p>
        </w:tc>
        <w:tc>
          <w:tcPr>
            <w:tcW w:w="220" w:type="dxa"/>
            <w:vAlign w:val="bottom"/>
          </w:tcPr>
          <w:p>
            <w:pPr>
              <w:spacing w:after="0"/>
              <w:rPr>
                <w:sz w:val="17"/>
                <w:szCs w:val="17"/>
                <w:color w:val="auto"/>
              </w:rPr>
            </w:pPr>
          </w:p>
        </w:tc>
        <w:tc>
          <w:tcPr>
            <w:tcW w:w="144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4,400</w:t>
            </w:r>
          </w:p>
        </w:tc>
        <w:tc>
          <w:tcPr>
            <w:tcW w:w="220" w:type="dxa"/>
            <w:vAlign w:val="bottom"/>
          </w:tcPr>
          <w:p>
            <w:pPr>
              <w:spacing w:after="0"/>
              <w:rPr>
                <w:sz w:val="17"/>
                <w:szCs w:val="17"/>
                <w:color w:val="auto"/>
              </w:rPr>
            </w:pPr>
          </w:p>
        </w:tc>
        <w:tc>
          <w:tcPr>
            <w:tcW w:w="1660" w:type="dxa"/>
            <w:vAlign w:val="bottom"/>
            <w:tcBorders>
              <w:top w:val="single" w:sz="8" w:color="auto"/>
            </w:tcBorders>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$3.29</w:t>
            </w:r>
          </w:p>
        </w:tc>
      </w:tr>
      <w:tr>
        <w:trPr>
          <w:trHeight w:val="230"/>
        </w:trPr>
        <w:tc>
          <w:tcPr>
            <w:tcW w:w="8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$5.72</w:t>
            </w:r>
          </w:p>
        </w:tc>
        <w:tc>
          <w:tcPr>
            <w:tcW w:w="50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8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$6.21</w:t>
            </w:r>
          </w:p>
        </w:tc>
        <w:tc>
          <w:tcPr>
            <w:tcW w:w="240" w:type="dxa"/>
            <w:vAlign w:val="bottom"/>
          </w:tcPr>
          <w:p>
            <w:pPr>
              <w:spacing w:after="0"/>
              <w:rPr>
                <w:sz w:val="19"/>
                <w:szCs w:val="19"/>
                <w:color w:val="auto"/>
              </w:rPr>
            </w:pPr>
          </w:p>
        </w:tc>
        <w:tc>
          <w:tcPr>
            <w:tcW w:w="1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w:t>
            </w:r>
          </w:p>
        </w:tc>
        <w:tc>
          <w:tcPr>
            <w:tcW w:w="180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0.5</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w:t>
            </w:r>
          </w:p>
        </w:tc>
        <w:tc>
          <w:tcPr>
            <w:tcW w:w="220" w:type="dxa"/>
            <w:vAlign w:val="bottom"/>
          </w:tcPr>
          <w:p>
            <w:pPr>
              <w:spacing w:after="0"/>
              <w:rPr>
                <w:sz w:val="19"/>
                <w:szCs w:val="19"/>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w:t>
            </w:r>
          </w:p>
        </w:tc>
        <w:tc>
          <w:tcPr>
            <w:tcW w:w="18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$6.18</w:t>
            </w:r>
          </w:p>
        </w:tc>
      </w:tr>
      <w:tr>
        <w:trPr>
          <w:trHeight w:val="230"/>
        </w:trPr>
        <w:tc>
          <w:tcPr>
            <w:tcW w:w="8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$8.44</w:t>
            </w:r>
          </w:p>
        </w:tc>
        <w:tc>
          <w:tcPr>
            <w:tcW w:w="50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8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$8.44</w:t>
            </w:r>
          </w:p>
        </w:tc>
        <w:tc>
          <w:tcPr>
            <w:tcW w:w="240" w:type="dxa"/>
            <w:vAlign w:val="bottom"/>
          </w:tcPr>
          <w:p>
            <w:pPr>
              <w:spacing w:after="0"/>
              <w:rPr>
                <w:sz w:val="19"/>
                <w:szCs w:val="19"/>
                <w:color w:val="auto"/>
              </w:rPr>
            </w:pPr>
          </w:p>
        </w:tc>
        <w:tc>
          <w:tcPr>
            <w:tcW w:w="1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2,445</w:t>
            </w:r>
          </w:p>
        </w:tc>
        <w:tc>
          <w:tcPr>
            <w:tcW w:w="180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0.9</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w:t>
            </w:r>
          </w:p>
        </w:tc>
        <w:tc>
          <w:tcPr>
            <w:tcW w:w="220" w:type="dxa"/>
            <w:vAlign w:val="bottom"/>
          </w:tcPr>
          <w:p>
            <w:pPr>
              <w:spacing w:after="0"/>
              <w:rPr>
                <w:sz w:val="19"/>
                <w:szCs w:val="19"/>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2,445</w:t>
            </w:r>
          </w:p>
        </w:tc>
        <w:tc>
          <w:tcPr>
            <w:tcW w:w="18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$8.44</w:t>
            </w:r>
          </w:p>
        </w:tc>
      </w:tr>
      <w:tr>
        <w:trPr>
          <w:trHeight w:val="230"/>
        </w:trPr>
        <w:tc>
          <w:tcPr>
            <w:tcW w:w="8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8"/>
              </w:rPr>
              <w:t>$13.37</w:t>
            </w:r>
          </w:p>
        </w:tc>
        <w:tc>
          <w:tcPr>
            <w:tcW w:w="50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8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$15.60</w:t>
            </w:r>
          </w:p>
        </w:tc>
        <w:tc>
          <w:tcPr>
            <w:tcW w:w="240" w:type="dxa"/>
            <w:vAlign w:val="bottom"/>
          </w:tcPr>
          <w:p>
            <w:pPr>
              <w:spacing w:after="0"/>
              <w:rPr>
                <w:sz w:val="19"/>
                <w:szCs w:val="19"/>
                <w:color w:val="auto"/>
              </w:rPr>
            </w:pPr>
          </w:p>
        </w:tc>
        <w:tc>
          <w:tcPr>
            <w:tcW w:w="1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111</w:t>
            </w:r>
          </w:p>
        </w:tc>
        <w:tc>
          <w:tcPr>
            <w:tcW w:w="180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3.7</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$13.56</w:t>
            </w:r>
          </w:p>
        </w:tc>
        <w:tc>
          <w:tcPr>
            <w:tcW w:w="220" w:type="dxa"/>
            <w:vAlign w:val="bottom"/>
          </w:tcPr>
          <w:p>
            <w:pPr>
              <w:spacing w:after="0"/>
              <w:rPr>
                <w:sz w:val="19"/>
                <w:szCs w:val="19"/>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111</w:t>
            </w:r>
          </w:p>
        </w:tc>
        <w:tc>
          <w:tcPr>
            <w:tcW w:w="18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$13.56</w:t>
            </w:r>
          </w:p>
        </w:tc>
      </w:tr>
      <w:tr>
        <w:trPr>
          <w:trHeight w:val="230"/>
        </w:trPr>
        <w:tc>
          <w:tcPr>
            <w:tcW w:w="8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8"/>
              </w:rPr>
              <w:t>$15.86</w:t>
            </w:r>
          </w:p>
        </w:tc>
        <w:tc>
          <w:tcPr>
            <w:tcW w:w="50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8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$15.86</w:t>
            </w:r>
          </w:p>
        </w:tc>
        <w:tc>
          <w:tcPr>
            <w:tcW w:w="240" w:type="dxa"/>
            <w:vAlign w:val="bottom"/>
          </w:tcPr>
          <w:p>
            <w:pPr>
              <w:spacing w:after="0"/>
              <w:rPr>
                <w:sz w:val="19"/>
                <w:szCs w:val="19"/>
                <w:color w:val="auto"/>
              </w:rPr>
            </w:pPr>
          </w:p>
        </w:tc>
        <w:tc>
          <w:tcPr>
            <w:tcW w:w="1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1,700</w:t>
            </w:r>
          </w:p>
        </w:tc>
        <w:tc>
          <w:tcPr>
            <w:tcW w:w="180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3.4</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$15.86</w:t>
            </w:r>
          </w:p>
        </w:tc>
        <w:tc>
          <w:tcPr>
            <w:tcW w:w="220" w:type="dxa"/>
            <w:vAlign w:val="bottom"/>
          </w:tcPr>
          <w:p>
            <w:pPr>
              <w:spacing w:after="0"/>
              <w:rPr>
                <w:sz w:val="19"/>
                <w:szCs w:val="19"/>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1,700</w:t>
            </w:r>
          </w:p>
        </w:tc>
        <w:tc>
          <w:tcPr>
            <w:tcW w:w="18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$15.86</w:t>
            </w:r>
          </w:p>
        </w:tc>
      </w:tr>
      <w:tr>
        <w:trPr>
          <w:trHeight w:val="230"/>
        </w:trPr>
        <w:tc>
          <w:tcPr>
            <w:tcW w:w="8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8"/>
              </w:rPr>
              <w:t>$15.94</w:t>
            </w:r>
          </w:p>
        </w:tc>
        <w:tc>
          <w:tcPr>
            <w:tcW w:w="50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8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$19.20</w:t>
            </w:r>
          </w:p>
        </w:tc>
        <w:tc>
          <w:tcPr>
            <w:tcW w:w="240" w:type="dxa"/>
            <w:vAlign w:val="bottom"/>
          </w:tcPr>
          <w:p>
            <w:pPr>
              <w:spacing w:after="0"/>
              <w:rPr>
                <w:sz w:val="19"/>
                <w:szCs w:val="19"/>
                <w:color w:val="auto"/>
              </w:rPr>
            </w:pPr>
          </w:p>
        </w:tc>
        <w:tc>
          <w:tcPr>
            <w:tcW w:w="1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1,307</w:t>
            </w:r>
          </w:p>
        </w:tc>
        <w:tc>
          <w:tcPr>
            <w:tcW w:w="180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4.8</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$17.83</w:t>
            </w:r>
          </w:p>
        </w:tc>
        <w:tc>
          <w:tcPr>
            <w:tcW w:w="220" w:type="dxa"/>
            <w:vAlign w:val="bottom"/>
          </w:tcPr>
          <w:p>
            <w:pPr>
              <w:spacing w:after="0"/>
              <w:rPr>
                <w:sz w:val="19"/>
                <w:szCs w:val="19"/>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1,307</w:t>
            </w:r>
          </w:p>
        </w:tc>
        <w:tc>
          <w:tcPr>
            <w:tcW w:w="18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$17.83</w:t>
            </w:r>
          </w:p>
        </w:tc>
      </w:tr>
      <w:tr>
        <w:trPr>
          <w:trHeight w:val="230"/>
        </w:trPr>
        <w:tc>
          <w:tcPr>
            <w:tcW w:w="8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8"/>
              </w:rPr>
              <w:t>$19.23</w:t>
            </w:r>
          </w:p>
        </w:tc>
        <w:tc>
          <w:tcPr>
            <w:tcW w:w="50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8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$53.96</w:t>
            </w:r>
          </w:p>
        </w:tc>
        <w:tc>
          <w:tcPr>
            <w:tcW w:w="240" w:type="dxa"/>
            <w:vAlign w:val="bottom"/>
          </w:tcPr>
          <w:p>
            <w:pPr>
              <w:spacing w:after="0"/>
              <w:rPr>
                <w:sz w:val="19"/>
                <w:szCs w:val="19"/>
                <w:color w:val="auto"/>
              </w:rPr>
            </w:pPr>
          </w:p>
        </w:tc>
        <w:tc>
          <w:tcPr>
            <w:tcW w:w="1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1,700</w:t>
            </w:r>
          </w:p>
        </w:tc>
        <w:tc>
          <w:tcPr>
            <w:tcW w:w="180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7.1</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$41.19</w:t>
            </w:r>
          </w:p>
        </w:tc>
        <w:tc>
          <w:tcPr>
            <w:tcW w:w="220" w:type="dxa"/>
            <w:vAlign w:val="bottom"/>
          </w:tcPr>
          <w:p>
            <w:pPr>
              <w:spacing w:after="0"/>
              <w:rPr>
                <w:sz w:val="19"/>
                <w:szCs w:val="19"/>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558</w:t>
            </w:r>
          </w:p>
        </w:tc>
        <w:tc>
          <w:tcPr>
            <w:tcW w:w="18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$34.33</w:t>
            </w:r>
          </w:p>
        </w:tc>
      </w:tr>
      <w:tr>
        <w:trPr>
          <w:trHeight w:val="230"/>
        </w:trPr>
        <w:tc>
          <w:tcPr>
            <w:tcW w:w="8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8"/>
              </w:rPr>
              <w:t>$55.92</w:t>
            </w:r>
          </w:p>
        </w:tc>
        <w:tc>
          <w:tcPr>
            <w:tcW w:w="50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8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$71.05</w:t>
            </w:r>
          </w:p>
        </w:tc>
        <w:tc>
          <w:tcPr>
            <w:tcW w:w="240" w:type="dxa"/>
            <w:vAlign w:val="bottom"/>
          </w:tcPr>
          <w:p>
            <w:pPr>
              <w:spacing w:after="0"/>
              <w:rPr>
                <w:sz w:val="19"/>
                <w:szCs w:val="19"/>
                <w:color w:val="auto"/>
              </w:rPr>
            </w:pPr>
          </w:p>
        </w:tc>
        <w:tc>
          <w:tcPr>
            <w:tcW w:w="1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1,190</w:t>
            </w:r>
          </w:p>
        </w:tc>
        <w:tc>
          <w:tcPr>
            <w:tcW w:w="180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8.7</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$66.22</w:t>
            </w:r>
          </w:p>
        </w:tc>
        <w:tc>
          <w:tcPr>
            <w:tcW w:w="220" w:type="dxa"/>
            <w:vAlign w:val="bottom"/>
          </w:tcPr>
          <w:p>
            <w:pPr>
              <w:spacing w:after="0"/>
              <w:rPr>
                <w:sz w:val="19"/>
                <w:szCs w:val="19"/>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w:t>
            </w:r>
          </w:p>
        </w:tc>
        <w:tc>
          <w:tcPr>
            <w:tcW w:w="18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$63.85</w:t>
            </w:r>
          </w:p>
        </w:tc>
      </w:tr>
      <w:tr>
        <w:trPr>
          <w:trHeight w:val="230"/>
        </w:trPr>
        <w:tc>
          <w:tcPr>
            <w:tcW w:w="8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8"/>
              </w:rPr>
              <w:t>$74.78</w:t>
            </w:r>
          </w:p>
        </w:tc>
        <w:tc>
          <w:tcPr>
            <w:tcW w:w="50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8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$74.78</w:t>
            </w:r>
          </w:p>
        </w:tc>
        <w:tc>
          <w:tcPr>
            <w:tcW w:w="240" w:type="dxa"/>
            <w:vAlign w:val="bottom"/>
          </w:tcPr>
          <w:p>
            <w:pPr>
              <w:spacing w:after="0"/>
              <w:rPr>
                <w:sz w:val="19"/>
                <w:szCs w:val="19"/>
                <w:color w:val="auto"/>
              </w:rPr>
            </w:pPr>
          </w:p>
        </w:tc>
        <w:tc>
          <w:tcPr>
            <w:tcW w:w="1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w:t>
            </w:r>
          </w:p>
        </w:tc>
        <w:tc>
          <w:tcPr>
            <w:tcW w:w="180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7.5</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$74.78</w:t>
            </w:r>
          </w:p>
        </w:tc>
        <w:tc>
          <w:tcPr>
            <w:tcW w:w="220" w:type="dxa"/>
            <w:vAlign w:val="bottom"/>
          </w:tcPr>
          <w:p>
            <w:pPr>
              <w:spacing w:after="0"/>
              <w:rPr>
                <w:sz w:val="19"/>
                <w:szCs w:val="19"/>
                <w:color w:val="auto"/>
              </w:rPr>
            </w:pPr>
          </w:p>
        </w:tc>
        <w:tc>
          <w:tcPr>
            <w:tcW w:w="1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$0.00</w:t>
            </w:r>
          </w:p>
        </w:tc>
      </w:tr>
      <w:tr>
        <w:trPr>
          <w:trHeight w:val="252"/>
        </w:trPr>
        <w:tc>
          <w:tcPr>
            <w:tcW w:w="8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5"/>
              </w:rPr>
              <w:t>$111.30</w:t>
            </w:r>
          </w:p>
        </w:tc>
        <w:tc>
          <w:tcPr>
            <w:tcW w:w="50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8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$111.30</w:t>
            </w:r>
          </w:p>
        </w:tc>
        <w:tc>
          <w:tcPr>
            <w:tcW w:w="240" w:type="dxa"/>
            <w:vAlign w:val="bottom"/>
          </w:tcPr>
          <w:p>
            <w:pPr>
              <w:spacing w:after="0"/>
              <w:rPr>
                <w:sz w:val="21"/>
                <w:szCs w:val="21"/>
                <w:color w:val="auto"/>
              </w:rPr>
            </w:pPr>
          </w:p>
        </w:tc>
        <w:tc>
          <w:tcPr>
            <w:tcW w:w="1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196</w:t>
            </w:r>
          </w:p>
        </w:tc>
        <w:tc>
          <w:tcPr>
            <w:tcW w:w="180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9.9</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$111.30</w:t>
            </w:r>
          </w:p>
        </w:tc>
        <w:tc>
          <w:tcPr>
            <w:tcW w:w="220" w:type="dxa"/>
            <w:vAlign w:val="bottom"/>
          </w:tcPr>
          <w:p>
            <w:pPr>
              <w:spacing w:after="0"/>
              <w:rPr>
                <w:sz w:val="21"/>
                <w:szCs w:val="21"/>
                <w:color w:val="auto"/>
              </w:rPr>
            </w:pPr>
          </w:p>
        </w:tc>
        <w:tc>
          <w:tcPr>
            <w:tcW w:w="14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$0.00</w:t>
            </w:r>
          </w:p>
        </w:tc>
      </w:tr>
      <w:tr>
        <w:trPr>
          <w:trHeight w:val="223"/>
        </w:trPr>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13,066</w:t>
            </w:r>
          </w:p>
        </w:tc>
        <w:tc>
          <w:tcPr>
            <w:tcW w:w="1800" w:type="dxa"/>
            <w:vAlign w:val="bottom"/>
            <w:gridSpan w:val="2"/>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3.1</w:t>
            </w:r>
          </w:p>
        </w:tc>
        <w:tc>
          <w:tcPr>
            <w:tcW w:w="220" w:type="dxa"/>
            <w:vAlign w:val="bottom"/>
          </w:tcPr>
          <w:p>
            <w:pPr>
              <w:spacing w:after="0"/>
              <w:rPr>
                <w:sz w:val="19"/>
                <w:szCs w:val="19"/>
                <w:color w:val="auto"/>
              </w:rPr>
            </w:pPr>
          </w:p>
        </w:tc>
        <w:tc>
          <w:tcPr>
            <w:tcW w:w="15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$19.73</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10,567</w:t>
            </w:r>
          </w:p>
        </w:tc>
        <w:tc>
          <w:tcPr>
            <w:tcW w:w="1880" w:type="dxa"/>
            <w:vAlign w:val="bottom"/>
            <w:gridSpan w:val="2"/>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$10.24</w:t>
            </w: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60" w:firstLine="828"/>
        <w:spacing w:after="0" w:line="254" w:lineRule="auto"/>
        <w:rPr>
          <w:sz w:val="20"/>
          <w:szCs w:val="20"/>
          <w:color w:val="auto"/>
        </w:rPr>
      </w:pPr>
      <w:r>
        <w:rPr>
          <w:rFonts w:ascii="Times New Roman" w:cs="Times New Roman" w:eastAsia="Times New Roman" w:hAnsi="Times New Roman"/>
          <w:sz w:val="20"/>
          <w:szCs w:val="20"/>
          <w:color w:val="auto"/>
        </w:rPr>
        <w:t>The weighted-average grant-date fair value of options granted during the years ended December 31, 2014, 2013 and 2012 was $31.49 per share, $22.57 per share and $25.21 per share, respectively. The total intrinsic value of options exercised during the years ended December 31, 2014, 2013 and 2012 was $47.1 million, $91.6 million and $248.8 million, respectively.</w:t>
      </w:r>
    </w:p>
    <w:p>
      <w:pPr>
        <w:spacing w:after="0" w:line="188"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Cash received from option exercises under all plans for the years ended December 31, 2014, 2013 and 2012 was approximately $17.2 million, $21.3 million and $10.3 million, respectively.</w:t>
      </w:r>
    </w:p>
    <w:p>
      <w:pPr>
        <w:spacing w:after="0" w:line="173"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At December 31, 2014, there was $48.5 million of total unrecognized compensation expense related to nonvested options granted to employees under the Company’s share-based payment plans. That cost is expected to be recognized over a weighted-average period of 2.8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Restricted Stock Awards and Restricted Stock Units</w:t>
      </w:r>
    </w:p>
    <w:p>
      <w:pPr>
        <w:spacing w:after="0" w:line="233"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0"/>
          <w:szCs w:val="20"/>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Total cash paid to settle restricted stock unit liabilities and the increase in the liabilities for future cash settlements during the years ended December 31, 2014 and 2013 were not material.</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3" w:lineRule="exact"/>
        <w:rPr>
          <w:sz w:val="20"/>
          <w:szCs w:val="20"/>
          <w:color w:val="auto"/>
        </w:rPr>
      </w:pPr>
    </w:p>
    <w:p>
      <w:pPr>
        <w:ind w:right="5300"/>
        <w:spacing w:after="0" w:line="290"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0923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92315" cy="17145"/>
                    </a:xfrm>
                    <a:prstGeom prst="rect">
                      <a:avLst/>
                    </a:prstGeom>
                    <a:noFill/>
                  </pic:spPr>
                </pic:pic>
              </a:graphicData>
            </a:graphic>
          </wp:anchor>
        </w:drawing>
      </w:r>
    </w:p>
    <w:p>
      <w:pPr>
        <w:spacing w:after="0" w:line="15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The following table summarizes the Company’s activities with respect to non-vested restricted stock awards and non-vested restricted stock units as follows:</w:t>
      </w:r>
    </w:p>
    <w:p>
      <w:pPr>
        <w:sectPr>
          <w:pgSz w:w="11900" w:h="16838" w:orient="portrait"/>
          <w:cols w:equalWidth="0" w:num="1">
            <w:col w:w="11460"/>
          </w:cols>
          <w:pgMar w:left="240" w:top="116" w:right="199" w:bottom="0" w:gutter="0" w:footer="0" w:header="0"/>
        </w:sectPr>
      </w:pPr>
    </w:p>
    <w:p>
      <w:pPr>
        <w:spacing w:after="0" w:line="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Number of</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Shares (in</w:t>
      </w:r>
    </w:p>
    <w:p>
      <w:pPr>
        <w:ind w:left="4260"/>
        <w:spacing w:after="0"/>
        <w:rPr>
          <w:sz w:val="20"/>
          <w:szCs w:val="20"/>
          <w:color w:val="auto"/>
        </w:rPr>
      </w:pPr>
      <w:r>
        <w:rPr>
          <w:rFonts w:ascii="Times New Roman" w:cs="Times New Roman" w:eastAsia="Times New Roman" w:hAnsi="Times New Roman"/>
          <w:sz w:val="19"/>
          <w:szCs w:val="19"/>
          <w:color w:val="auto"/>
        </w:rPr>
        <w:t>thousands)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Weighted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Average</w:t>
      </w:r>
    </w:p>
    <w:p>
      <w:pPr>
        <w:sectPr>
          <w:pgSz w:w="11900" w:h="16838" w:orient="portrait"/>
          <w:cols w:equalWidth="0" w:num="2">
            <w:col w:w="5580" w:space="720"/>
            <w:col w:w="5160"/>
          </w:cols>
          <w:pgMar w:left="240" w:top="116" w:right="199" w:bottom="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Grant-Date</w:t>
            </w:r>
          </w:p>
        </w:tc>
      </w:tr>
      <w:tr>
        <w:trPr>
          <w:trHeight w:val="252"/>
        </w:trPr>
        <w:tc>
          <w:tcPr>
            <w:tcW w:w="3860" w:type="dxa"/>
            <w:vAlign w:val="bottom"/>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Fair Value</w:t>
            </w:r>
          </w:p>
        </w:tc>
      </w:tr>
      <w:tr>
        <w:trPr>
          <w:trHeight w:val="254"/>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January 1, 2014</w:t>
            </w:r>
          </w:p>
        </w:tc>
        <w:tc>
          <w:tcPr>
            <w:tcW w:w="1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391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49.27</w:t>
            </w:r>
          </w:p>
        </w:tc>
      </w:tr>
      <w:tr>
        <w:trPr>
          <w:trHeight w:val="257"/>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 01/01/14 - 03/31/14</w:t>
            </w:r>
          </w:p>
        </w:tc>
        <w:tc>
          <w:tcPr>
            <w:tcW w:w="1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 04/01/14 - 06/30/14</w:t>
            </w:r>
          </w:p>
        </w:tc>
        <w:tc>
          <w:tcPr>
            <w:tcW w:w="1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69.00</w:t>
            </w:r>
          </w:p>
        </w:tc>
      </w:tr>
      <w:tr>
        <w:trPr>
          <w:trHeight w:val="257"/>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 07/01/14 - 09/30/14</w:t>
            </w:r>
          </w:p>
        </w:tc>
        <w:tc>
          <w:tcPr>
            <w:tcW w:w="1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 10/01/14 - 12/31/14</w:t>
            </w:r>
          </w:p>
        </w:tc>
        <w:tc>
          <w:tcPr>
            <w:tcW w:w="1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111.30</w:t>
            </w:r>
          </w:p>
        </w:tc>
      </w:tr>
      <w:tr>
        <w:trPr>
          <w:trHeight w:val="257"/>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Vested</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44.16</w:t>
            </w:r>
          </w:p>
        </w:tc>
      </w:tr>
      <w:tr>
        <w:trPr>
          <w:trHeight w:val="252"/>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Forfeited/cancelled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51.79</w:t>
            </w:r>
          </w:p>
        </w:tc>
      </w:tr>
      <w:tr>
        <w:trPr>
          <w:trHeight w:val="250"/>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December 31, 2014</w:t>
            </w:r>
          </w:p>
        </w:tc>
        <w:tc>
          <w:tcPr>
            <w:tcW w:w="18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149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61.09</w:t>
            </w:r>
          </w:p>
        </w:tc>
      </w:tr>
      <w:tr>
        <w:trPr>
          <w:trHeight w:val="20"/>
        </w:trPr>
        <w:tc>
          <w:tcPr>
            <w:tcW w:w="38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The weighted-average grant-date fair value of restricted stock units and restricted stock awards granted during the years ended December 31, 2014, 2013 and 2012 was $84.38, $53.50 and $61.73 per share, respectively. As of December 31, 2014, 0.1 million of restricted stock units and restricted stock awards are expected to vest.</w:t>
      </w:r>
    </w:p>
    <w:p>
      <w:pPr>
        <w:spacing w:after="0" w:line="188"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At December 31, 2014, total unrecognized compensation expense relating to non-vested restricted stock awards and non-vested restricted stock units was $6.2 million, which is expected to be recognized over a weighted-average period of 2.2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Employee and Non-Employee Share-Based Compensation Expense</w:t>
      </w:r>
    </w:p>
    <w:p>
      <w:pPr>
        <w:spacing w:after="0" w:line="233" w:lineRule="exact"/>
        <w:rPr>
          <w:sz w:val="20"/>
          <w:szCs w:val="20"/>
          <w:color w:val="auto"/>
        </w:rPr>
      </w:pPr>
    </w:p>
    <w:p>
      <w:pPr>
        <w:jc w:val="both"/>
        <w:ind w:right="40" w:firstLine="648"/>
        <w:spacing w:after="0" w:line="243" w:lineRule="auto"/>
        <w:rPr>
          <w:sz w:val="20"/>
          <w:szCs w:val="20"/>
          <w:color w:val="auto"/>
        </w:rPr>
      </w:pPr>
      <w:r>
        <w:rPr>
          <w:rFonts w:ascii="Times New Roman" w:cs="Times New Roman" w:eastAsia="Times New Roman" w:hAnsi="Times New Roman"/>
          <w:sz w:val="20"/>
          <w:szCs w:val="20"/>
          <w:color w:val="auto"/>
        </w:rPr>
        <w:t>The table below shows the amounts recognized in the consolidated financial statements for the twelve-months ended December 31, 2014, 2013 and 2012 for share-based compensation related to employees and non-employees. Employee and non-employee share-based compensation expense of $28.6 million for the year ended December 31, 2014 is comprised of $4.8 million that relates to incentive stock options and $23.8 million that relates to non-qualified stock options and restricted units and awards. Employee and non-employee share-based compensation expense of $28.8 million for the year ended December 31, 2013 is comprised of $5.2 million that relates to incentive stock options and $23.6 million that relates to non-qualified stock options and restricted units and awards. Employee and non-employee share-based compensation expense of $28.4 million for the year ended December 31, 2012 is comprised of $5.1 million that relates to incentive stock options and $23.3 million that relates to non-qualified stock options and restricted units and awards. The portion of share-based compensation expense that relates to incentive stock options has not been considered in the tax benefit computation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Operating expenses</w:t>
            </w:r>
          </w:p>
        </w:tc>
        <w:tc>
          <w:tcPr>
            <w:tcW w:w="5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20"/>
                <w:szCs w:val="20"/>
                <w:color w:val="auto"/>
              </w:rPr>
              <w:t>2014</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20"/>
                <w:szCs w:val="20"/>
                <w:color w:val="auto"/>
              </w:rPr>
              <w:t>2013</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20"/>
                <w:szCs w:val="20"/>
                <w:color w:val="auto"/>
              </w:rPr>
              <w:t>2012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4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jc w:val="right"/>
              <w:ind w:right="10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20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28,552</w:t>
            </w:r>
          </w:p>
        </w:tc>
        <w:tc>
          <w:tcPr>
            <w:tcW w:w="280" w:type="dxa"/>
            <w:vAlign w:val="bottom"/>
          </w:tcPr>
          <w:p>
            <w:pPr>
              <w:spacing w:after="0"/>
              <w:rPr>
                <w:sz w:val="15"/>
                <w:szCs w:val="15"/>
                <w:color w:val="auto"/>
              </w:rPr>
            </w:pPr>
          </w:p>
        </w:tc>
        <w:tc>
          <w:tcPr>
            <w:tcW w:w="400" w:type="dxa"/>
            <w:vAlign w:val="bottom"/>
          </w:tcPr>
          <w:p>
            <w:pPr>
              <w:jc w:val="right"/>
              <w:ind w:right="10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20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28,764</w:t>
            </w:r>
          </w:p>
        </w:tc>
        <w:tc>
          <w:tcPr>
            <w:tcW w:w="280" w:type="dxa"/>
            <w:vAlign w:val="bottom"/>
          </w:tcPr>
          <w:p>
            <w:pPr>
              <w:spacing w:after="0"/>
              <w:rPr>
                <w:sz w:val="15"/>
                <w:szCs w:val="15"/>
                <w:color w:val="auto"/>
              </w:rPr>
            </w:pPr>
          </w:p>
        </w:tc>
        <w:tc>
          <w:tcPr>
            <w:tcW w:w="400" w:type="dxa"/>
            <w:vAlign w:val="bottom"/>
          </w:tcPr>
          <w:p>
            <w:pPr>
              <w:jc w:val="right"/>
              <w:ind w:right="12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200" w:type="dxa"/>
            <w:vAlign w:val="bottom"/>
          </w:tcPr>
          <w:p>
            <w:pPr>
              <w:jc w:val="right"/>
              <w:ind w:right="25"/>
              <w:spacing w:after="0" w:line="183" w:lineRule="exact"/>
              <w:rPr>
                <w:sz w:val="20"/>
                <w:szCs w:val="20"/>
                <w:color w:val="auto"/>
              </w:rPr>
            </w:pPr>
            <w:r>
              <w:rPr>
                <w:rFonts w:ascii="Times New Roman" w:cs="Times New Roman" w:eastAsia="Times New Roman" w:hAnsi="Times New Roman"/>
                <w:sz w:val="19"/>
                <w:szCs w:val="19"/>
                <w:color w:val="auto"/>
              </w:rPr>
              <w:t>28,413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440" w:type="dxa"/>
            <w:vAlign w:val="bottom"/>
            <w:vMerge w:val="restart"/>
          </w:tcPr>
          <w:p>
            <w:pPr>
              <w:spacing w:after="0" w:line="216" w:lineRule="exact"/>
              <w:rPr>
                <w:sz w:val="20"/>
                <w:szCs w:val="20"/>
                <w:color w:val="auto"/>
              </w:rPr>
            </w:pPr>
            <w:r>
              <w:rPr>
                <w:rFonts w:ascii="Times New Roman" w:cs="Times New Roman" w:eastAsia="Times New Roman" w:hAnsi="Times New Roman"/>
                <w:sz w:val="19"/>
                <w:szCs w:val="19"/>
                <w:color w:val="auto"/>
              </w:rPr>
              <w:t>Total employee and non-employee share-based compensation expense</w:t>
            </w:r>
          </w:p>
        </w:tc>
        <w:tc>
          <w:tcPr>
            <w:tcW w:w="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54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included in income, before income tax</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28,552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28,764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28,413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Less: Amount of income tax benefit recognized in earnings</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(2,932)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(7,730)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(8,933)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Amount charged against net income</w:t>
            </w:r>
          </w:p>
        </w:tc>
        <w:tc>
          <w:tcPr>
            <w:tcW w:w="520" w:type="dxa"/>
            <w:vAlign w:val="bottom"/>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400" w:type="dxa"/>
            <w:vAlign w:val="bottom"/>
            <w:tcBorders>
              <w:bottom w:val="single" w:sz="8" w:color="auto"/>
            </w:tcBorders>
          </w:tcPr>
          <w:p>
            <w:pPr>
              <w:jc w:val="right"/>
              <w:ind w:right="10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25,620</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10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21,034</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12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bottom w:val="single" w:sz="8" w:color="auto"/>
            </w:tcBorders>
          </w:tcPr>
          <w:p>
            <w:pPr>
              <w:jc w:val="right"/>
              <w:ind w:right="25"/>
              <w:spacing w:after="0" w:line="210" w:lineRule="exact"/>
              <w:rPr>
                <w:sz w:val="20"/>
                <w:szCs w:val="20"/>
                <w:color w:val="auto"/>
              </w:rPr>
            </w:pPr>
            <w:r>
              <w:rPr>
                <w:rFonts w:ascii="Times New Roman" w:cs="Times New Roman" w:eastAsia="Times New Roman" w:hAnsi="Times New Roman"/>
                <w:sz w:val="19"/>
                <w:szCs w:val="19"/>
                <w:color w:val="auto"/>
              </w:rPr>
              <w:t>19,480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640" w:hanging="632"/>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domestic and foreign components of the Company’s income (loss) before provision for income taxes are as follows: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9"/>
              </w:rPr>
              <w:t>Year Ended December 31,</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Domestic*</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9"/>
                <w:szCs w:val="19"/>
                <w:color w:val="auto"/>
              </w:rPr>
              <w:t>2014</w:t>
            </w:r>
          </w:p>
        </w:tc>
        <w:tc>
          <w:tcPr>
            <w:tcW w:w="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color w:val="auto"/>
              </w:rPr>
              <w:t>2013</w:t>
            </w: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9"/>
                <w:szCs w:val="19"/>
                <w:color w:val="auto"/>
              </w:rPr>
              <w:t>2012</w:t>
            </w:r>
          </w:p>
        </w:tc>
        <w:tc>
          <w:tcPr>
            <w:tcW w:w="0" w:type="dxa"/>
            <w:vAlign w:val="bottom"/>
          </w:tcPr>
          <w:p>
            <w:pPr>
              <w:spacing w:after="0"/>
              <w:rPr>
                <w:sz w:val="1"/>
                <w:szCs w:val="1"/>
                <w:color w:val="auto"/>
              </w:rPr>
            </w:pPr>
          </w:p>
        </w:tc>
      </w:tr>
      <w:tr>
        <w:trPr>
          <w:trHeight w:val="183"/>
        </w:trPr>
        <w:tc>
          <w:tcPr>
            <w:tcW w:w="5080" w:type="dxa"/>
            <w:vAlign w:val="bottom"/>
            <w:vMerge w:val="continue"/>
          </w:tcPr>
          <w:p>
            <w:pPr>
              <w:spacing w:after="0"/>
              <w:rPr>
                <w:sz w:val="15"/>
                <w:szCs w:val="15"/>
                <w:color w:val="auto"/>
              </w:rPr>
            </w:pPr>
          </w:p>
        </w:tc>
        <w:tc>
          <w:tcPr>
            <w:tcW w:w="360" w:type="dxa"/>
            <w:vAlign w:val="bottom"/>
          </w:tcPr>
          <w:p>
            <w:pPr>
              <w:jc w:val="right"/>
              <w:ind w:right="4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711,917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ind w:right="8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65"/>
              <w:spacing w:after="0" w:line="183" w:lineRule="exact"/>
              <w:rPr>
                <w:sz w:val="20"/>
                <w:szCs w:val="20"/>
                <w:color w:val="auto"/>
              </w:rPr>
            </w:pPr>
            <w:r>
              <w:rPr>
                <w:rFonts w:ascii="Times New Roman" w:cs="Times New Roman" w:eastAsia="Times New Roman" w:hAnsi="Times New Roman"/>
                <w:sz w:val="19"/>
                <w:szCs w:val="19"/>
                <w:color w:val="auto"/>
              </w:rPr>
              <w:t>596,899</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8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ind w:right="65"/>
              <w:spacing w:after="0" w:line="183" w:lineRule="exact"/>
              <w:rPr>
                <w:sz w:val="20"/>
                <w:szCs w:val="20"/>
                <w:color w:val="auto"/>
              </w:rPr>
            </w:pPr>
            <w:r>
              <w:rPr>
                <w:rFonts w:ascii="Times New Roman" w:cs="Times New Roman" w:eastAsia="Times New Roman" w:hAnsi="Times New Roman"/>
                <w:sz w:val="19"/>
                <w:szCs w:val="19"/>
                <w:color w:val="auto"/>
              </w:rPr>
              <w:t>568,225</w:t>
            </w:r>
          </w:p>
        </w:tc>
        <w:tc>
          <w:tcPr>
            <w:tcW w:w="0" w:type="dxa"/>
            <w:vAlign w:val="bottom"/>
          </w:tcPr>
          <w:p>
            <w:pPr>
              <w:spacing w:after="0"/>
              <w:rPr>
                <w:sz w:val="1"/>
                <w:szCs w:val="1"/>
                <w:color w:val="auto"/>
              </w:rPr>
            </w:pPr>
          </w:p>
        </w:tc>
      </w:tr>
      <w:tr>
        <w:trPr>
          <w:trHeight w:val="242"/>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Foreign*</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33,871</w:t>
            </w:r>
          </w:p>
        </w:tc>
        <w:tc>
          <w:tcPr>
            <w:tcW w:w="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(33,005)</w:t>
            </w: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(19,071)</w:t>
            </w:r>
          </w:p>
        </w:tc>
        <w:tc>
          <w:tcPr>
            <w:tcW w:w="0" w:type="dxa"/>
            <w:vAlign w:val="bottom"/>
          </w:tcPr>
          <w:p>
            <w:pPr>
              <w:spacing w:after="0"/>
              <w:rPr>
                <w:sz w:val="1"/>
                <w:szCs w:val="1"/>
                <w:color w:val="auto"/>
              </w:rPr>
            </w:pPr>
          </w:p>
        </w:tc>
      </w:tr>
      <w:tr>
        <w:trPr>
          <w:trHeight w:val="210"/>
        </w:trPr>
        <w:tc>
          <w:tcPr>
            <w:tcW w:w="508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Income before provision for income taxes</w:t>
            </w:r>
          </w:p>
        </w:tc>
        <w:tc>
          <w:tcPr>
            <w:tcW w:w="36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745,788</w:t>
            </w:r>
          </w:p>
        </w:tc>
        <w:tc>
          <w:tcPr>
            <w:tcW w:w="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jc w:val="right"/>
              <w:ind w:right="8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65"/>
              <w:spacing w:after="0" w:line="210" w:lineRule="exact"/>
              <w:rPr>
                <w:sz w:val="20"/>
                <w:szCs w:val="20"/>
                <w:color w:val="auto"/>
              </w:rPr>
            </w:pPr>
            <w:r>
              <w:rPr>
                <w:rFonts w:ascii="Times New Roman" w:cs="Times New Roman" w:eastAsia="Times New Roman" w:hAnsi="Times New Roman"/>
                <w:sz w:val="19"/>
                <w:szCs w:val="19"/>
                <w:color w:val="auto"/>
              </w:rPr>
              <w:t>563,894</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8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ind w:right="65"/>
              <w:spacing w:after="0" w:line="210" w:lineRule="exact"/>
              <w:rPr>
                <w:sz w:val="20"/>
                <w:szCs w:val="20"/>
                <w:color w:val="auto"/>
              </w:rPr>
            </w:pPr>
            <w:r>
              <w:rPr>
                <w:rFonts w:ascii="Times New Roman" w:cs="Times New Roman" w:eastAsia="Times New Roman" w:hAnsi="Times New Roman"/>
                <w:sz w:val="19"/>
                <w:szCs w:val="19"/>
                <w:color w:val="auto"/>
              </w:rPr>
              <w:t>549,154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i w:val="1"/>
          <w:iCs w:val="1"/>
          <w:color w:val="auto"/>
        </w:rPr>
        <w:t>*After intercompany royalties, management fees and interest charges from the Company’s domestic to foreign entities of $34.9 million, $25.9 million and $22.9 million for the years ended December 31, 2014, 2013 and 2012, respectively.</w:t>
      </w: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Components of the provision for income taxes are as follows:</w:t>
      </w: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Year Ended December 31,</w:t>
      </w:r>
    </w:p>
    <w:p>
      <w:pPr>
        <w:spacing w:after="0" w:line="16" w:lineRule="exact"/>
        <w:rPr>
          <w:sz w:val="20"/>
          <w:szCs w:val="20"/>
          <w:color w:val="auto"/>
        </w:rPr>
      </w:pPr>
    </w:p>
    <w:tbl>
      <w:tblPr>
        <w:tblLayout w:type="fixed"/>
        <w:tblInd w:w="660" w:type="dxa"/>
        <w:tblCellMar>
          <w:top w:w="0" w:type="dxa"/>
          <w:left w:w="0" w:type="dxa"/>
          <w:bottom w:w="0" w:type="dxa"/>
          <w:right w:w="0" w:type="dxa"/>
        </w:tblCellMar>
      </w:tblPr>
      <w:tr>
        <w:trPr>
          <w:trHeight w:val="222"/>
        </w:trPr>
        <w:tc>
          <w:tcPr>
            <w:tcW w:w="37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Current: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9"/>
                <w:szCs w:val="19"/>
                <w:color w:val="auto"/>
              </w:rPr>
              <w:t>2014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color w:val="auto"/>
              </w:rPr>
              <w:t>2013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color w:val="auto"/>
              </w:rPr>
              <w:t>2012</w:t>
            </w:r>
          </w:p>
        </w:tc>
        <w:tc>
          <w:tcPr>
            <w:tcW w:w="0" w:type="dxa"/>
            <w:vAlign w:val="bottom"/>
          </w:tcPr>
          <w:p>
            <w:pPr>
              <w:spacing w:after="0"/>
              <w:rPr>
                <w:sz w:val="1"/>
                <w:szCs w:val="1"/>
                <w:color w:val="auto"/>
              </w:rPr>
            </w:pPr>
          </w:p>
        </w:tc>
      </w:tr>
      <w:tr>
        <w:trPr>
          <w:trHeight w:val="170"/>
        </w:trPr>
        <w:tc>
          <w:tcPr>
            <w:tcW w:w="37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80"/>
              <w:spacing w:after="0" w:line="216" w:lineRule="exact"/>
              <w:rPr>
                <w:sz w:val="20"/>
                <w:szCs w:val="20"/>
                <w:color w:val="auto"/>
              </w:rPr>
            </w:pPr>
            <w:r>
              <w:rPr>
                <w:rFonts w:ascii="Times New Roman" w:cs="Times New Roman" w:eastAsia="Times New Roman" w:hAnsi="Times New Roman"/>
                <w:sz w:val="19"/>
                <w:szCs w:val="19"/>
                <w:color w:val="auto"/>
              </w:rPr>
              <w:t>Federal</w:t>
            </w:r>
          </w:p>
        </w:tc>
        <w:tc>
          <w:tcPr>
            <w:tcW w:w="380" w:type="dxa"/>
            <w:vAlign w:val="bottom"/>
          </w:tcPr>
          <w:p>
            <w:pPr>
              <w:jc w:val="right"/>
              <w:ind w:right="8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228,348</w:t>
            </w:r>
          </w:p>
        </w:tc>
        <w:tc>
          <w:tcPr>
            <w:tcW w:w="240" w:type="dxa"/>
            <w:vAlign w:val="bottom"/>
          </w:tcPr>
          <w:p>
            <w:pPr>
              <w:spacing w:after="0"/>
              <w:rPr>
                <w:sz w:val="18"/>
                <w:szCs w:val="18"/>
                <w:color w:val="auto"/>
              </w:rPr>
            </w:pPr>
          </w:p>
        </w:tc>
        <w:tc>
          <w:tcPr>
            <w:tcW w:w="380" w:type="dxa"/>
            <w:vAlign w:val="bottom"/>
          </w:tcPr>
          <w:p>
            <w:pPr>
              <w:jc w:val="right"/>
              <w:ind w:right="8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191,596</w:t>
            </w:r>
          </w:p>
        </w:tc>
        <w:tc>
          <w:tcPr>
            <w:tcW w:w="240" w:type="dxa"/>
            <w:vAlign w:val="bottom"/>
          </w:tcPr>
          <w:p>
            <w:pPr>
              <w:spacing w:after="0"/>
              <w:rPr>
                <w:sz w:val="18"/>
                <w:szCs w:val="18"/>
                <w:color w:val="auto"/>
              </w:rPr>
            </w:pPr>
          </w:p>
        </w:tc>
        <w:tc>
          <w:tcPr>
            <w:tcW w:w="400" w:type="dxa"/>
            <w:vAlign w:val="bottom"/>
          </w:tcPr>
          <w:p>
            <w:pPr>
              <w:jc w:val="right"/>
              <w:ind w:right="8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177,372</w:t>
            </w:r>
          </w:p>
        </w:tc>
        <w:tc>
          <w:tcPr>
            <w:tcW w:w="0" w:type="dxa"/>
            <w:vAlign w:val="bottom"/>
          </w:tcPr>
          <w:p>
            <w:pPr>
              <w:spacing w:after="0"/>
              <w:rPr>
                <w:sz w:val="1"/>
                <w:szCs w:val="1"/>
                <w:color w:val="auto"/>
              </w:rPr>
            </w:pPr>
          </w:p>
        </w:tc>
      </w:tr>
      <w:tr>
        <w:trPr>
          <w:trHeight w:val="244"/>
        </w:trPr>
        <w:tc>
          <w:tcPr>
            <w:tcW w:w="374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State</w:t>
            </w:r>
          </w:p>
        </w:tc>
        <w:tc>
          <w:tcPr>
            <w:tcW w:w="380" w:type="dxa"/>
            <w:vAlign w:val="bottom"/>
          </w:tcPr>
          <w:p>
            <w:pPr>
              <w:spacing w:after="0"/>
              <w:rPr>
                <w:sz w:val="21"/>
                <w:szCs w:val="21"/>
                <w:color w:val="auto"/>
              </w:rPr>
            </w:pPr>
          </w:p>
        </w:tc>
        <w:tc>
          <w:tcPr>
            <w:tcW w:w="11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36,633</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36,662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30,268</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6" w:right="199" w:bottom="0" w:gutter="0" w:footer="0" w:header="0"/>
        </w:sectPr>
      </w:pPr>
    </w:p>
    <w:bookmarkStart w:id="70" w:name="page71"/>
    <w:bookmarkEnd w:id="70"/>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44"/>
        </w:trPr>
        <w:tc>
          <w:tcPr>
            <w:tcW w:w="4220" w:type="dxa"/>
            <w:vAlign w:val="bottom"/>
            <w:gridSpan w:val="2"/>
          </w:tcPr>
          <w:p>
            <w:pPr>
              <w:ind w:left="380"/>
              <w:spacing w:after="0"/>
              <w:rPr>
                <w:sz w:val="20"/>
                <w:szCs w:val="20"/>
                <w:color w:val="auto"/>
              </w:rPr>
            </w:pPr>
            <w:r>
              <w:rPr>
                <w:rFonts w:ascii="Times New Roman" w:cs="Times New Roman" w:eastAsia="Times New Roman" w:hAnsi="Times New Roman"/>
                <w:sz w:val="19"/>
                <w:szCs w:val="19"/>
                <w:color w:val="auto"/>
              </w:rPr>
              <w:t>Foreign</w:t>
            </w: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7,467</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4,052</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3,951</w:t>
            </w:r>
          </w:p>
        </w:tc>
      </w:tr>
      <w:tr>
        <w:trPr>
          <w:trHeight w:val="238"/>
        </w:trPr>
        <w:tc>
          <w:tcPr>
            <w:tcW w:w="37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272,448</w:t>
            </w:r>
          </w:p>
        </w:tc>
        <w:tc>
          <w:tcPr>
            <w:tcW w:w="2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232,310</w:t>
            </w:r>
          </w:p>
        </w:tc>
        <w:tc>
          <w:tcPr>
            <w:tcW w:w="2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211,591</w:t>
            </w:r>
          </w:p>
        </w:tc>
      </w:tr>
      <w:tr>
        <w:trPr>
          <w:trHeight w:val="377"/>
        </w:trPr>
        <w:tc>
          <w:tcPr>
            <w:tcW w:w="4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Deferred:</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4220" w:type="dxa"/>
            <w:vAlign w:val="bottom"/>
            <w:gridSpan w:val="2"/>
          </w:tcPr>
          <w:p>
            <w:pPr>
              <w:ind w:left="380"/>
              <w:spacing w:after="0" w:line="216" w:lineRule="exact"/>
              <w:rPr>
                <w:sz w:val="20"/>
                <w:szCs w:val="20"/>
                <w:color w:val="auto"/>
              </w:rPr>
            </w:pPr>
            <w:r>
              <w:rPr>
                <w:rFonts w:ascii="Times New Roman" w:cs="Times New Roman" w:eastAsia="Times New Roman" w:hAnsi="Times New Roman"/>
                <w:sz w:val="19"/>
                <w:szCs w:val="19"/>
                <w:color w:val="auto"/>
              </w:rPr>
              <w:t>Federal</w:t>
            </w: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(8,473)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(7,441)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(743)</w:t>
            </w:r>
          </w:p>
        </w:tc>
      </w:tr>
      <w:tr>
        <w:trPr>
          <w:trHeight w:val="216"/>
        </w:trPr>
        <w:tc>
          <w:tcPr>
            <w:tcW w:w="4220" w:type="dxa"/>
            <w:vAlign w:val="bottom"/>
            <w:gridSpan w:val="2"/>
          </w:tcPr>
          <w:p>
            <w:pPr>
              <w:ind w:left="380"/>
              <w:spacing w:after="0" w:line="216" w:lineRule="exact"/>
              <w:rPr>
                <w:sz w:val="20"/>
                <w:szCs w:val="20"/>
                <w:color w:val="auto"/>
              </w:rPr>
            </w:pPr>
            <w:r>
              <w:rPr>
                <w:rFonts w:ascii="Times New Roman" w:cs="Times New Roman" w:eastAsia="Times New Roman" w:hAnsi="Times New Roman"/>
                <w:sz w:val="19"/>
                <w:szCs w:val="19"/>
                <w:color w:val="auto"/>
              </w:rPr>
              <w:t>State</w:t>
            </w: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(442)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(1,443)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(483)</w:t>
            </w:r>
          </w:p>
        </w:tc>
      </w:tr>
      <w:tr>
        <w:trPr>
          <w:trHeight w:val="242"/>
        </w:trPr>
        <w:tc>
          <w:tcPr>
            <w:tcW w:w="4220" w:type="dxa"/>
            <w:vAlign w:val="bottom"/>
            <w:gridSpan w:val="2"/>
          </w:tcPr>
          <w:p>
            <w:pPr>
              <w:ind w:left="380"/>
              <w:spacing w:after="0"/>
              <w:rPr>
                <w:sz w:val="20"/>
                <w:szCs w:val="20"/>
                <w:color w:val="auto"/>
              </w:rPr>
            </w:pPr>
            <w:r>
              <w:rPr>
                <w:rFonts w:ascii="Times New Roman" w:cs="Times New Roman" w:eastAsia="Times New Roman" w:hAnsi="Times New Roman"/>
                <w:sz w:val="19"/>
                <w:szCs w:val="19"/>
                <w:color w:val="auto"/>
              </w:rPr>
              <w:t>Foreign</w:t>
            </w: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3,476</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(9,694)</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(7,373)</w:t>
            </w:r>
          </w:p>
        </w:tc>
      </w:tr>
      <w:tr>
        <w:trPr>
          <w:trHeight w:val="238"/>
        </w:trPr>
        <w:tc>
          <w:tcPr>
            <w:tcW w:w="37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(5,439)</w:t>
            </w:r>
          </w:p>
        </w:tc>
        <w:tc>
          <w:tcPr>
            <w:tcW w:w="2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(18,578)</w:t>
            </w:r>
          </w:p>
        </w:tc>
        <w:tc>
          <w:tcPr>
            <w:tcW w:w="2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(8,599)</w:t>
            </w:r>
          </w:p>
        </w:tc>
      </w:tr>
      <w:tr>
        <w:trPr>
          <w:trHeight w:val="404"/>
        </w:trPr>
        <w:tc>
          <w:tcPr>
            <w:tcW w:w="4220" w:type="dxa"/>
            <w:vAlign w:val="bottom"/>
            <w:gridSpan w:val="2"/>
          </w:tcPr>
          <w:p>
            <w:pPr>
              <w:ind w:left="380"/>
              <w:spacing w:after="0"/>
              <w:rPr>
                <w:sz w:val="20"/>
                <w:szCs w:val="20"/>
                <w:color w:val="auto"/>
              </w:rPr>
            </w:pPr>
            <w:r>
              <w:rPr>
                <w:rFonts w:ascii="Times New Roman" w:cs="Times New Roman" w:eastAsia="Times New Roman" w:hAnsi="Times New Roman"/>
                <w:sz w:val="19"/>
                <w:szCs w:val="19"/>
                <w:color w:val="auto"/>
              </w:rPr>
              <w:t>Valuation allowance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(4,406)</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11,501</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6,142</w:t>
            </w:r>
          </w:p>
        </w:tc>
      </w:tr>
      <w:tr>
        <w:trPr>
          <w:trHeight w:val="210"/>
        </w:trPr>
        <w:tc>
          <w:tcPr>
            <w:tcW w:w="37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18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262,603</w:t>
            </w:r>
          </w:p>
        </w:tc>
        <w:tc>
          <w:tcPr>
            <w:tcW w:w="2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18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auto"/>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225,233</w:t>
            </w:r>
          </w:p>
        </w:tc>
        <w:tc>
          <w:tcPr>
            <w:tcW w:w="2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16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auto"/>
              <w:bottom w:val="single" w:sz="8" w:color="auto"/>
            </w:tcBorders>
          </w:tcPr>
          <w:p>
            <w:pPr>
              <w:jc w:val="right"/>
              <w:ind w:right="25"/>
              <w:spacing w:after="0" w:line="210" w:lineRule="exact"/>
              <w:rPr>
                <w:sz w:val="20"/>
                <w:szCs w:val="20"/>
                <w:color w:val="auto"/>
              </w:rPr>
            </w:pPr>
            <w:r>
              <w:rPr>
                <w:rFonts w:ascii="Times New Roman" w:cs="Times New Roman" w:eastAsia="Times New Roman" w:hAnsi="Times New Roman"/>
                <w:sz w:val="19"/>
                <w:szCs w:val="19"/>
                <w:color w:val="auto"/>
              </w:rPr>
              <w:t>209,134</w:t>
            </w:r>
          </w:p>
        </w:tc>
      </w:tr>
      <w:tr>
        <w:trPr>
          <w:trHeight w:val="20"/>
        </w:trPr>
        <w:tc>
          <w:tcPr>
            <w:tcW w:w="3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The differences in the total provision for income taxes that would result from applying the 35% federal statutory rate to income before provision for income taxes and the reported provision for income taxes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w w:val="98"/>
              </w:rPr>
              <w:t>Year Ended December 31,</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6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U.S. Federal tax expense at statutory rates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9"/>
                <w:szCs w:val="19"/>
                <w:color w:val="auto"/>
              </w:rPr>
              <w:t>2014</w:t>
            </w: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9"/>
                <w:szCs w:val="19"/>
                <w:color w:val="auto"/>
              </w:rPr>
              <w:t>2013</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color w:val="auto"/>
              </w:rPr>
              <w:t>2012</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160" w:type="dxa"/>
            <w:vAlign w:val="bottom"/>
            <w:vMerge w:val="continue"/>
          </w:tcPr>
          <w:p>
            <w:pPr>
              <w:spacing w:after="0"/>
              <w:rPr>
                <w:sz w:val="15"/>
                <w:szCs w:val="15"/>
                <w:color w:val="auto"/>
              </w:rPr>
            </w:pPr>
          </w:p>
        </w:tc>
        <w:tc>
          <w:tcPr>
            <w:tcW w:w="32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ind w:right="7"/>
              <w:spacing w:after="0" w:line="183" w:lineRule="exact"/>
              <w:rPr>
                <w:sz w:val="20"/>
                <w:szCs w:val="20"/>
                <w:color w:val="auto"/>
              </w:rPr>
            </w:pPr>
            <w:r>
              <w:rPr>
                <w:rFonts w:ascii="Times New Roman" w:cs="Times New Roman" w:eastAsia="Times New Roman" w:hAnsi="Times New Roman"/>
                <w:sz w:val="19"/>
                <w:szCs w:val="19"/>
                <w:color w:val="auto"/>
              </w:rPr>
              <w:t>261,025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ind w:right="8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ind w:right="65"/>
              <w:spacing w:after="0" w:line="183" w:lineRule="exact"/>
              <w:rPr>
                <w:sz w:val="20"/>
                <w:szCs w:val="20"/>
                <w:color w:val="auto"/>
              </w:rPr>
            </w:pPr>
            <w:r>
              <w:rPr>
                <w:rFonts w:ascii="Times New Roman" w:cs="Times New Roman" w:eastAsia="Times New Roman" w:hAnsi="Times New Roman"/>
                <w:sz w:val="19"/>
                <w:szCs w:val="19"/>
                <w:color w:val="auto"/>
              </w:rPr>
              <w:t>197,363</w:t>
            </w:r>
          </w:p>
        </w:tc>
        <w:tc>
          <w:tcPr>
            <w:tcW w:w="300" w:type="dxa"/>
            <w:vAlign w:val="bottom"/>
          </w:tcPr>
          <w:p>
            <w:pPr>
              <w:spacing w:after="0"/>
              <w:rPr>
                <w:sz w:val="15"/>
                <w:szCs w:val="15"/>
                <w:color w:val="auto"/>
              </w:rPr>
            </w:pPr>
          </w:p>
        </w:tc>
        <w:tc>
          <w:tcPr>
            <w:tcW w:w="380" w:type="dxa"/>
            <w:vAlign w:val="bottom"/>
          </w:tcPr>
          <w:p>
            <w:pPr>
              <w:jc w:val="right"/>
              <w:ind w:right="8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65"/>
              <w:spacing w:after="0" w:line="183" w:lineRule="exact"/>
              <w:rPr>
                <w:sz w:val="20"/>
                <w:szCs w:val="20"/>
                <w:color w:val="auto"/>
              </w:rPr>
            </w:pPr>
            <w:r>
              <w:rPr>
                <w:rFonts w:ascii="Times New Roman" w:cs="Times New Roman" w:eastAsia="Times New Roman" w:hAnsi="Times New Roman"/>
                <w:sz w:val="19"/>
                <w:szCs w:val="19"/>
                <w:color w:val="auto"/>
              </w:rPr>
              <w:t>192,204</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line="216" w:lineRule="exact"/>
              <w:rPr>
                <w:sz w:val="20"/>
                <w:szCs w:val="20"/>
                <w:color w:val="auto"/>
              </w:rPr>
            </w:pPr>
            <w:r>
              <w:rPr>
                <w:rFonts w:ascii="Times New Roman" w:cs="Times New Roman" w:eastAsia="Times New Roman" w:hAnsi="Times New Roman"/>
                <w:sz w:val="19"/>
                <w:szCs w:val="19"/>
                <w:color w:val="auto"/>
              </w:rPr>
              <w:t>State income taxes, net of federal tax benefit</w:t>
            </w:r>
          </w:p>
        </w:tc>
        <w:tc>
          <w:tcPr>
            <w:tcW w:w="320" w:type="dxa"/>
            <w:vAlign w:val="bottom"/>
          </w:tcPr>
          <w:p>
            <w:pPr>
              <w:spacing w:after="0"/>
              <w:rPr>
                <w:sz w:val="18"/>
                <w:szCs w:val="18"/>
                <w:color w:val="auto"/>
              </w:rPr>
            </w:pPr>
          </w:p>
        </w:tc>
        <w:tc>
          <w:tcPr>
            <w:tcW w:w="1160" w:type="dxa"/>
            <w:vAlign w:val="bottom"/>
          </w:tcPr>
          <w:p>
            <w:pPr>
              <w:jc w:val="right"/>
              <w:ind w:right="7"/>
              <w:spacing w:after="0" w:line="216" w:lineRule="exact"/>
              <w:rPr>
                <w:sz w:val="20"/>
                <w:szCs w:val="20"/>
                <w:color w:val="auto"/>
              </w:rPr>
            </w:pPr>
            <w:r>
              <w:rPr>
                <w:rFonts w:ascii="Times New Roman" w:cs="Times New Roman" w:eastAsia="Times New Roman" w:hAnsi="Times New Roman"/>
                <w:sz w:val="19"/>
                <w:szCs w:val="19"/>
                <w:color w:val="auto"/>
              </w:rPr>
              <w:t>23,859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65"/>
              <w:spacing w:after="0" w:line="216" w:lineRule="exact"/>
              <w:rPr>
                <w:sz w:val="20"/>
                <w:szCs w:val="20"/>
                <w:color w:val="auto"/>
              </w:rPr>
            </w:pPr>
            <w:r>
              <w:rPr>
                <w:rFonts w:ascii="Times New Roman" w:cs="Times New Roman" w:eastAsia="Times New Roman" w:hAnsi="Times New Roman"/>
                <w:sz w:val="19"/>
                <w:szCs w:val="19"/>
                <w:color w:val="auto"/>
              </w:rPr>
              <w:t>22,640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65"/>
              <w:spacing w:after="0" w:line="216" w:lineRule="exact"/>
              <w:rPr>
                <w:sz w:val="20"/>
                <w:szCs w:val="20"/>
                <w:color w:val="auto"/>
              </w:rPr>
            </w:pPr>
            <w:r>
              <w:rPr>
                <w:rFonts w:ascii="Times New Roman" w:cs="Times New Roman" w:eastAsia="Times New Roman" w:hAnsi="Times New Roman"/>
                <w:sz w:val="19"/>
                <w:szCs w:val="19"/>
                <w:color w:val="auto"/>
              </w:rPr>
              <w:t>20,252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line="216" w:lineRule="exact"/>
              <w:rPr>
                <w:sz w:val="20"/>
                <w:szCs w:val="20"/>
                <w:color w:val="auto"/>
              </w:rPr>
            </w:pPr>
            <w:r>
              <w:rPr>
                <w:rFonts w:ascii="Times New Roman" w:cs="Times New Roman" w:eastAsia="Times New Roman" w:hAnsi="Times New Roman"/>
                <w:sz w:val="19"/>
                <w:szCs w:val="19"/>
                <w:color w:val="auto"/>
              </w:rPr>
              <w:t>Permanent differences</w:t>
            </w:r>
          </w:p>
        </w:tc>
        <w:tc>
          <w:tcPr>
            <w:tcW w:w="320" w:type="dxa"/>
            <w:vAlign w:val="bottom"/>
          </w:tcPr>
          <w:p>
            <w:pPr>
              <w:spacing w:after="0"/>
              <w:rPr>
                <w:sz w:val="18"/>
                <w:szCs w:val="18"/>
                <w:color w:val="auto"/>
              </w:rPr>
            </w:pPr>
          </w:p>
        </w:tc>
        <w:tc>
          <w:tcPr>
            <w:tcW w:w="1160" w:type="dxa"/>
            <w:vAlign w:val="bottom"/>
          </w:tcPr>
          <w:p>
            <w:pPr>
              <w:jc w:val="right"/>
              <w:ind w:right="7"/>
              <w:spacing w:after="0" w:line="216" w:lineRule="exact"/>
              <w:rPr>
                <w:sz w:val="20"/>
                <w:szCs w:val="20"/>
                <w:color w:val="auto"/>
              </w:rPr>
            </w:pPr>
            <w:r>
              <w:rPr>
                <w:rFonts w:ascii="Times New Roman" w:cs="Times New Roman" w:eastAsia="Times New Roman" w:hAnsi="Times New Roman"/>
                <w:sz w:val="19"/>
                <w:szCs w:val="19"/>
                <w:color w:val="auto"/>
              </w:rPr>
              <w:t>4,816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65"/>
              <w:spacing w:after="0" w:line="216" w:lineRule="exact"/>
              <w:rPr>
                <w:sz w:val="20"/>
                <w:szCs w:val="20"/>
                <w:color w:val="auto"/>
              </w:rPr>
            </w:pPr>
            <w:r>
              <w:rPr>
                <w:rFonts w:ascii="Times New Roman" w:cs="Times New Roman" w:eastAsia="Times New Roman" w:hAnsi="Times New Roman"/>
                <w:sz w:val="19"/>
                <w:szCs w:val="19"/>
                <w:color w:val="auto"/>
              </w:rPr>
              <w:t>936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65"/>
              <w:spacing w:after="0" w:line="216" w:lineRule="exact"/>
              <w:rPr>
                <w:sz w:val="20"/>
                <w:szCs w:val="20"/>
                <w:color w:val="auto"/>
              </w:rPr>
            </w:pPr>
            <w:r>
              <w:rPr>
                <w:rFonts w:ascii="Times New Roman" w:cs="Times New Roman" w:eastAsia="Times New Roman" w:hAnsi="Times New Roman"/>
                <w:sz w:val="19"/>
                <w:szCs w:val="19"/>
                <w:color w:val="auto"/>
              </w:rPr>
              <w:t>5,968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line="216" w:lineRule="exact"/>
              <w:rPr>
                <w:sz w:val="20"/>
                <w:szCs w:val="20"/>
                <w:color w:val="auto"/>
              </w:rPr>
            </w:pPr>
            <w:r>
              <w:rPr>
                <w:rFonts w:ascii="Times New Roman" w:cs="Times New Roman" w:eastAsia="Times New Roman" w:hAnsi="Times New Roman"/>
                <w:sz w:val="19"/>
                <w:szCs w:val="19"/>
                <w:color w:val="auto"/>
              </w:rPr>
              <w:t>Domestic production deduction</w:t>
            </w:r>
          </w:p>
        </w:tc>
        <w:tc>
          <w:tcPr>
            <w:tcW w:w="3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(20,607)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(16,039)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(15,469)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line="216" w:lineRule="exact"/>
              <w:rPr>
                <w:sz w:val="20"/>
                <w:szCs w:val="20"/>
                <w:color w:val="auto"/>
              </w:rPr>
            </w:pPr>
            <w:r>
              <w:rPr>
                <w:rFonts w:ascii="Times New Roman" w:cs="Times New Roman" w:eastAsia="Times New Roman" w:hAnsi="Times New Roman"/>
                <w:sz w:val="19"/>
                <w:szCs w:val="19"/>
                <w:color w:val="auto"/>
              </w:rPr>
              <w:t>Other</w:t>
            </w:r>
          </w:p>
        </w:tc>
        <w:tc>
          <w:tcPr>
            <w:tcW w:w="3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(1,267)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65"/>
              <w:spacing w:after="0" w:line="216" w:lineRule="exact"/>
              <w:rPr>
                <w:sz w:val="20"/>
                <w:szCs w:val="20"/>
                <w:color w:val="auto"/>
              </w:rPr>
            </w:pPr>
            <w:r>
              <w:rPr>
                <w:rFonts w:ascii="Times New Roman" w:cs="Times New Roman" w:eastAsia="Times New Roman" w:hAnsi="Times New Roman"/>
                <w:sz w:val="19"/>
                <w:szCs w:val="19"/>
                <w:color w:val="auto"/>
              </w:rPr>
              <w:t>266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(388)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line="216" w:lineRule="exact"/>
              <w:rPr>
                <w:sz w:val="20"/>
                <w:szCs w:val="20"/>
                <w:color w:val="auto"/>
              </w:rPr>
            </w:pPr>
            <w:r>
              <w:rPr>
                <w:rFonts w:ascii="Times New Roman" w:cs="Times New Roman" w:eastAsia="Times New Roman" w:hAnsi="Times New Roman"/>
                <w:sz w:val="19"/>
                <w:szCs w:val="19"/>
                <w:color w:val="auto"/>
              </w:rPr>
              <w:t>Foreign rate differential</w:t>
            </w:r>
          </w:p>
        </w:tc>
        <w:tc>
          <w:tcPr>
            <w:tcW w:w="3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65"/>
              <w:spacing w:after="0" w:line="216" w:lineRule="exact"/>
              <w:rPr>
                <w:sz w:val="20"/>
                <w:szCs w:val="20"/>
                <w:color w:val="auto"/>
              </w:rPr>
            </w:pPr>
            <w:r>
              <w:rPr>
                <w:rFonts w:ascii="Times New Roman" w:cs="Times New Roman" w:eastAsia="Times New Roman" w:hAnsi="Times New Roman"/>
                <w:sz w:val="19"/>
                <w:szCs w:val="19"/>
                <w:color w:val="auto"/>
              </w:rPr>
              <w:t>8,566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65"/>
              <w:spacing w:after="0" w:line="216" w:lineRule="exact"/>
              <w:rPr>
                <w:sz w:val="20"/>
                <w:szCs w:val="20"/>
                <w:color w:val="auto"/>
              </w:rPr>
            </w:pPr>
            <w:r>
              <w:rPr>
                <w:rFonts w:ascii="Times New Roman" w:cs="Times New Roman" w:eastAsia="Times New Roman" w:hAnsi="Times New Roman"/>
                <w:sz w:val="19"/>
                <w:szCs w:val="19"/>
                <w:color w:val="auto"/>
              </w:rPr>
              <w:t>425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Valuation allowance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(4,406)</w:t>
            </w: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color w:val="auto"/>
              </w:rPr>
              <w:t>11,501</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color w:val="auto"/>
              </w:rPr>
              <w:t>6,142</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auto"/>
            </w:tcBorders>
          </w:tcPr>
          <w:p>
            <w:pPr>
              <w:jc w:val="right"/>
              <w:ind w:right="7"/>
              <w:spacing w:after="0" w:line="210" w:lineRule="exact"/>
              <w:rPr>
                <w:sz w:val="20"/>
                <w:szCs w:val="20"/>
                <w:color w:val="auto"/>
              </w:rPr>
            </w:pPr>
            <w:r>
              <w:rPr>
                <w:rFonts w:ascii="Times New Roman" w:cs="Times New Roman" w:eastAsia="Times New Roman" w:hAnsi="Times New Roman"/>
                <w:sz w:val="19"/>
                <w:szCs w:val="19"/>
                <w:color w:val="auto"/>
              </w:rPr>
              <w:t>262,603</w:t>
            </w:r>
          </w:p>
        </w:tc>
        <w:tc>
          <w:tcPr>
            <w:tcW w:w="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jc w:val="right"/>
              <w:ind w:right="8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ind w:right="65"/>
              <w:spacing w:after="0" w:line="210" w:lineRule="exact"/>
              <w:rPr>
                <w:sz w:val="20"/>
                <w:szCs w:val="20"/>
                <w:color w:val="auto"/>
              </w:rPr>
            </w:pPr>
            <w:r>
              <w:rPr>
                <w:rFonts w:ascii="Times New Roman" w:cs="Times New Roman" w:eastAsia="Times New Roman" w:hAnsi="Times New Roman"/>
                <w:sz w:val="19"/>
                <w:szCs w:val="19"/>
                <w:color w:val="auto"/>
              </w:rPr>
              <w:t>225,233</w:t>
            </w: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8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65"/>
              <w:spacing w:after="0" w:line="210" w:lineRule="exact"/>
              <w:rPr>
                <w:sz w:val="20"/>
                <w:szCs w:val="20"/>
                <w:color w:val="auto"/>
              </w:rPr>
            </w:pPr>
            <w:r>
              <w:rPr>
                <w:rFonts w:ascii="Times New Roman" w:cs="Times New Roman" w:eastAsia="Times New Roman" w:hAnsi="Times New Roman"/>
                <w:sz w:val="19"/>
                <w:szCs w:val="19"/>
                <w:color w:val="auto"/>
              </w:rPr>
              <w:t>209,134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07"/>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1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Major components of the Company’s deferred tax assets (liabilities) at December 31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66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Reserve for sales returns</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Reserve for doubtful accounts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Reserve for inventory obsolescence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3,030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2,060</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Reserve for marketing development fund</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9,118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9,470</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Capitalization of inventory costs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2,527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1,949</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State franchise tax</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8,160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6,043</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Accrued compensation</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Accrued other liabilities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3,503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4,871</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Deferred revenue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47,319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50,813</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Stock-based compensation</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25,268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21,963</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Securities impairment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Foreign net operating loss carryforward</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17,256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19,346</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Prepaid supplies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4,195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4,639</w:t>
            </w:r>
          </w:p>
        </w:tc>
        <w:tc>
          <w:tcPr>
            <w:tcW w:w="0" w:type="dxa"/>
            <w:vAlign w:val="bottom"/>
          </w:tcPr>
          <w:p>
            <w:pPr>
              <w:spacing w:after="0"/>
              <w:rPr>
                <w:sz w:val="1"/>
                <w:szCs w:val="1"/>
                <w:color w:val="auto"/>
              </w:rPr>
            </w:pPr>
          </w:p>
        </w:tc>
      </w:tr>
      <w:tr>
        <w:trPr>
          <w:trHeight w:val="252"/>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Gain on intercompany transfer</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8,347</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720"/>
              <w:spacing w:after="0" w:line="223" w:lineRule="exact"/>
              <w:rPr>
                <w:sz w:val="20"/>
                <w:szCs w:val="20"/>
                <w:color w:val="auto"/>
              </w:rPr>
            </w:pPr>
            <w:r>
              <w:rPr>
                <w:rFonts w:ascii="Times New Roman" w:cs="Times New Roman" w:eastAsia="Times New Roman" w:hAnsi="Times New Roman"/>
                <w:sz w:val="20"/>
                <w:szCs w:val="20"/>
                <w:color w:val="auto"/>
              </w:rPr>
              <w:t>Total gross deferred tax assets</w:t>
            </w: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129,336</w:t>
            </w: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gridSpan w:val="2"/>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122,939</w:t>
            </w:r>
          </w:p>
        </w:tc>
        <w:tc>
          <w:tcPr>
            <w:tcW w:w="0" w:type="dxa"/>
            <w:vAlign w:val="bottom"/>
          </w:tcPr>
          <w:p>
            <w:pPr>
              <w:spacing w:after="0"/>
              <w:rPr>
                <w:sz w:val="1"/>
                <w:szCs w:val="1"/>
                <w:color w:val="auto"/>
              </w:rPr>
            </w:pPr>
          </w:p>
        </w:tc>
      </w:tr>
      <w:tr>
        <w:trPr>
          <w:trHeight w:val="4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Amortization of trademarks</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(11,923)</w:t>
            </w:r>
          </w:p>
        </w:tc>
        <w:tc>
          <w:tcPr>
            <w:tcW w:w="20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(10,393)</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Unrealized gain on available-for-sale investments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 deferred tax liabilities</w:t>
            </w: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(327)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52"/>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Depreciation</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(5,022)</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(5,828)</w:t>
            </w:r>
          </w:p>
        </w:tc>
        <w:tc>
          <w:tcPr>
            <w:tcW w:w="0" w:type="dxa"/>
            <w:vAlign w:val="bottom"/>
          </w:tcPr>
          <w:p>
            <w:pPr>
              <w:spacing w:after="0"/>
              <w:rPr>
                <w:sz w:val="1"/>
                <w:szCs w:val="1"/>
                <w:color w:val="auto"/>
              </w:rPr>
            </w:pPr>
          </w:p>
        </w:tc>
      </w:tr>
      <w:tr>
        <w:trPr>
          <w:trHeight w:val="223"/>
        </w:trPr>
        <w:tc>
          <w:tcPr>
            <w:tcW w:w="6620" w:type="dxa"/>
            <w:vAlign w:val="bottom"/>
          </w:tcPr>
          <w:p>
            <w:pPr>
              <w:ind w:left="720"/>
              <w:spacing w:after="0" w:line="223" w:lineRule="exact"/>
              <w:rPr>
                <w:sz w:val="20"/>
                <w:szCs w:val="20"/>
                <w:color w:val="auto"/>
              </w:rPr>
            </w:pPr>
            <w:r>
              <w:rPr>
                <w:rFonts w:ascii="Times New Roman" w:cs="Times New Roman" w:eastAsia="Times New Roman" w:hAnsi="Times New Roman"/>
                <w:sz w:val="20"/>
                <w:szCs w:val="20"/>
                <w:color w:val="auto"/>
              </w:rPr>
              <w:t>Total gross deferred tax liabilities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(17,272)</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(16,315)</w:t>
            </w:r>
          </w:p>
        </w:tc>
        <w:tc>
          <w:tcPr>
            <w:tcW w:w="0" w:type="dxa"/>
            <w:vAlign w:val="bottom"/>
          </w:tcPr>
          <w:p>
            <w:pPr>
              <w:spacing w:after="0"/>
              <w:rPr>
                <w:sz w:val="1"/>
                <w:szCs w:val="1"/>
                <w:color w:val="auto"/>
              </w:rPr>
            </w:pPr>
          </w:p>
        </w:tc>
      </w:tr>
      <w:tr>
        <w:trPr>
          <w:trHeight w:val="459"/>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Valuation Allowance</w:t>
            </w:r>
          </w:p>
        </w:tc>
        <w:tc>
          <w:tcPr>
            <w:tcW w:w="34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(17,683)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(22,089)</w:t>
            </w:r>
          </w:p>
        </w:tc>
        <w:tc>
          <w:tcPr>
            <w:tcW w:w="0" w:type="dxa"/>
            <w:vAlign w:val="bottom"/>
          </w:tcPr>
          <w:p>
            <w:pPr>
              <w:spacing w:after="0"/>
              <w:rPr>
                <w:sz w:val="1"/>
                <w:szCs w:val="1"/>
                <w:color w:val="auto"/>
              </w:rPr>
            </w:pPr>
          </w:p>
        </w:tc>
      </w:tr>
      <w:tr>
        <w:trPr>
          <w:trHeight w:val="224"/>
        </w:trPr>
        <w:tc>
          <w:tcPr>
            <w:tcW w:w="662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Net deferred tax assets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94,381</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gridSpan w:val="2"/>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84,535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right="40" w:firstLine="648"/>
        <w:spacing w:after="0" w:line="274" w:lineRule="auto"/>
        <w:rPr>
          <w:sz w:val="20"/>
          <w:szCs w:val="20"/>
          <w:color w:val="auto"/>
        </w:rPr>
      </w:pPr>
      <w:r>
        <w:rPr>
          <w:rFonts w:ascii="Times New Roman" w:cs="Times New Roman" w:eastAsia="Times New Roman" w:hAnsi="Times New Roman"/>
          <w:sz w:val="19"/>
          <w:szCs w:val="19"/>
          <w:color w:val="auto"/>
        </w:rPr>
        <w:t>During the years ended December 31, 2014, 2013 and 2012, the Company established full valuation allowances against certain deferred tax assets, resulting from cumulative net operating losses incurred by certain foreign subsidiaries of the Company. The effect of the valuation allowances and the subsequent related impact on the Company’s overall tax rate was to (decrease) increase the Company’s provision for income</w:t>
      </w:r>
    </w:p>
    <w:p>
      <w:pPr>
        <w:sectPr>
          <w:pgSz w:w="11900" w:h="16838" w:orient="portrait"/>
          <w:cols w:equalWidth="0" w:num="1">
            <w:col w:w="11460"/>
          </w:cols>
          <w:pgMar w:left="240" w:top="112" w:right="199" w:bottom="0" w:gutter="0" w:footer="0" w:header="0"/>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20"/>
          <w:szCs w:val="20"/>
          <w:color w:val="auto"/>
        </w:rPr>
        <w:t>taxes by ($4.4) million, $10.8 million and $6.1 million for the years ended December 31, 2014, 2013 and 2012, respectively. At December 31, 2014, the Company had net operating loss carryforwards of approximately $78.5 million. Of this amount, $65.0 million may be carried forward indefinitely. The remaining $13.5 million will begin to expire in 2017.</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is a rollforward of the Company’s total gross unrecognized tax benefits, not including interest and penalties, for the years ended December 31, 2014, 2013 and 2012:</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Gross Unrealized Tax</w:t>
            </w:r>
          </w:p>
        </w:tc>
        <w:tc>
          <w:tcPr>
            <w:tcW w:w="0" w:type="dxa"/>
            <w:vAlign w:val="bottom"/>
          </w:tcPr>
          <w:p>
            <w:pPr>
              <w:spacing w:after="0"/>
              <w:rPr>
                <w:sz w:val="1"/>
                <w:szCs w:val="1"/>
                <w:color w:val="auto"/>
              </w:rPr>
            </w:pPr>
          </w:p>
        </w:tc>
      </w:tr>
      <w:tr>
        <w:trPr>
          <w:trHeight w:val="256"/>
        </w:trPr>
        <w:tc>
          <w:tcPr>
            <w:tcW w:w="4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January 1, 2012</w:t>
            </w:r>
          </w:p>
        </w:tc>
        <w:tc>
          <w:tcPr>
            <w:tcW w:w="3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b w:val="1"/>
                <w:bCs w:val="1"/>
                <w:color w:val="auto"/>
              </w:rPr>
              <w:t>Benefits</w:t>
            </w:r>
          </w:p>
        </w:tc>
        <w:tc>
          <w:tcPr>
            <w:tcW w:w="0" w:type="dxa"/>
            <w:vAlign w:val="bottom"/>
          </w:tcPr>
          <w:p>
            <w:pPr>
              <w:spacing w:after="0"/>
              <w:rPr>
                <w:sz w:val="1"/>
                <w:szCs w:val="1"/>
                <w:color w:val="auto"/>
              </w:rPr>
            </w:pPr>
          </w:p>
        </w:tc>
      </w:tr>
      <w:tr>
        <w:trPr>
          <w:trHeight w:val="200"/>
        </w:trPr>
        <w:tc>
          <w:tcPr>
            <w:tcW w:w="4000" w:type="dxa"/>
            <w:vAlign w:val="bottom"/>
            <w:vMerge w:val="continue"/>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40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1,910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w:t>
            </w: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current year</w:t>
            </w:r>
          </w:p>
        </w:tc>
        <w:tc>
          <w:tcPr>
            <w:tcW w:w="340" w:type="dxa"/>
            <w:vAlign w:val="bottom"/>
          </w:tcPr>
          <w:p>
            <w:pPr>
              <w:spacing w:after="0"/>
              <w:rPr>
                <w:sz w:val="19"/>
                <w:szCs w:val="19"/>
                <w:color w:val="auto"/>
              </w:rPr>
            </w:pP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w:t>
            </w: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prior year</w:t>
            </w:r>
          </w:p>
        </w:tc>
        <w:tc>
          <w:tcPr>
            <w:tcW w:w="340" w:type="dxa"/>
            <w:vAlign w:val="bottom"/>
          </w:tcPr>
          <w:p>
            <w:pPr>
              <w:spacing w:after="0"/>
              <w:rPr>
                <w:sz w:val="19"/>
                <w:szCs w:val="19"/>
                <w:color w:val="auto"/>
              </w:rPr>
            </w:pP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Decreases for tax positions related to</w:t>
            </w: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prior years</w:t>
            </w:r>
          </w:p>
        </w:tc>
        <w:tc>
          <w:tcPr>
            <w:tcW w:w="3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(1,504)</w:t>
            </w:r>
          </w:p>
        </w:tc>
        <w:tc>
          <w:tcPr>
            <w:tcW w:w="0" w:type="dxa"/>
            <w:vAlign w:val="bottom"/>
          </w:tcPr>
          <w:p>
            <w:pPr>
              <w:spacing w:after="0"/>
              <w:rPr>
                <w:sz w:val="1"/>
                <w:szCs w:val="1"/>
                <w:color w:val="auto"/>
              </w:rPr>
            </w:pPr>
          </w:p>
        </w:tc>
      </w:tr>
      <w:tr>
        <w:trPr>
          <w:trHeight w:val="200"/>
        </w:trPr>
        <w:tc>
          <w:tcPr>
            <w:tcW w:w="400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Balance at December 31, 2012</w:t>
            </w: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40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926</w:t>
            </w:r>
          </w:p>
        </w:tc>
        <w:tc>
          <w:tcPr>
            <w:tcW w:w="0" w:type="dxa"/>
            <w:vAlign w:val="bottom"/>
          </w:tcPr>
          <w:p>
            <w:pPr>
              <w:spacing w:after="0"/>
              <w:rPr>
                <w:sz w:val="1"/>
                <w:szCs w:val="1"/>
                <w:color w:val="auto"/>
              </w:rPr>
            </w:pPr>
          </w:p>
        </w:tc>
      </w:tr>
      <w:tr>
        <w:trPr>
          <w:trHeight w:val="23"/>
        </w:trPr>
        <w:tc>
          <w:tcPr>
            <w:tcW w:w="4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w:t>
            </w:r>
          </w:p>
        </w:tc>
        <w:tc>
          <w:tcPr>
            <w:tcW w:w="3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0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current year</w:t>
            </w:r>
          </w:p>
        </w:tc>
        <w:tc>
          <w:tcPr>
            <w:tcW w:w="340" w:type="dxa"/>
            <w:vAlign w:val="bottom"/>
          </w:tcPr>
          <w:p>
            <w:pPr>
              <w:spacing w:after="0"/>
              <w:rPr>
                <w:sz w:val="19"/>
                <w:szCs w:val="19"/>
                <w:color w:val="auto"/>
              </w:rPr>
            </w:pPr>
          </w:p>
        </w:tc>
        <w:tc>
          <w:tcPr>
            <w:tcW w:w="24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w:t>
            </w: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prior year</w:t>
            </w:r>
          </w:p>
        </w:tc>
        <w:tc>
          <w:tcPr>
            <w:tcW w:w="340" w:type="dxa"/>
            <w:vAlign w:val="bottom"/>
          </w:tcPr>
          <w:p>
            <w:pPr>
              <w:spacing w:after="0"/>
              <w:rPr>
                <w:sz w:val="19"/>
                <w:szCs w:val="19"/>
                <w:color w:val="auto"/>
              </w:rPr>
            </w:pP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Decreases for tax positions related to</w:t>
            </w: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prior years</w:t>
            </w:r>
          </w:p>
        </w:tc>
        <w:tc>
          <w:tcPr>
            <w:tcW w:w="3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4000" w:type="dxa"/>
            <w:vAlign w:val="bottom"/>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Balance at December 31, 2013</w:t>
            </w: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240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935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line="200" w:lineRule="exact"/>
              <w:rPr>
                <w:sz w:val="20"/>
                <w:szCs w:val="20"/>
                <w:color w:val="auto"/>
              </w:rPr>
            </w:pPr>
            <w:r>
              <w:rPr>
                <w:rFonts w:ascii="Times New Roman" w:cs="Times New Roman" w:eastAsia="Times New Roman" w:hAnsi="Times New Roman"/>
                <w:sz w:val="20"/>
                <w:szCs w:val="20"/>
                <w:color w:val="auto"/>
              </w:rPr>
              <w:t>Additions for tax positions related to the</w:t>
            </w:r>
          </w:p>
        </w:tc>
        <w:tc>
          <w:tcPr>
            <w:tcW w:w="3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current year</w:t>
            </w:r>
          </w:p>
        </w:tc>
        <w:tc>
          <w:tcPr>
            <w:tcW w:w="340" w:type="dxa"/>
            <w:vAlign w:val="bottom"/>
          </w:tcPr>
          <w:p>
            <w:pPr>
              <w:spacing w:after="0"/>
              <w:rPr>
                <w:sz w:val="19"/>
                <w:szCs w:val="19"/>
                <w:color w:val="auto"/>
              </w:rPr>
            </w:pP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w:t>
            </w: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prior year</w:t>
            </w:r>
          </w:p>
        </w:tc>
        <w:tc>
          <w:tcPr>
            <w:tcW w:w="340" w:type="dxa"/>
            <w:vAlign w:val="bottom"/>
          </w:tcPr>
          <w:p>
            <w:pPr>
              <w:spacing w:after="0"/>
              <w:rPr>
                <w:sz w:val="19"/>
                <w:szCs w:val="19"/>
                <w:color w:val="auto"/>
              </w:rPr>
            </w:pP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Decreases for tax positions related to</w:t>
            </w: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prior years</w:t>
            </w:r>
          </w:p>
        </w:tc>
        <w:tc>
          <w:tcPr>
            <w:tcW w:w="3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4000" w:type="dxa"/>
            <w:vAlign w:val="bottom"/>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Balance at December 31, 2014</w:t>
            </w: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240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935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recognizes accrued interest and penalties related to unrecognized tax benefits in the provision for income taxes in the Company’s consolidated financial statements. As of December 31, 2014, the Company had accrued approximately $0.4 million in interest and penalties related to unrecognized tax benefits. If the Company were to prevail on all uncertain tax positions it would not have a significant impact on the Company’s effective tax rate.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It is expected that the amount of unrecognized tax benefit change within the next 12 months will not be significant.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March 8, 2013, the Internal Revenue Service (“IRS”) began its examination of the Company’s U.S. federal income tax returns for the years ended December 31, 2010 and 2011. The Company is also in various stages of examination with certain states. The 2012 and 2013 U.S. federal income tax returns are subject to IRS examination. State income tax returns are subject to examination for the 2010 through 2013 tax years.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923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92315" cy="17145"/>
                    </a:xfrm>
                    <a:prstGeom prst="rect">
                      <a:avLst/>
                    </a:prstGeom>
                    <a:noFill/>
                  </pic:spPr>
                </pic:pic>
              </a:graphicData>
            </a:graphic>
          </wp:anchor>
        </w:drawing>
      </w:r>
    </w:p>
    <w:p>
      <w:pPr>
        <w:spacing w:after="0" w:line="383" w:lineRule="exact"/>
        <w:rPr>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PER SHARE</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A reconciliation of the weighted average shares used in the basic and diluted earnings per common share computations for the years ended December 31, 2014, 2013 and 2012 is presented below (in thousands):</w:t>
      </w:r>
    </w:p>
    <w:p>
      <w:pPr>
        <w:sectPr>
          <w:pgSz w:w="11900" w:h="16838" w:orient="portrait"/>
          <w:cols w:equalWidth="0" w:num="1">
            <w:col w:w="11420"/>
          </w:cols>
          <w:pgMar w:left="240" w:top="118" w:right="239" w:bottom="0" w:gutter="0" w:footer="0" w:header="0"/>
        </w:sectPr>
      </w:pPr>
    </w:p>
    <w:bookmarkStart w:id="72" w:name="page73"/>
    <w:bookmarkEnd w:id="72"/>
    <w:tbl>
      <w:tblPr>
        <w:tblLayout w:type="fixed"/>
        <w:tblInd w:w="660" w:type="dxa"/>
        <w:tblCellMar>
          <w:top w:w="0" w:type="dxa"/>
          <w:left w:w="0" w:type="dxa"/>
          <w:bottom w:w="0" w:type="dxa"/>
          <w:right w:w="0" w:type="dxa"/>
        </w:tblCellMar>
      </w:tblPr>
      <w:tr>
        <w:trPr>
          <w:trHeight w:val="242"/>
        </w:trPr>
        <w:tc>
          <w:tcPr>
            <w:tcW w:w="58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Weighted-average shares outstanding:</w:t>
            </w:r>
          </w:p>
        </w:tc>
        <w:tc>
          <w:tcPr>
            <w:tcW w:w="13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9"/>
                <w:szCs w:val="19"/>
                <w:color w:val="auto"/>
              </w:rPr>
              <w:t>2014</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9"/>
                <w:szCs w:val="19"/>
                <w:color w:val="auto"/>
              </w:rPr>
              <w:t>2013</w:t>
            </w:r>
          </w:p>
        </w:tc>
        <w:tc>
          <w:tcPr>
            <w:tcW w:w="280" w:type="dxa"/>
            <w:vAlign w:val="bottom"/>
          </w:tcPr>
          <w:p>
            <w:pPr>
              <w:spacing w:after="0"/>
              <w:rPr>
                <w:sz w:val="21"/>
                <w:szCs w:val="21"/>
                <w:color w:val="auto"/>
              </w:rPr>
            </w:pPr>
          </w:p>
        </w:tc>
        <w:tc>
          <w:tcPr>
            <w:tcW w:w="13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9"/>
                <w:szCs w:val="19"/>
                <w:color w:val="auto"/>
              </w:rPr>
              <w:t>2012</w:t>
            </w:r>
          </w:p>
        </w:tc>
        <w:tc>
          <w:tcPr>
            <w:tcW w:w="0" w:type="dxa"/>
            <w:vAlign w:val="bottom"/>
          </w:tcPr>
          <w:p>
            <w:pPr>
              <w:spacing w:after="0"/>
              <w:rPr>
                <w:sz w:val="1"/>
                <w:szCs w:val="1"/>
                <w:color w:val="auto"/>
              </w:rPr>
            </w:pPr>
          </w:p>
        </w:tc>
      </w:tr>
      <w:tr>
        <w:trPr>
          <w:trHeight w:val="170"/>
        </w:trPr>
        <w:tc>
          <w:tcPr>
            <w:tcW w:w="588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840"/>
              <w:spacing w:after="0" w:line="216" w:lineRule="exact"/>
              <w:rPr>
                <w:sz w:val="20"/>
                <w:szCs w:val="20"/>
                <w:color w:val="auto"/>
              </w:rPr>
            </w:pPr>
            <w:r>
              <w:rPr>
                <w:rFonts w:ascii="Times New Roman" w:cs="Times New Roman" w:eastAsia="Times New Roman" w:hAnsi="Times New Roman"/>
                <w:sz w:val="19"/>
                <w:szCs w:val="19"/>
                <w:color w:val="auto"/>
              </w:rPr>
              <w:t>Basic</w:t>
            </w:r>
          </w:p>
        </w:tc>
        <w:tc>
          <w:tcPr>
            <w:tcW w:w="136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167,257</w:t>
            </w:r>
          </w:p>
        </w:tc>
        <w:tc>
          <w:tcPr>
            <w:tcW w:w="280" w:type="dxa"/>
            <w:vAlign w:val="bottom"/>
          </w:tcPr>
          <w:p>
            <w:pPr>
              <w:spacing w:after="0"/>
              <w:rPr>
                <w:sz w:val="18"/>
                <w:szCs w:val="18"/>
                <w:color w:val="auto"/>
              </w:rPr>
            </w:pPr>
          </w:p>
        </w:tc>
        <w:tc>
          <w:tcPr>
            <w:tcW w:w="136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166,679</w:t>
            </w:r>
          </w:p>
        </w:tc>
        <w:tc>
          <w:tcPr>
            <w:tcW w:w="280" w:type="dxa"/>
            <w:vAlign w:val="bottom"/>
          </w:tcPr>
          <w:p>
            <w:pPr>
              <w:spacing w:after="0"/>
              <w:rPr>
                <w:sz w:val="18"/>
                <w:szCs w:val="18"/>
                <w:color w:val="auto"/>
              </w:rPr>
            </w:pPr>
          </w:p>
        </w:tc>
        <w:tc>
          <w:tcPr>
            <w:tcW w:w="138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173,712</w:t>
            </w:r>
          </w:p>
        </w:tc>
        <w:tc>
          <w:tcPr>
            <w:tcW w:w="0" w:type="dxa"/>
            <w:vAlign w:val="bottom"/>
          </w:tcPr>
          <w:p>
            <w:pPr>
              <w:spacing w:after="0"/>
              <w:rPr>
                <w:sz w:val="1"/>
                <w:szCs w:val="1"/>
                <w:color w:val="auto"/>
              </w:rPr>
            </w:pPr>
          </w:p>
        </w:tc>
      </w:tr>
      <w:tr>
        <w:trPr>
          <w:trHeight w:val="242"/>
        </w:trPr>
        <w:tc>
          <w:tcPr>
            <w:tcW w:w="588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Dilutive securities</w:t>
            </w:r>
          </w:p>
        </w:tc>
        <w:tc>
          <w:tcPr>
            <w:tcW w:w="13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7,028</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6,708</w:t>
            </w:r>
          </w:p>
        </w:tc>
        <w:tc>
          <w:tcPr>
            <w:tcW w:w="280" w:type="dxa"/>
            <w:vAlign w:val="bottom"/>
          </w:tcPr>
          <w:p>
            <w:pPr>
              <w:spacing w:after="0"/>
              <w:rPr>
                <w:sz w:val="21"/>
                <w:szCs w:val="21"/>
                <w:color w:val="auto"/>
              </w:rPr>
            </w:pPr>
          </w:p>
        </w:tc>
        <w:tc>
          <w:tcPr>
            <w:tcW w:w="13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9"/>
                <w:szCs w:val="19"/>
                <w:color w:val="auto"/>
              </w:rPr>
              <w:t>9,371</w:t>
            </w:r>
          </w:p>
        </w:tc>
        <w:tc>
          <w:tcPr>
            <w:tcW w:w="0" w:type="dxa"/>
            <w:vAlign w:val="bottom"/>
          </w:tcPr>
          <w:p>
            <w:pPr>
              <w:spacing w:after="0"/>
              <w:rPr>
                <w:sz w:val="1"/>
                <w:szCs w:val="1"/>
                <w:color w:val="auto"/>
              </w:rPr>
            </w:pPr>
          </w:p>
        </w:tc>
      </w:tr>
      <w:tr>
        <w:trPr>
          <w:trHeight w:val="210"/>
        </w:trPr>
        <w:tc>
          <w:tcPr>
            <w:tcW w:w="5880" w:type="dxa"/>
            <w:vAlign w:val="bottom"/>
          </w:tcPr>
          <w:p>
            <w:pPr>
              <w:ind w:left="840"/>
              <w:spacing w:after="0" w:line="210" w:lineRule="exact"/>
              <w:rPr>
                <w:sz w:val="20"/>
                <w:szCs w:val="20"/>
                <w:color w:val="auto"/>
              </w:rPr>
            </w:pPr>
            <w:r>
              <w:rPr>
                <w:rFonts w:ascii="Times New Roman" w:cs="Times New Roman" w:eastAsia="Times New Roman" w:hAnsi="Times New Roman"/>
                <w:sz w:val="19"/>
                <w:szCs w:val="19"/>
                <w:color w:val="auto"/>
              </w:rPr>
              <w:t>Diluted</w:t>
            </w:r>
          </w:p>
        </w:tc>
        <w:tc>
          <w:tcPr>
            <w:tcW w:w="136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174,285</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25"/>
              <w:spacing w:after="0" w:line="210" w:lineRule="exact"/>
              <w:rPr>
                <w:sz w:val="20"/>
                <w:szCs w:val="20"/>
                <w:color w:val="auto"/>
              </w:rPr>
            </w:pPr>
            <w:r>
              <w:rPr>
                <w:rFonts w:ascii="Times New Roman" w:cs="Times New Roman" w:eastAsia="Times New Roman" w:hAnsi="Times New Roman"/>
                <w:sz w:val="19"/>
                <w:szCs w:val="19"/>
                <w:color w:val="auto"/>
              </w:rPr>
              <w:t>173,387</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183,083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For the years ended December 31, 2014, 2013 and 2012, options and awards outstanding totaling 0.7 million shares, 1.3 million shares and 0.3 million shares respectively, were excluded from the calculations as their effect would have been antidilutive.</w:t>
      </w:r>
    </w:p>
    <w:p>
      <w:pPr>
        <w:spacing w:after="0" w:line="173" w:lineRule="exact"/>
        <w:rPr>
          <w:sz w:val="20"/>
          <w:szCs w:val="20"/>
          <w:color w:val="auto"/>
        </w:rPr>
      </w:pPr>
    </w:p>
    <w:p>
      <w:pPr>
        <w:ind w:left="600" w:hanging="592"/>
        <w:spacing w:after="0"/>
        <w:tabs>
          <w:tab w:leader="none" w:pos="6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BENEFIT PLAN</w:t>
      </w:r>
    </w:p>
    <w:p>
      <w:pPr>
        <w:spacing w:after="0" w:line="2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Employees of the Company may participate in the Monster Beverage Corporation 401(k) Plan, a defined contribution plan, which qualifies under Section 401(k) of the Internal Revenue Code. Participating employees may contribute up to 15% of their pretax salary up to statutory limits. The Company contributes 25% of the employee contribution, up to 8% of each employee’s earnings, which vest 20% each year for five years after the first anniversary date. Matching contributions were $0.6 million, $0.6 million and $0.5 million for the years ended December 31, 2014, 2013 and 2012, respectively.</w:t>
      </w:r>
    </w:p>
    <w:p>
      <w:pPr>
        <w:spacing w:after="0" w:line="194"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SEGMENT INFORMATION</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 has two operating and reportable segments, namely Direct Store Delivery (“DSD”), the principal products of which comprise energy drinks, and Warehouse (“Warehouse”), the principal products of which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specifically have been allocated to “Corporate &amp; Unallocated.” No asset information has been provided for the Company’s reportable segments as management does not measure or allocate assets on a segment basis. Following the consummation of the TCCC Transaction, the Company anticipates that it will have two operating and reporting segments: Concentrate, the principal products of which will likely include the various energy drink brands transferred to the Company from TCCC, and Finished Products, the principal products of which will likely include the Company’s Monster Energy® drink products that currently make up the majority of the DSD segment.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923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92315" cy="17145"/>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revenues derived from DSD and Warehouse segments and other financial information related thereto for the years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2014, 2013 and 2012 are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5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20"/>
                <w:szCs w:val="20"/>
                <w:color w:val="auto"/>
              </w:rPr>
              <w:t>Year Ended December 31, 2014</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00"/>
              <w:spacing w:after="0" w:line="200" w:lineRule="exact"/>
              <w:rPr>
                <w:sz w:val="20"/>
                <w:szCs w:val="20"/>
                <w:color w:val="auto"/>
              </w:rPr>
            </w:pPr>
            <w:r>
              <w:rPr>
                <w:rFonts w:ascii="Times New Roman" w:cs="Times New Roman" w:eastAsia="Times New Roman" w:hAnsi="Times New Roman"/>
                <w:sz w:val="20"/>
                <w:szCs w:val="20"/>
                <w:color w:val="auto"/>
                <w:w w:val="99"/>
              </w:rPr>
              <w:t>Corporate</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w w:val="96"/>
              </w:rPr>
              <w:t>and</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DSD</w:t>
            </w:r>
          </w:p>
        </w:tc>
        <w:tc>
          <w:tcPr>
            <w:tcW w:w="20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Warehouse</w:t>
            </w:r>
          </w:p>
        </w:tc>
        <w:tc>
          <w:tcPr>
            <w:tcW w:w="180" w:type="dxa"/>
            <w:vAlign w:val="bottom"/>
          </w:tcPr>
          <w:p>
            <w:pPr>
              <w:spacing w:after="0"/>
              <w:rPr>
                <w:sz w:val="21"/>
                <w:szCs w:val="21"/>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w w:val="99"/>
              </w:rPr>
              <w:t>Unallocated</w:t>
            </w:r>
          </w:p>
        </w:tc>
        <w:tc>
          <w:tcPr>
            <w:tcW w:w="360" w:type="dxa"/>
            <w:vAlign w:val="bottom"/>
          </w:tcPr>
          <w:p>
            <w:pPr>
              <w:spacing w:after="0"/>
              <w:rPr>
                <w:sz w:val="21"/>
                <w:szCs w:val="21"/>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4540" w:type="dxa"/>
            <w:vAlign w:val="bottom"/>
            <w:vMerge w:val="continue"/>
          </w:tcPr>
          <w:p>
            <w:pPr>
              <w:spacing w:after="0"/>
              <w:rPr>
                <w:sz w:val="17"/>
                <w:szCs w:val="17"/>
                <w:color w:val="auto"/>
              </w:rPr>
            </w:pPr>
          </w:p>
        </w:tc>
        <w:tc>
          <w:tcPr>
            <w:tcW w:w="300" w:type="dxa"/>
            <w:vAlign w:val="bottom"/>
            <w:tcBorders>
              <w:top w:val="single" w:sz="8" w:color="auto"/>
            </w:tcBorders>
            <w:gridSpan w:val="2"/>
          </w:tcPr>
          <w:p>
            <w:pPr>
              <w:jc w:val="right"/>
              <w:ind w:right="14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2,369,208</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95,659</w:t>
            </w:r>
          </w:p>
        </w:tc>
        <w:tc>
          <w:tcPr>
            <w:tcW w:w="280" w:type="dxa"/>
            <w:vAlign w:val="bottom"/>
          </w:tcPr>
          <w:p>
            <w:pPr>
              <w:spacing w:after="0"/>
              <w:rPr>
                <w:sz w:val="17"/>
                <w:szCs w:val="17"/>
                <w:color w:val="auto"/>
              </w:rPr>
            </w:pPr>
          </w:p>
        </w:tc>
        <w:tc>
          <w:tcPr>
            <w:tcW w:w="1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tcBorders>
          </w:tcPr>
          <w:p>
            <w:pPr>
              <w:jc w:val="right"/>
              <w:ind w:right="2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tcBorders>
          </w:tcPr>
          <w:p>
            <w:pPr>
              <w:jc w:val="right"/>
              <w:ind w:right="1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tcBorders>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2,464,867</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Contribution margin*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908,781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3,003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911,784</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Corporate &amp; unallocated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(164,279)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(164,279)</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747,505</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other income, net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(1,717)</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provision for income taxes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745,788</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&amp; amortization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(19,778)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(25,611)</w:t>
            </w:r>
          </w:p>
        </w:tc>
        <w:tc>
          <w:tcPr>
            <w:tcW w:w="0" w:type="dxa"/>
            <w:vAlign w:val="bottom"/>
          </w:tcPr>
          <w:p>
            <w:pPr>
              <w:spacing w:after="0"/>
              <w:rPr>
                <w:sz w:val="1"/>
                <w:szCs w:val="1"/>
                <w:color w:val="auto"/>
              </w:rPr>
            </w:pPr>
          </w:p>
        </w:tc>
      </w:tr>
      <w:tr>
        <w:trPr>
          <w:trHeight w:val="258"/>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Trademark amortization</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467"/>
        </w:trPr>
        <w:tc>
          <w:tcPr>
            <w:tcW w:w="4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20"/>
                <w:szCs w:val="20"/>
                <w:color w:val="auto"/>
              </w:rPr>
              <w:t>Year Ended December 31, 2013</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60"/>
              <w:spacing w:after="0" w:line="200" w:lineRule="exact"/>
              <w:rPr>
                <w:sz w:val="20"/>
                <w:szCs w:val="20"/>
                <w:color w:val="auto"/>
              </w:rPr>
            </w:pPr>
            <w:r>
              <w:rPr>
                <w:rFonts w:ascii="Times New Roman" w:cs="Times New Roman" w:eastAsia="Times New Roman" w:hAnsi="Times New Roman"/>
                <w:sz w:val="20"/>
                <w:szCs w:val="20"/>
                <w:color w:val="auto"/>
                <w:w w:val="97"/>
              </w:rPr>
              <w:t>Corporate</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jc w:val="center"/>
              <w:ind w:right="460"/>
              <w:spacing w:after="0"/>
              <w:rPr>
                <w:sz w:val="20"/>
                <w:szCs w:val="20"/>
                <w:color w:val="auto"/>
              </w:rPr>
            </w:pPr>
            <w:r>
              <w:rPr>
                <w:rFonts w:ascii="Times New Roman" w:cs="Times New Roman" w:eastAsia="Times New Roman" w:hAnsi="Times New Roman"/>
                <w:sz w:val="20"/>
                <w:szCs w:val="20"/>
                <w:color w:val="auto"/>
              </w:rPr>
              <w:t>and</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DSD</w:t>
            </w:r>
          </w:p>
        </w:tc>
        <w:tc>
          <w:tcPr>
            <w:tcW w:w="20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Warehouse</w:t>
            </w:r>
          </w:p>
        </w:tc>
        <w:tc>
          <w:tcPr>
            <w:tcW w:w="180" w:type="dxa"/>
            <w:vAlign w:val="bottom"/>
          </w:tcPr>
          <w:p>
            <w:pPr>
              <w:spacing w:after="0"/>
              <w:rPr>
                <w:sz w:val="21"/>
                <w:szCs w:val="21"/>
                <w:color w:val="auto"/>
              </w:rPr>
            </w:pPr>
          </w:p>
        </w:tc>
        <w:tc>
          <w:tcPr>
            <w:tcW w:w="1480" w:type="dxa"/>
            <w:vAlign w:val="bottom"/>
            <w:gridSpan w:val="3"/>
          </w:tcPr>
          <w:p>
            <w:pPr>
              <w:jc w:val="center"/>
              <w:ind w:right="460"/>
              <w:spacing w:after="0"/>
              <w:rPr>
                <w:sz w:val="20"/>
                <w:szCs w:val="20"/>
                <w:color w:val="auto"/>
              </w:rPr>
            </w:pPr>
            <w:r>
              <w:rPr>
                <w:rFonts w:ascii="Times New Roman" w:cs="Times New Roman" w:eastAsia="Times New Roman" w:hAnsi="Times New Roman"/>
                <w:sz w:val="20"/>
                <w:szCs w:val="20"/>
                <w:color w:val="auto"/>
                <w:w w:val="97"/>
              </w:rPr>
              <w:t>Unallocated</w:t>
            </w:r>
          </w:p>
        </w:tc>
        <w:tc>
          <w:tcPr>
            <w:tcW w:w="360" w:type="dxa"/>
            <w:vAlign w:val="bottom"/>
          </w:tcPr>
          <w:p>
            <w:pPr>
              <w:spacing w:after="0"/>
              <w:rPr>
                <w:sz w:val="21"/>
                <w:szCs w:val="21"/>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4540" w:type="dxa"/>
            <w:vAlign w:val="bottom"/>
            <w:vMerge w:val="continue"/>
          </w:tcPr>
          <w:p>
            <w:pPr>
              <w:spacing w:after="0"/>
              <w:rPr>
                <w:sz w:val="17"/>
                <w:szCs w:val="17"/>
                <w:color w:val="auto"/>
              </w:rPr>
            </w:pPr>
          </w:p>
        </w:tc>
        <w:tc>
          <w:tcPr>
            <w:tcW w:w="300" w:type="dxa"/>
            <w:vAlign w:val="bottom"/>
            <w:tcBorders>
              <w:top w:val="single" w:sz="8" w:color="auto"/>
            </w:tcBorders>
            <w:gridSpan w:val="2"/>
          </w:tcPr>
          <w:p>
            <w:pPr>
              <w:jc w:val="right"/>
              <w:ind w:right="14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2,147,355</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99,073</w:t>
            </w:r>
          </w:p>
        </w:tc>
        <w:tc>
          <w:tcPr>
            <w:tcW w:w="280" w:type="dxa"/>
            <w:vAlign w:val="bottom"/>
          </w:tcPr>
          <w:p>
            <w:pPr>
              <w:spacing w:after="0"/>
              <w:rPr>
                <w:sz w:val="17"/>
                <w:szCs w:val="17"/>
                <w:color w:val="auto"/>
              </w:rPr>
            </w:pPr>
          </w:p>
        </w:tc>
        <w:tc>
          <w:tcPr>
            <w:tcW w:w="1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tcBorders>
          </w:tcPr>
          <w:p>
            <w:pPr>
              <w:jc w:val="right"/>
              <w:ind w:right="2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tcBorders>
          </w:tcPr>
          <w:p>
            <w:pPr>
              <w:jc w:val="right"/>
              <w:ind w:right="1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tcBorders>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2,246,428</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Contribution margin*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726,826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725,174</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Corporate &amp; unallocated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(152,258)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(152,258)</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572,916</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other income, net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755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(9,775)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(9,022)</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provision for income taxes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563,894</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&amp; amortization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(19,023)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(3,446)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(22,713)</w:t>
            </w:r>
          </w:p>
        </w:tc>
        <w:tc>
          <w:tcPr>
            <w:tcW w:w="0" w:type="dxa"/>
            <w:vAlign w:val="bottom"/>
          </w:tcPr>
          <w:p>
            <w:pPr>
              <w:spacing w:after="0"/>
              <w:rPr>
                <w:sz w:val="1"/>
                <w:szCs w:val="1"/>
                <w:color w:val="auto"/>
              </w:rPr>
            </w:pPr>
          </w:p>
        </w:tc>
      </w:tr>
      <w:tr>
        <w:trPr>
          <w:trHeight w:val="258"/>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Trademark amortization</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467"/>
        </w:trPr>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20"/>
                <w:szCs w:val="20"/>
                <w:color w:val="auto"/>
              </w:rPr>
              <w:t>Year Ended December 31, 2012</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DSD</w:t>
            </w: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Warehouse</w:t>
            </w:r>
          </w:p>
        </w:tc>
        <w:tc>
          <w:tcPr>
            <w:tcW w:w="180" w:type="dxa"/>
            <w:vAlign w:val="bottom"/>
          </w:tcPr>
          <w:p>
            <w:pPr>
              <w:spacing w:after="0"/>
              <w:rPr>
                <w:sz w:val="21"/>
                <w:szCs w:val="21"/>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color w:val="auto"/>
                <w:w w:val="99"/>
              </w:rPr>
              <w:t>Corporate</w:t>
            </w:r>
          </w:p>
        </w:tc>
        <w:tc>
          <w:tcPr>
            <w:tcW w:w="360" w:type="dxa"/>
            <w:vAlign w:val="bottom"/>
          </w:tcPr>
          <w:p>
            <w:pPr>
              <w:spacing w:after="0"/>
              <w:rPr>
                <w:sz w:val="21"/>
                <w:szCs w:val="21"/>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bl>
    <w:p>
      <w:pPr>
        <w:sectPr>
          <w:pgSz w:w="11900" w:h="16838" w:orient="portrait"/>
          <w:cols w:equalWidth="0" w:num="1">
            <w:col w:w="11420"/>
          </w:cols>
          <w:pgMar w:left="240" w:top="329" w:right="239"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w w:val="96"/>
              </w:rPr>
              <w:t>and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w w:val="99"/>
              </w:rPr>
              <w:t>Unallocated</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560" w:type="dxa"/>
            <w:vAlign w:val="bottom"/>
            <w:vMerge w:val="continue"/>
          </w:tcPr>
          <w:p>
            <w:pPr>
              <w:spacing w:after="0"/>
              <w:rPr>
                <w:sz w:val="17"/>
                <w:szCs w:val="17"/>
                <w:color w:val="auto"/>
              </w:rPr>
            </w:pPr>
          </w:p>
        </w:tc>
        <w:tc>
          <w:tcPr>
            <w:tcW w:w="300" w:type="dxa"/>
            <w:vAlign w:val="bottom"/>
            <w:tcBorders>
              <w:top w:val="single" w:sz="8" w:color="auto"/>
            </w:tcBorders>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1,966,481</w:t>
            </w:r>
          </w:p>
        </w:tc>
        <w:tc>
          <w:tcPr>
            <w:tcW w:w="280" w:type="dxa"/>
            <w:vAlign w:val="bottom"/>
          </w:tcPr>
          <w:p>
            <w:pPr>
              <w:spacing w:after="0"/>
              <w:rPr>
                <w:sz w:val="17"/>
                <w:szCs w:val="17"/>
                <w:color w:val="auto"/>
              </w:rPr>
            </w:pPr>
          </w:p>
        </w:tc>
        <w:tc>
          <w:tcPr>
            <w:tcW w:w="420" w:type="dxa"/>
            <w:vAlign w:val="bottom"/>
            <w:tcBorders>
              <w:top w:val="single" w:sz="8" w:color="auto"/>
            </w:tcBorders>
          </w:tcPr>
          <w:p>
            <w:pPr>
              <w:jc w:val="right"/>
              <w:ind w:right="1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94,221</w:t>
            </w:r>
          </w:p>
        </w:tc>
        <w:tc>
          <w:tcPr>
            <w:tcW w:w="280" w:type="dxa"/>
            <w:vAlign w:val="bottom"/>
          </w:tcPr>
          <w:p>
            <w:pPr>
              <w:spacing w:after="0"/>
              <w:rPr>
                <w:sz w:val="17"/>
                <w:szCs w:val="17"/>
                <w:color w:val="auto"/>
              </w:rPr>
            </w:pPr>
          </w:p>
        </w:tc>
        <w:tc>
          <w:tcPr>
            <w:tcW w:w="1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tcBorders>
          </w:tcPr>
          <w:p>
            <w:pPr>
              <w:jc w:val="right"/>
              <w:ind w:right="2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360" w:type="dxa"/>
            <w:vAlign w:val="bottom"/>
            <w:tcBorders>
              <w:top w:val="single" w:sz="8" w:color="auto"/>
            </w:tcBorders>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tcBorders>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2,060,702</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Contribution margin*</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660,607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3,496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664,103</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Corporate &amp; unallocated expenses</w:t>
            </w:r>
          </w:p>
        </w:tc>
        <w:tc>
          <w:tcPr>
            <w:tcW w:w="300" w:type="dxa"/>
            <w:vAlign w:val="bottom"/>
          </w:tcPr>
          <w:p>
            <w:pPr>
              <w:spacing w:after="0"/>
              <w:rPr>
                <w:sz w:val="19"/>
                <w:szCs w:val="19"/>
                <w:color w:val="auto"/>
              </w:rPr>
            </w:pPr>
          </w:p>
        </w:tc>
        <w:tc>
          <w:tcPr>
            <w:tcW w:w="10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(113,480)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(113,480)</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550,623</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other income, net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494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(1,469)</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provision for income taxes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549,154</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&amp;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(15,660)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(20,513)</w:t>
            </w:r>
          </w:p>
        </w:tc>
        <w:tc>
          <w:tcPr>
            <w:tcW w:w="0" w:type="dxa"/>
            <w:vAlign w:val="bottom"/>
          </w:tcPr>
          <w:p>
            <w:pPr>
              <w:spacing w:after="0"/>
              <w:rPr>
                <w:sz w:val="1"/>
                <w:szCs w:val="1"/>
                <w:color w:val="auto"/>
              </w:rPr>
            </w:pPr>
          </w:p>
        </w:tc>
      </w:tr>
      <w:tr>
        <w:trPr>
          <w:trHeight w:val="258"/>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Trademark amortization</w:t>
            </w:r>
          </w:p>
        </w:tc>
        <w:tc>
          <w:tcPr>
            <w:tcW w:w="300" w:type="dxa"/>
            <w:vAlign w:val="bottom"/>
          </w:tcPr>
          <w:p>
            <w:pPr>
              <w:spacing w:after="0"/>
              <w:rPr>
                <w:sz w:val="22"/>
                <w:szCs w:val="22"/>
                <w:color w:val="auto"/>
              </w:rPr>
            </w:pPr>
          </w:p>
        </w:tc>
        <w:tc>
          <w:tcPr>
            <w:tcW w:w="10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648"/>
        <w:spacing w:after="0" w:line="301" w:lineRule="auto"/>
        <w:rPr>
          <w:sz w:val="20"/>
          <w:szCs w:val="20"/>
          <w:color w:val="auto"/>
        </w:rPr>
      </w:pPr>
      <w:r>
        <w:rPr>
          <w:rFonts w:ascii="Times New Roman" w:cs="Times New Roman" w:eastAsia="Times New Roman" w:hAnsi="Times New Roman"/>
          <w:sz w:val="16"/>
          <w:szCs w:val="16"/>
          <w:i w:val="1"/>
          <w:iCs w:val="1"/>
          <w:color w:val="auto"/>
        </w:rPr>
        <w:t>*Contribution margin is defined as gross profit less certain operating expenses deemed by management to be directly attributable to the respective reportable segment. Contribution margin is used by management as a key indicator of reportable segment profitability.</w:t>
      </w:r>
    </w:p>
    <w:p>
      <w:pPr>
        <w:spacing w:after="0" w:line="16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Revenue is derived from sales to external customers. Operating expenses that pertain to each segment are allocated to the appropriate segment.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Corporate and unallocated expenses were $164.3 million for the year ended December 31, 2014 and included $86.2 million of payroll costs, of which $28.6 million was attributable to stock-based compensation expense (see Note 13, “Stock-Based Compensation”), $43.8 million of professional service expenses, including accounting and legal costs, $7.4 million of insurance costs and $26.9 million of other operating expenses. Corporate and unallocated expenses were $152.3 million for the year ended December 31, 2013 and included $82.5 million of payroll costs, of which $28.8 million was attributable to stock-based compensation expense (see Note 13, “Stock-Based Compensation”), $38.7 million of professional service expenses, including accounting and legal costs, and $31.1 million of other operating expenses. Corporate and unallocated expenses were $113.5 million for the year ended December 31, 2012 and included $73.0 million of payroll costs, of which $28.4 million was attributable to stock-based compensation expense (see Note 13, “Stock-Based Compensation”), $19.7 million of professional service expenses, including accounting and legal costs, $4.4 million of depreciation and $16.4 million of other operating expenses.</w:t>
      </w:r>
    </w:p>
    <w:p>
      <w:pPr>
        <w:spacing w:after="0" w:line="19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CCR, a customer of the DSD segment, accounted for 29%, 29% and 28% of the Company’s net sales for the years ended December 31, 2014, 2013 and 2012, respectively.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Net sales to customers outside the United States amounted to $534.2 million, $467.2 million and $415.8 million for the years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2014, 2013 and 2012, respectively.  Such sales were approximately 21.7%, 20.8% and 20.2% of net sales for the years ended</w:t>
      </w:r>
    </w:p>
    <w:p>
      <w:pPr>
        <w:spacing w:after="0"/>
        <w:rPr>
          <w:sz w:val="20"/>
          <w:szCs w:val="20"/>
          <w:color w:val="auto"/>
        </w:rPr>
      </w:pPr>
      <w:r>
        <w:rPr>
          <w:rFonts w:ascii="Times New Roman" w:cs="Times New Roman" w:eastAsia="Times New Roman" w:hAnsi="Times New Roman"/>
          <w:sz w:val="20"/>
          <w:szCs w:val="20"/>
          <w:color w:val="auto"/>
        </w:rPr>
        <w:t>December 31, 2014, 2013 and 2012, respectively.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net sales by product line for years ended December 31, 2014, 2013 and 2012, respectively,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720" w:type="dxa"/>
        <w:tblCellMar>
          <w:top w:w="0" w:type="dxa"/>
          <w:left w:w="0" w:type="dxa"/>
          <w:bottom w:w="0" w:type="dxa"/>
          <w:right w:w="0" w:type="dxa"/>
        </w:tblCellMar>
      </w:tblPr>
      <w:tr>
        <w:trPr>
          <w:trHeight w:val="252"/>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Product Line</w:t>
            </w:r>
          </w:p>
        </w:tc>
        <w:tc>
          <w:tcPr>
            <w:tcW w:w="5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2014</w:t>
            </w: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2013</w:t>
            </w: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2012</w:t>
            </w:r>
          </w:p>
        </w:tc>
      </w:tr>
      <w:tr>
        <w:trPr>
          <w:trHeight w:val="252"/>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Energy drinks</w:t>
            </w:r>
          </w:p>
        </w:tc>
        <w:tc>
          <w:tcPr>
            <w:tcW w:w="5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2,302,225</w:t>
            </w:r>
          </w:p>
        </w:tc>
        <w:tc>
          <w:tcPr>
            <w:tcW w:w="220" w:type="dxa"/>
            <w:vAlign w:val="bottom"/>
          </w:tcPr>
          <w:p>
            <w:pPr>
              <w:spacing w:after="0"/>
              <w:rPr>
                <w:sz w:val="21"/>
                <w:szCs w:val="21"/>
                <w:color w:val="auto"/>
              </w:rPr>
            </w:pP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2,082,238</w:t>
            </w:r>
          </w:p>
        </w:tc>
        <w:tc>
          <w:tcPr>
            <w:tcW w:w="220" w:type="dxa"/>
            <w:vAlign w:val="bottom"/>
          </w:tcPr>
          <w:p>
            <w:pPr>
              <w:spacing w:after="0"/>
              <w:rPr>
                <w:sz w:val="21"/>
                <w:szCs w:val="21"/>
                <w:color w:val="auto"/>
              </w:rPr>
            </w:pP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1,906,236</w:t>
            </w:r>
          </w:p>
        </w:tc>
      </w:tr>
      <w:tr>
        <w:trPr>
          <w:trHeight w:val="245"/>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Non-carbonated (primarily juice based</w:t>
            </w:r>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0"/>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beverages)</w:t>
            </w:r>
          </w:p>
        </w:tc>
        <w:tc>
          <w:tcPr>
            <w:tcW w:w="50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119,204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120,145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110,217</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Carbonated (primarily soda beverages)</w:t>
            </w:r>
          </w:p>
        </w:tc>
        <w:tc>
          <w:tcPr>
            <w:tcW w:w="50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28,425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29,245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31,044</w:t>
            </w:r>
          </w:p>
        </w:tc>
      </w:tr>
      <w:tr>
        <w:trPr>
          <w:trHeight w:val="252"/>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5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15,013</w:t>
            </w:r>
          </w:p>
        </w:tc>
        <w:tc>
          <w:tcPr>
            <w:tcW w:w="2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14,800</w:t>
            </w:r>
          </w:p>
        </w:tc>
        <w:tc>
          <w:tcPr>
            <w:tcW w:w="2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13,205</w:t>
            </w:r>
          </w:p>
        </w:tc>
      </w:tr>
      <w:tr>
        <w:trPr>
          <w:trHeight w:val="223"/>
        </w:trPr>
        <w:tc>
          <w:tcPr>
            <w:tcW w:w="3900" w:type="dxa"/>
            <w:vAlign w:val="bottom"/>
          </w:tcPr>
          <w:p>
            <w:pPr>
              <w:spacing w:after="0"/>
              <w:rPr>
                <w:sz w:val="19"/>
                <w:szCs w:val="19"/>
                <w:color w:val="auto"/>
              </w:rPr>
            </w:pPr>
          </w:p>
        </w:tc>
        <w:tc>
          <w:tcPr>
            <w:tcW w:w="50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2,464,867</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2,246,428</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2,060,702</w:t>
            </w:r>
          </w:p>
        </w:tc>
      </w:tr>
      <w:tr>
        <w:trPr>
          <w:trHeight w:val="20"/>
        </w:trPr>
        <w:tc>
          <w:tcPr>
            <w:tcW w:w="3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PARTY TRANSACTIONS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years ended December 31, 2014, 2013 and 2012 were $0.6 million, $1.0 million and $1.0 million,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57" w:gutter="0" w:footer="0" w:header="0"/>
        </w:sectPr>
      </w:pPr>
    </w:p>
    <w:bookmarkStart w:id="74" w:name="page75"/>
    <w:bookmarkEnd w:id="74"/>
    <w:p>
      <w:pPr>
        <w:ind w:left="640" w:hanging="632"/>
        <w:spacing w:after="0"/>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QUARTERLY FINANCIAL DATA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60" w:type="dxa"/>
            <w:vAlign w:val="bottom"/>
            <w:gridSpan w:val="5"/>
          </w:tcPr>
          <w:p>
            <w:pPr>
              <w:jc w:val="center"/>
              <w:ind w:right="321"/>
              <w:spacing w:after="0"/>
              <w:rPr>
                <w:sz w:val="20"/>
                <w:szCs w:val="20"/>
                <w:color w:val="auto"/>
              </w:rPr>
            </w:pPr>
            <w:r>
              <w:rPr>
                <w:rFonts w:ascii="Times New Roman" w:cs="Times New Roman" w:eastAsia="Times New Roman" w:hAnsi="Times New Roman"/>
                <w:sz w:val="20"/>
                <w:szCs w:val="20"/>
                <w:color w:val="auto"/>
                <w:w w:val="99"/>
              </w:rPr>
              <w:t>Net Income per Common</w:t>
            </w:r>
          </w:p>
        </w:tc>
        <w:tc>
          <w:tcPr>
            <w:tcW w:w="0" w:type="dxa"/>
            <w:vAlign w:val="bottom"/>
          </w:tcPr>
          <w:p>
            <w:pPr>
              <w:spacing w:after="0"/>
              <w:rPr>
                <w:sz w:val="1"/>
                <w:szCs w:val="1"/>
                <w:color w:val="auto"/>
              </w:rPr>
            </w:pPr>
          </w:p>
        </w:tc>
      </w:tr>
      <w:tr>
        <w:trPr>
          <w:trHeight w:val="252"/>
        </w:trPr>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Net Sales</w:t>
            </w:r>
          </w:p>
        </w:tc>
        <w:tc>
          <w:tcPr>
            <w:tcW w:w="1740" w:type="dxa"/>
            <w:vAlign w:val="bottom"/>
            <w:gridSpan w:val="3"/>
            <w:vMerge w:val="restart"/>
          </w:tcPr>
          <w:p>
            <w:pPr>
              <w:ind w:left="280"/>
              <w:spacing w:after="0"/>
              <w:rPr>
                <w:sz w:val="20"/>
                <w:szCs w:val="20"/>
                <w:color w:val="auto"/>
              </w:rPr>
            </w:pPr>
            <w:r>
              <w:rPr>
                <w:rFonts w:ascii="Times New Roman" w:cs="Times New Roman" w:eastAsia="Times New Roman" w:hAnsi="Times New Roman"/>
                <w:sz w:val="20"/>
                <w:szCs w:val="20"/>
                <w:color w:val="auto"/>
              </w:rPr>
              <w:t>Gross Profit</w:t>
            </w:r>
          </w:p>
        </w:tc>
        <w:tc>
          <w:tcPr>
            <w:tcW w:w="148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801"/>
              <w:spacing w:after="0"/>
              <w:rPr>
                <w:sz w:val="20"/>
                <w:szCs w:val="20"/>
                <w:color w:val="auto"/>
              </w:rPr>
            </w:pPr>
            <w:r>
              <w:rPr>
                <w:rFonts w:ascii="Times New Roman" w:cs="Times New Roman" w:eastAsia="Times New Roman" w:hAnsi="Times New Roman"/>
                <w:sz w:val="20"/>
                <w:szCs w:val="20"/>
                <w:color w:val="auto"/>
              </w:rPr>
              <w:t>Share</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Quarter ended:</w:t>
            </w:r>
          </w:p>
        </w:tc>
        <w:tc>
          <w:tcPr>
            <w:tcW w:w="3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740" w:type="dxa"/>
            <w:vAlign w:val="bottom"/>
            <w:gridSpan w:val="3"/>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3"/>
          </w:tcPr>
          <w:p>
            <w:pPr>
              <w:ind w:left="100"/>
              <w:spacing w:after="0" w:line="223" w:lineRule="exact"/>
              <w:rPr>
                <w:sz w:val="20"/>
                <w:szCs w:val="20"/>
                <w:color w:val="auto"/>
              </w:rPr>
            </w:pPr>
            <w:r>
              <w:rPr>
                <w:rFonts w:ascii="Times New Roman" w:cs="Times New Roman" w:eastAsia="Times New Roman" w:hAnsi="Times New Roman"/>
                <w:sz w:val="20"/>
                <w:szCs w:val="20"/>
                <w:color w:val="auto"/>
              </w:rPr>
              <w:t>Basic</w:t>
            </w:r>
          </w:p>
        </w:tc>
        <w:tc>
          <w:tcPr>
            <w:tcW w:w="200" w:type="dxa"/>
            <w:vAlign w:val="bottom"/>
          </w:tcPr>
          <w:p>
            <w:pPr>
              <w:spacing w:after="0"/>
              <w:rPr>
                <w:sz w:val="19"/>
                <w:szCs w:val="19"/>
                <w:color w:val="auto"/>
              </w:rPr>
            </w:pPr>
          </w:p>
        </w:tc>
        <w:tc>
          <w:tcPr>
            <w:tcW w:w="1120" w:type="dxa"/>
            <w:vAlign w:val="bottom"/>
          </w:tcPr>
          <w:p>
            <w:pPr>
              <w:jc w:val="right"/>
              <w:ind w:right="341"/>
              <w:spacing w:after="0" w:line="223" w:lineRule="exact"/>
              <w:rPr>
                <w:sz w:val="20"/>
                <w:szCs w:val="20"/>
                <w:color w:val="auto"/>
              </w:rPr>
            </w:pPr>
            <w:r>
              <w:rPr>
                <w:rFonts w:ascii="Times New Roman" w:cs="Times New Roman" w:eastAsia="Times New Roman" w:hAnsi="Times New Roman"/>
                <w:sz w:val="20"/>
                <w:szCs w:val="20"/>
                <w:color w:val="auto"/>
              </w:rPr>
              <w:t>Diluted</w:t>
            </w:r>
          </w:p>
        </w:tc>
        <w:tc>
          <w:tcPr>
            <w:tcW w:w="0" w:type="dxa"/>
            <w:vAlign w:val="bottom"/>
          </w:tcPr>
          <w:p>
            <w:pPr>
              <w:spacing w:after="0"/>
              <w:rPr>
                <w:sz w:val="1"/>
                <w:szCs w:val="1"/>
                <w:color w:val="auto"/>
              </w:rPr>
            </w:pPr>
          </w:p>
        </w:tc>
      </w:tr>
      <w:tr>
        <w:trPr>
          <w:trHeight w:val="187"/>
        </w:trPr>
        <w:tc>
          <w:tcPr>
            <w:tcW w:w="2980" w:type="dxa"/>
            <w:vAlign w:val="bottom"/>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March 31, 2014</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536,129</w:t>
            </w:r>
          </w:p>
        </w:tc>
        <w:tc>
          <w:tcPr>
            <w:tcW w:w="220" w:type="dxa"/>
            <w:vAlign w:val="bottom"/>
          </w:tcPr>
          <w:p>
            <w:pPr>
              <w:spacing w:after="0"/>
              <w:rPr>
                <w:sz w:val="19"/>
                <w:szCs w:val="19"/>
                <w:color w:val="auto"/>
              </w:rPr>
            </w:pP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286,818</w:t>
            </w:r>
          </w:p>
        </w:tc>
        <w:tc>
          <w:tcPr>
            <w:tcW w:w="240" w:type="dxa"/>
            <w:vAlign w:val="bottom"/>
          </w:tcPr>
          <w:p>
            <w:pPr>
              <w:spacing w:after="0"/>
              <w:rPr>
                <w:sz w:val="19"/>
                <w:szCs w:val="19"/>
                <w:color w:val="auto"/>
              </w:rPr>
            </w:pP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95,250</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0.55</w:t>
            </w:r>
          </w:p>
        </w:tc>
        <w:tc>
          <w:tcPr>
            <w:tcW w:w="0" w:type="dxa"/>
            <w:vAlign w:val="bottom"/>
          </w:tcPr>
          <w:p>
            <w:pPr>
              <w:spacing w:after="0"/>
              <w:rPr>
                <w:sz w:val="1"/>
                <w:szCs w:val="1"/>
                <w:color w:val="auto"/>
              </w:rPr>
            </w:pPr>
          </w:p>
        </w:tc>
      </w:tr>
      <w:tr>
        <w:trPr>
          <w:trHeight w:val="230"/>
        </w:trPr>
        <w:tc>
          <w:tcPr>
            <w:tcW w:w="2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June 30, 2014</w:t>
            </w:r>
          </w:p>
        </w:tc>
        <w:tc>
          <w:tcPr>
            <w:tcW w:w="3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687,199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379,288</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141,003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0.81</w:t>
            </w:r>
          </w:p>
        </w:tc>
        <w:tc>
          <w:tcPr>
            <w:tcW w:w="0" w:type="dxa"/>
            <w:vAlign w:val="bottom"/>
          </w:tcPr>
          <w:p>
            <w:pPr>
              <w:spacing w:after="0"/>
              <w:rPr>
                <w:sz w:val="1"/>
                <w:szCs w:val="1"/>
                <w:color w:val="auto"/>
              </w:rPr>
            </w:pPr>
          </w:p>
        </w:tc>
      </w:tr>
      <w:tr>
        <w:trPr>
          <w:trHeight w:val="230"/>
        </w:trPr>
        <w:tc>
          <w:tcPr>
            <w:tcW w:w="2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September 30, 2014</w:t>
            </w:r>
          </w:p>
        </w:tc>
        <w:tc>
          <w:tcPr>
            <w:tcW w:w="3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635,972</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341,920</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121,600</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0.70</w:t>
            </w:r>
          </w:p>
        </w:tc>
        <w:tc>
          <w:tcPr>
            <w:tcW w:w="0" w:type="dxa"/>
            <w:vAlign w:val="bottom"/>
          </w:tcPr>
          <w:p>
            <w:pPr>
              <w:spacing w:after="0"/>
              <w:rPr>
                <w:sz w:val="1"/>
                <w:szCs w:val="1"/>
                <w:color w:val="auto"/>
              </w:rPr>
            </w:pPr>
          </w:p>
        </w:tc>
      </w:tr>
      <w:tr>
        <w:trPr>
          <w:trHeight w:val="252"/>
        </w:trPr>
        <w:tc>
          <w:tcPr>
            <w:tcW w:w="2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December 31, 2014</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605,567</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331,784</w:t>
            </w:r>
          </w:p>
        </w:tc>
        <w:tc>
          <w:tcPr>
            <w:tcW w:w="2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125,332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0.72</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3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2,464,867</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1,339,810</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1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483,185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Quarter ended: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March 31, 2013</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484,223</w:t>
            </w:r>
          </w:p>
        </w:tc>
        <w:tc>
          <w:tcPr>
            <w:tcW w:w="220" w:type="dxa"/>
            <w:vAlign w:val="bottom"/>
          </w:tcPr>
          <w:p>
            <w:pPr>
              <w:spacing w:after="0"/>
              <w:rPr>
                <w:sz w:val="19"/>
                <w:szCs w:val="19"/>
                <w:color w:val="auto"/>
              </w:rPr>
            </w:pP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252,039</w:t>
            </w:r>
          </w:p>
        </w:tc>
        <w:tc>
          <w:tcPr>
            <w:tcW w:w="240" w:type="dxa"/>
            <w:vAlign w:val="bottom"/>
          </w:tcPr>
          <w:p>
            <w:pPr>
              <w:spacing w:after="0"/>
              <w:rPr>
                <w:sz w:val="19"/>
                <w:szCs w:val="19"/>
                <w:color w:val="auto"/>
              </w:rPr>
            </w:pP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63,496</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0.37</w:t>
            </w:r>
          </w:p>
        </w:tc>
        <w:tc>
          <w:tcPr>
            <w:tcW w:w="0" w:type="dxa"/>
            <w:vAlign w:val="bottom"/>
          </w:tcPr>
          <w:p>
            <w:pPr>
              <w:spacing w:after="0"/>
              <w:rPr>
                <w:sz w:val="1"/>
                <w:szCs w:val="1"/>
                <w:color w:val="auto"/>
              </w:rPr>
            </w:pPr>
          </w:p>
        </w:tc>
      </w:tr>
      <w:tr>
        <w:trPr>
          <w:trHeight w:val="230"/>
        </w:trPr>
        <w:tc>
          <w:tcPr>
            <w:tcW w:w="2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June 30, 2013</w:t>
            </w:r>
          </w:p>
        </w:tc>
        <w:tc>
          <w:tcPr>
            <w:tcW w:w="3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630,934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336,262</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106,873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0.62</w:t>
            </w:r>
          </w:p>
        </w:tc>
        <w:tc>
          <w:tcPr>
            <w:tcW w:w="0" w:type="dxa"/>
            <w:vAlign w:val="bottom"/>
          </w:tcPr>
          <w:p>
            <w:pPr>
              <w:spacing w:after="0"/>
              <w:rPr>
                <w:sz w:val="1"/>
                <w:szCs w:val="1"/>
                <w:color w:val="auto"/>
              </w:rPr>
            </w:pPr>
          </w:p>
        </w:tc>
      </w:tr>
      <w:tr>
        <w:trPr>
          <w:trHeight w:val="230"/>
        </w:trPr>
        <w:tc>
          <w:tcPr>
            <w:tcW w:w="2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September 30, 2013</w:t>
            </w:r>
          </w:p>
        </w:tc>
        <w:tc>
          <w:tcPr>
            <w:tcW w:w="3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590,422</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307,470</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92,187</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0.53</w:t>
            </w:r>
          </w:p>
        </w:tc>
        <w:tc>
          <w:tcPr>
            <w:tcW w:w="0" w:type="dxa"/>
            <w:vAlign w:val="bottom"/>
          </w:tcPr>
          <w:p>
            <w:pPr>
              <w:spacing w:after="0"/>
              <w:rPr>
                <w:sz w:val="1"/>
                <w:szCs w:val="1"/>
                <w:color w:val="auto"/>
              </w:rPr>
            </w:pPr>
          </w:p>
        </w:tc>
      </w:tr>
      <w:tr>
        <w:trPr>
          <w:trHeight w:val="252"/>
        </w:trPr>
        <w:tc>
          <w:tcPr>
            <w:tcW w:w="2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December 31, 2013</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540,849</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277,160</w:t>
            </w:r>
          </w:p>
        </w:tc>
        <w:tc>
          <w:tcPr>
            <w:tcW w:w="2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76,105</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0.44</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3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2,246,428</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1,172,931</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1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338,661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Certain of the figures reported above may differ from previously reported figures for individual quarters due to rounding.</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MONSTER BEVERAGE CORPORATION AND SUBSIDIARIES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II – VALUATION AND QUALIFYING ACCOUNTS</w:t>
      </w:r>
    </w:p>
    <w:p>
      <w:pPr>
        <w:spacing w:after="0"/>
        <w:rPr>
          <w:sz w:val="20"/>
          <w:szCs w:val="20"/>
          <w:color w:val="auto"/>
        </w:rPr>
      </w:pPr>
      <w:r>
        <w:rPr>
          <w:rFonts w:ascii="Times New Roman" w:cs="Times New Roman" w:eastAsia="Times New Roman" w:hAnsi="Times New Roman"/>
          <w:sz w:val="22"/>
          <w:szCs w:val="22"/>
          <w:b w:val="1"/>
          <w:bCs w:val="1"/>
          <w:color w:val="auto"/>
        </w:rPr>
        <w:t>FOR THE YEARS ENDED DECEMBER 31, 2014, 2013 AND 2012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color w:val="auto"/>
                <w:w w:val="97"/>
              </w:rPr>
              <w:t>Balance at</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color w:val="auto"/>
              </w:rPr>
              <w:t>Charged to</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Balance at</w:t>
            </w:r>
          </w:p>
        </w:tc>
      </w:tr>
      <w:tr>
        <w:trPr>
          <w:trHeight w:val="216"/>
        </w:trPr>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9"/>
                <w:szCs w:val="19"/>
                <w:color w:val="auto"/>
                <w:w w:val="97"/>
              </w:rPr>
              <w:t>beginning</w:t>
            </w:r>
          </w:p>
        </w:tc>
        <w:tc>
          <w:tcPr>
            <w:tcW w:w="166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9"/>
                <w:szCs w:val="19"/>
                <w:color w:val="auto"/>
                <w:w w:val="98"/>
              </w:rPr>
              <w:t>cost and</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end of</w:t>
            </w:r>
          </w:p>
        </w:tc>
      </w:tr>
      <w:tr>
        <w:trPr>
          <w:trHeight w:val="242"/>
        </w:trPr>
        <w:tc>
          <w:tcPr>
            <w:tcW w:w="43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9"/>
                <w:szCs w:val="19"/>
                <w:color w:val="auto"/>
              </w:rPr>
              <w:t>Description</w:t>
            </w:r>
          </w:p>
        </w:tc>
        <w:tc>
          <w:tcPr>
            <w:tcW w:w="3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of period</w:t>
            </w:r>
          </w:p>
        </w:tc>
        <w:tc>
          <w:tcPr>
            <w:tcW w:w="3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expenses</w:t>
            </w:r>
          </w:p>
        </w:tc>
        <w:tc>
          <w:tcPr>
            <w:tcW w:w="280" w:type="dxa"/>
            <w:vAlign w:val="bottom"/>
          </w:tcPr>
          <w:p>
            <w:pPr>
              <w:spacing w:after="0"/>
              <w:rPr>
                <w:sz w:val="21"/>
                <w:szCs w:val="21"/>
                <w:color w:val="auto"/>
              </w:rPr>
            </w:pPr>
          </w:p>
        </w:tc>
        <w:tc>
          <w:tcPr>
            <w:tcW w:w="1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Deductions</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period</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Allowance for doubtful accounts, sales returns and cash discounts: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20" w:type="dxa"/>
            <w:vAlign w:val="bottom"/>
          </w:tcPr>
          <w:p>
            <w:pPr>
              <w:jc w:val="right"/>
              <w:ind w:right="2145"/>
              <w:spacing w:after="0"/>
              <w:rPr>
                <w:sz w:val="20"/>
                <w:szCs w:val="20"/>
                <w:color w:val="auto"/>
              </w:rPr>
            </w:pPr>
            <w:r>
              <w:rPr>
                <w:rFonts w:ascii="Times New Roman" w:cs="Times New Roman" w:eastAsia="Times New Roman" w:hAnsi="Times New Roman"/>
                <w:sz w:val="19"/>
                <w:szCs w:val="19"/>
                <w:color w:val="auto"/>
                <w:w w:val="94"/>
              </w:rPr>
              <w:t>2014</w:t>
            </w:r>
          </w:p>
        </w:tc>
        <w:tc>
          <w:tcPr>
            <w:tcW w:w="258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2,926</w:t>
            </w:r>
          </w:p>
        </w:tc>
        <w:tc>
          <w:tcPr>
            <w:tcW w:w="68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2,652</w:t>
            </w:r>
          </w:p>
        </w:tc>
        <w:tc>
          <w:tcPr>
            <w:tcW w:w="6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(3,874)</w:t>
            </w:r>
          </w:p>
        </w:tc>
        <w:tc>
          <w:tcPr>
            <w:tcW w:w="66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1,704</w:t>
            </w:r>
          </w:p>
        </w:tc>
      </w:tr>
      <w:tr>
        <w:trPr>
          <w:trHeight w:val="216"/>
        </w:trPr>
        <w:tc>
          <w:tcPr>
            <w:tcW w:w="2620" w:type="dxa"/>
            <w:vAlign w:val="bottom"/>
          </w:tcPr>
          <w:p>
            <w:pPr>
              <w:jc w:val="right"/>
              <w:ind w:right="2145"/>
              <w:spacing w:after="0" w:line="216" w:lineRule="exact"/>
              <w:rPr>
                <w:sz w:val="20"/>
                <w:szCs w:val="20"/>
                <w:color w:val="auto"/>
              </w:rPr>
            </w:pPr>
            <w:r>
              <w:rPr>
                <w:rFonts w:ascii="Times New Roman" w:cs="Times New Roman" w:eastAsia="Times New Roman" w:hAnsi="Times New Roman"/>
                <w:sz w:val="19"/>
                <w:szCs w:val="19"/>
                <w:color w:val="auto"/>
                <w:w w:val="94"/>
              </w:rPr>
              <w:t>2013</w:t>
            </w:r>
          </w:p>
        </w:tc>
        <w:tc>
          <w:tcPr>
            <w:tcW w:w="2580" w:type="dxa"/>
            <w:vAlign w:val="bottom"/>
          </w:tcPr>
          <w:p>
            <w:pPr>
              <w:jc w:val="right"/>
              <w:ind w:right="16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25"/>
              <w:spacing w:after="0" w:line="216" w:lineRule="exact"/>
              <w:rPr>
                <w:sz w:val="20"/>
                <w:szCs w:val="20"/>
                <w:color w:val="auto"/>
              </w:rPr>
            </w:pPr>
            <w:r>
              <w:rPr>
                <w:rFonts w:ascii="Times New Roman" w:cs="Times New Roman" w:eastAsia="Times New Roman" w:hAnsi="Times New Roman"/>
                <w:sz w:val="19"/>
                <w:szCs w:val="19"/>
                <w:color w:val="auto"/>
              </w:rPr>
              <w:t>1,430</w:t>
            </w:r>
          </w:p>
        </w:tc>
        <w:tc>
          <w:tcPr>
            <w:tcW w:w="680" w:type="dxa"/>
            <w:vAlign w:val="bottom"/>
          </w:tcPr>
          <w:p>
            <w:pPr>
              <w:jc w:val="right"/>
              <w:ind w:right="165"/>
              <w:spacing w:after="0" w:line="216" w:lineRule="exact"/>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ind w:right="185"/>
              <w:spacing w:after="0" w:line="216" w:lineRule="exact"/>
              <w:rPr>
                <w:sz w:val="20"/>
                <w:szCs w:val="20"/>
                <w:color w:val="auto"/>
              </w:rPr>
            </w:pPr>
            <w:r>
              <w:rPr>
                <w:rFonts w:ascii="Times New Roman" w:cs="Times New Roman" w:eastAsia="Times New Roman" w:hAnsi="Times New Roman"/>
                <w:sz w:val="19"/>
                <w:szCs w:val="19"/>
                <w:color w:val="auto"/>
              </w:rPr>
              <w:t>4,894</w:t>
            </w:r>
          </w:p>
        </w:tc>
        <w:tc>
          <w:tcPr>
            <w:tcW w:w="6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185"/>
              <w:spacing w:after="0" w:line="216" w:lineRule="exact"/>
              <w:rPr>
                <w:sz w:val="20"/>
                <w:szCs w:val="20"/>
                <w:color w:val="auto"/>
              </w:rPr>
            </w:pPr>
            <w:r>
              <w:rPr>
                <w:rFonts w:ascii="Times New Roman" w:cs="Times New Roman" w:eastAsia="Times New Roman" w:hAnsi="Times New Roman"/>
                <w:sz w:val="19"/>
                <w:szCs w:val="19"/>
                <w:color w:val="auto"/>
              </w:rPr>
              <w:t>(3,398)</w:t>
            </w:r>
          </w:p>
        </w:tc>
        <w:tc>
          <w:tcPr>
            <w:tcW w:w="660" w:type="dxa"/>
            <w:vAlign w:val="bottom"/>
          </w:tcPr>
          <w:p>
            <w:pPr>
              <w:jc w:val="right"/>
              <w:ind w:right="165"/>
              <w:spacing w:after="0" w:line="216" w:lineRule="exact"/>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2,926</w:t>
            </w:r>
          </w:p>
        </w:tc>
      </w:tr>
      <w:tr>
        <w:trPr>
          <w:trHeight w:val="244"/>
        </w:trPr>
        <w:tc>
          <w:tcPr>
            <w:tcW w:w="2620" w:type="dxa"/>
            <w:vAlign w:val="bottom"/>
          </w:tcPr>
          <w:p>
            <w:pPr>
              <w:jc w:val="right"/>
              <w:ind w:right="2145"/>
              <w:spacing w:after="0"/>
              <w:rPr>
                <w:sz w:val="20"/>
                <w:szCs w:val="20"/>
                <w:color w:val="auto"/>
              </w:rPr>
            </w:pPr>
            <w:r>
              <w:rPr>
                <w:rFonts w:ascii="Times New Roman" w:cs="Times New Roman" w:eastAsia="Times New Roman" w:hAnsi="Times New Roman"/>
                <w:sz w:val="19"/>
                <w:szCs w:val="19"/>
                <w:color w:val="auto"/>
                <w:w w:val="94"/>
              </w:rPr>
              <w:t>2012</w:t>
            </w:r>
          </w:p>
        </w:tc>
        <w:tc>
          <w:tcPr>
            <w:tcW w:w="258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25"/>
              <w:spacing w:after="0"/>
              <w:rPr>
                <w:sz w:val="20"/>
                <w:szCs w:val="20"/>
                <w:color w:val="auto"/>
              </w:rPr>
            </w:pPr>
            <w:r>
              <w:rPr>
                <w:rFonts w:ascii="Times New Roman" w:cs="Times New Roman" w:eastAsia="Times New Roman" w:hAnsi="Times New Roman"/>
                <w:sz w:val="19"/>
                <w:szCs w:val="19"/>
                <w:color w:val="auto"/>
              </w:rPr>
              <w:t>1,893</w:t>
            </w:r>
          </w:p>
        </w:tc>
        <w:tc>
          <w:tcPr>
            <w:tcW w:w="68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9,148</w:t>
            </w:r>
          </w:p>
        </w:tc>
        <w:tc>
          <w:tcPr>
            <w:tcW w:w="6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(9,611)</w:t>
            </w:r>
          </w:p>
        </w:tc>
        <w:tc>
          <w:tcPr>
            <w:tcW w:w="66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1,430</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Allowance on Deferred Tax Assets and Unrecognized Tax Benefits: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20" w:type="dxa"/>
            <w:vAlign w:val="bottom"/>
          </w:tcPr>
          <w:p>
            <w:pPr>
              <w:jc w:val="right"/>
              <w:ind w:right="2145"/>
              <w:spacing w:after="0"/>
              <w:rPr>
                <w:sz w:val="20"/>
                <w:szCs w:val="20"/>
                <w:color w:val="auto"/>
              </w:rPr>
            </w:pPr>
            <w:r>
              <w:rPr>
                <w:rFonts w:ascii="Times New Roman" w:cs="Times New Roman" w:eastAsia="Times New Roman" w:hAnsi="Times New Roman"/>
                <w:sz w:val="19"/>
                <w:szCs w:val="19"/>
                <w:color w:val="auto"/>
                <w:w w:val="94"/>
              </w:rPr>
              <w:t>2014</w:t>
            </w:r>
          </w:p>
        </w:tc>
        <w:tc>
          <w:tcPr>
            <w:tcW w:w="254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9"/>
                <w:szCs w:val="19"/>
                <w:color w:val="auto"/>
              </w:rPr>
              <w:t>24,130</w:t>
            </w:r>
          </w:p>
        </w:tc>
        <w:tc>
          <w:tcPr>
            <w:tcW w:w="62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(4,344)</w:t>
            </w:r>
          </w:p>
        </w:tc>
        <w:tc>
          <w:tcPr>
            <w:tcW w:w="6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62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1360" w:type="dxa"/>
            <w:vAlign w:val="bottom"/>
          </w:tcPr>
          <w:p>
            <w:pPr>
              <w:jc w:val="right"/>
              <w:ind w:right="545"/>
              <w:spacing w:after="0"/>
              <w:rPr>
                <w:sz w:val="20"/>
                <w:szCs w:val="20"/>
                <w:color w:val="auto"/>
              </w:rPr>
            </w:pPr>
            <w:r>
              <w:rPr>
                <w:rFonts w:ascii="Times New Roman" w:cs="Times New Roman" w:eastAsia="Times New Roman" w:hAnsi="Times New Roman"/>
                <w:sz w:val="19"/>
                <w:szCs w:val="19"/>
                <w:color w:val="auto"/>
              </w:rPr>
              <w:t>19,786</w:t>
            </w:r>
          </w:p>
        </w:tc>
      </w:tr>
      <w:tr>
        <w:trPr>
          <w:trHeight w:val="216"/>
        </w:trPr>
        <w:tc>
          <w:tcPr>
            <w:tcW w:w="2620" w:type="dxa"/>
            <w:vAlign w:val="bottom"/>
          </w:tcPr>
          <w:p>
            <w:pPr>
              <w:jc w:val="right"/>
              <w:ind w:right="2145"/>
              <w:spacing w:after="0" w:line="216" w:lineRule="exact"/>
              <w:rPr>
                <w:sz w:val="20"/>
                <w:szCs w:val="20"/>
                <w:color w:val="auto"/>
              </w:rPr>
            </w:pPr>
            <w:r>
              <w:rPr>
                <w:rFonts w:ascii="Times New Roman" w:cs="Times New Roman" w:eastAsia="Times New Roman" w:hAnsi="Times New Roman"/>
                <w:sz w:val="19"/>
                <w:szCs w:val="19"/>
                <w:color w:val="auto"/>
                <w:w w:val="94"/>
              </w:rPr>
              <w:t>2013</w:t>
            </w:r>
          </w:p>
        </w:tc>
        <w:tc>
          <w:tcPr>
            <w:tcW w:w="2540" w:type="dxa"/>
            <w:vAlign w:val="bottom"/>
          </w:tcPr>
          <w:p>
            <w:pPr>
              <w:jc w:val="right"/>
              <w:ind w:right="1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229"/>
              <w:spacing w:after="0" w:line="216" w:lineRule="exact"/>
              <w:rPr>
                <w:sz w:val="20"/>
                <w:szCs w:val="20"/>
                <w:color w:val="auto"/>
              </w:rPr>
            </w:pPr>
            <w:r>
              <w:rPr>
                <w:rFonts w:ascii="Times New Roman" w:cs="Times New Roman" w:eastAsia="Times New Roman" w:hAnsi="Times New Roman"/>
                <w:sz w:val="19"/>
                <w:szCs w:val="19"/>
                <w:color w:val="auto"/>
              </w:rPr>
              <w:t>12,579</w:t>
            </w:r>
          </w:p>
        </w:tc>
        <w:tc>
          <w:tcPr>
            <w:tcW w:w="62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185"/>
              <w:spacing w:after="0" w:line="216" w:lineRule="exact"/>
              <w:rPr>
                <w:sz w:val="20"/>
                <w:szCs w:val="20"/>
                <w:color w:val="auto"/>
              </w:rPr>
            </w:pPr>
            <w:r>
              <w:rPr>
                <w:rFonts w:ascii="Times New Roman" w:cs="Times New Roman" w:eastAsia="Times New Roman" w:hAnsi="Times New Roman"/>
                <w:sz w:val="19"/>
                <w:szCs w:val="19"/>
                <w:color w:val="auto"/>
              </w:rPr>
              <w:t>11,551</w:t>
            </w:r>
          </w:p>
        </w:tc>
        <w:tc>
          <w:tcPr>
            <w:tcW w:w="6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w w:val="94"/>
              </w:rPr>
              <w:t>-</w:t>
            </w:r>
          </w:p>
        </w:tc>
        <w:tc>
          <w:tcPr>
            <w:tcW w:w="620" w:type="dxa"/>
            <w:vAlign w:val="bottom"/>
          </w:tcPr>
          <w:p>
            <w:pPr>
              <w:jc w:val="right"/>
              <w:ind w:right="1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360" w:type="dxa"/>
            <w:vAlign w:val="bottom"/>
          </w:tcPr>
          <w:p>
            <w:pPr>
              <w:jc w:val="right"/>
              <w:ind w:right="545"/>
              <w:spacing w:after="0" w:line="216" w:lineRule="exact"/>
              <w:rPr>
                <w:sz w:val="20"/>
                <w:szCs w:val="20"/>
                <w:color w:val="auto"/>
              </w:rPr>
            </w:pPr>
            <w:r>
              <w:rPr>
                <w:rFonts w:ascii="Times New Roman" w:cs="Times New Roman" w:eastAsia="Times New Roman" w:hAnsi="Times New Roman"/>
                <w:sz w:val="19"/>
                <w:szCs w:val="19"/>
                <w:color w:val="auto"/>
              </w:rPr>
              <w:t>24,130</w:t>
            </w:r>
          </w:p>
        </w:tc>
      </w:tr>
      <w:tr>
        <w:trPr>
          <w:trHeight w:val="244"/>
        </w:trPr>
        <w:tc>
          <w:tcPr>
            <w:tcW w:w="2620" w:type="dxa"/>
            <w:vAlign w:val="bottom"/>
          </w:tcPr>
          <w:p>
            <w:pPr>
              <w:jc w:val="right"/>
              <w:ind w:right="2145"/>
              <w:spacing w:after="0"/>
              <w:rPr>
                <w:sz w:val="20"/>
                <w:szCs w:val="20"/>
                <w:color w:val="auto"/>
              </w:rPr>
            </w:pPr>
            <w:r>
              <w:rPr>
                <w:rFonts w:ascii="Times New Roman" w:cs="Times New Roman" w:eastAsia="Times New Roman" w:hAnsi="Times New Roman"/>
                <w:sz w:val="19"/>
                <w:szCs w:val="19"/>
                <w:color w:val="auto"/>
                <w:w w:val="94"/>
              </w:rPr>
              <w:t>2012</w:t>
            </w:r>
          </w:p>
        </w:tc>
        <w:tc>
          <w:tcPr>
            <w:tcW w:w="254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9"/>
                <w:szCs w:val="19"/>
                <w:color w:val="auto"/>
              </w:rPr>
              <w:t>7,592</w:t>
            </w:r>
          </w:p>
        </w:tc>
        <w:tc>
          <w:tcPr>
            <w:tcW w:w="62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6,142</w:t>
            </w:r>
          </w:p>
        </w:tc>
        <w:tc>
          <w:tcPr>
            <w:tcW w:w="6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(1,155)</w:t>
            </w:r>
          </w:p>
        </w:tc>
        <w:tc>
          <w:tcPr>
            <w:tcW w:w="62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1360" w:type="dxa"/>
            <w:vAlign w:val="bottom"/>
          </w:tcPr>
          <w:p>
            <w:pPr>
              <w:jc w:val="right"/>
              <w:ind w:right="545"/>
              <w:spacing w:after="0"/>
              <w:rPr>
                <w:sz w:val="20"/>
                <w:szCs w:val="20"/>
                <w:color w:val="auto"/>
              </w:rPr>
            </w:pPr>
            <w:r>
              <w:rPr>
                <w:rFonts w:ascii="Times New Roman" w:cs="Times New Roman" w:eastAsia="Times New Roman" w:hAnsi="Times New Roman"/>
                <w:sz w:val="19"/>
                <w:szCs w:val="19"/>
                <w:color w:val="auto"/>
              </w:rPr>
              <w:t>12,579</w:t>
            </w:r>
          </w:p>
        </w:tc>
      </w:tr>
      <w:tr>
        <w:trPr>
          <w:trHeight w:val="411"/>
        </w:trPr>
        <w:tc>
          <w:tcPr>
            <w:tcW w:w="2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40" w:type="dxa"/>
            <w:vAlign w:val="bottom"/>
          </w:tcPr>
          <w:p>
            <w:pPr>
              <w:jc w:val="right"/>
              <w:ind w:right="269"/>
              <w:spacing w:after="0"/>
              <w:rPr>
                <w:sz w:val="20"/>
                <w:szCs w:val="20"/>
                <w:color w:val="auto"/>
              </w:rPr>
            </w:pPr>
            <w:r>
              <w:rPr>
                <w:rFonts w:ascii="Times New Roman" w:cs="Times New Roman" w:eastAsia="Times New Roman" w:hAnsi="Times New Roman"/>
                <w:sz w:val="16"/>
                <w:szCs w:val="16"/>
                <w:color w:val="auto"/>
              </w:rPr>
              <w:t>114</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8"/>
        </w:trPr>
        <w:tc>
          <w:tcPr>
            <w:tcW w:w="262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2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b w:val="1"/>
          <w:bCs w:val="1"/>
          <w:color w:val="auto"/>
        </w:rPr>
        <w:t>SUBSIDIARIES</w:t>
      </w:r>
    </w:p>
    <w:p>
      <w:pPr>
        <w:spacing w:after="0" w:line="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b w:val="1"/>
          <w:bCs w:val="1"/>
          <w:color w:val="auto"/>
        </w:rPr>
        <w:t>OF</w:t>
      </w:r>
    </w:p>
    <w:p>
      <w:pPr>
        <w:jc w:val="center"/>
        <w:ind w:right="1180"/>
        <w:spacing w:after="0"/>
        <w:rPr>
          <w:sz w:val="20"/>
          <w:szCs w:val="20"/>
          <w:color w:val="auto"/>
        </w:rPr>
      </w:pPr>
      <w:r>
        <w:rPr>
          <w:rFonts w:ascii="Times New Roman" w:cs="Times New Roman" w:eastAsia="Times New Roman" w:hAnsi="Times New Roman"/>
          <w:sz w:val="20"/>
          <w:szCs w:val="20"/>
          <w:b w:val="1"/>
          <w:bCs w:val="1"/>
          <w:color w:val="auto"/>
        </w:rPr>
        <w:t>MONSTER BEVERAGE CORPORATION</w:t>
      </w:r>
    </w:p>
    <w:p>
      <w:pPr>
        <w:spacing w:after="0" w:line="2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Company</w:t>
      </w:r>
    </w:p>
    <w:p>
      <w:pPr>
        <w:spacing w:after="0" w:line="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Hansen Beverage Company</w:t>
      </w:r>
    </w:p>
    <w:p>
      <w:pPr>
        <w:jc w:val="center"/>
        <w:ind w:right="1180"/>
        <w:spacing w:after="0"/>
        <w:rPr>
          <w:sz w:val="20"/>
          <w:szCs w:val="20"/>
          <w:color w:val="auto"/>
        </w:rPr>
      </w:pPr>
      <w:r>
        <w:rPr>
          <w:rFonts w:ascii="Times New Roman" w:cs="Times New Roman" w:eastAsia="Times New Roman" w:hAnsi="Times New Roman"/>
          <w:sz w:val="20"/>
          <w:szCs w:val="20"/>
          <w:color w:val="auto"/>
        </w:rPr>
        <w:t>Monster LDA Company</w:t>
      </w:r>
    </w:p>
    <w:p>
      <w:pPr>
        <w:jc w:val="center"/>
        <w:ind w:right="1180"/>
        <w:spacing w:after="0"/>
        <w:rPr>
          <w:sz w:val="20"/>
          <w:szCs w:val="20"/>
          <w:color w:val="auto"/>
        </w:rPr>
      </w:pPr>
      <w:r>
        <w:rPr>
          <w:rFonts w:ascii="Times New Roman" w:cs="Times New Roman" w:eastAsia="Times New Roman" w:hAnsi="Times New Roman"/>
          <w:sz w:val="20"/>
          <w:szCs w:val="20"/>
          <w:color w:val="auto"/>
        </w:rPr>
        <w:t>Hansen Junior Juice Company</w:t>
      </w:r>
    </w:p>
    <w:p>
      <w:pPr>
        <w:jc w:val="center"/>
        <w:ind w:right="1180"/>
        <w:spacing w:after="0"/>
        <w:rPr>
          <w:sz w:val="20"/>
          <w:szCs w:val="20"/>
          <w:color w:val="auto"/>
        </w:rPr>
      </w:pPr>
      <w:r>
        <w:rPr>
          <w:rFonts w:ascii="Times New Roman" w:cs="Times New Roman" w:eastAsia="Times New Roman" w:hAnsi="Times New Roman"/>
          <w:sz w:val="20"/>
          <w:szCs w:val="20"/>
          <w:color w:val="auto"/>
        </w:rPr>
        <w:t>Blue Sky Natural Beverage Co.</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Europe Limited</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Limited</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Au Pty Limited</w:t>
      </w:r>
    </w:p>
    <w:p>
      <w:pPr>
        <w:jc w:val="center"/>
        <w:ind w:right="1180"/>
        <w:spacing w:after="0"/>
        <w:rPr>
          <w:sz w:val="20"/>
          <w:szCs w:val="20"/>
          <w:color w:val="auto"/>
        </w:rPr>
      </w:pPr>
      <w:r>
        <w:rPr>
          <w:rFonts w:ascii="Times New Roman" w:cs="Times New Roman" w:eastAsia="Times New Roman" w:hAnsi="Times New Roman"/>
          <w:sz w:val="20"/>
          <w:szCs w:val="20"/>
          <w:color w:val="auto"/>
        </w:rPr>
        <w:t>Fastest, LLC</w:t>
      </w:r>
    </w:p>
    <w:p>
      <w:pPr>
        <w:jc w:val="center"/>
        <w:ind w:right="1180"/>
        <w:spacing w:after="0"/>
        <w:rPr>
          <w:sz w:val="20"/>
          <w:szCs w:val="20"/>
          <w:color w:val="auto"/>
        </w:rPr>
      </w:pPr>
      <w:r>
        <w:rPr>
          <w:rFonts w:ascii="Times New Roman" w:cs="Times New Roman" w:eastAsia="Times New Roman" w:hAnsi="Times New Roman"/>
          <w:sz w:val="20"/>
          <w:szCs w:val="20"/>
          <w:color w:val="auto"/>
        </w:rPr>
        <w:t>HBC Corona Summit, LLC</w:t>
      </w:r>
    </w:p>
    <w:p>
      <w:pPr>
        <w:jc w:val="center"/>
        <w:ind w:right="1180"/>
        <w:spacing w:after="0"/>
        <w:rPr>
          <w:sz w:val="20"/>
          <w:szCs w:val="20"/>
          <w:color w:val="auto"/>
        </w:rPr>
      </w:pPr>
      <w:r>
        <w:rPr>
          <w:rFonts w:ascii="Times New Roman" w:cs="Times New Roman" w:eastAsia="Times New Roman" w:hAnsi="Times New Roman"/>
          <w:sz w:val="20"/>
          <w:szCs w:val="20"/>
          <w:color w:val="auto"/>
        </w:rPr>
        <w:t>HBC Corona Summit II, LLC</w:t>
      </w:r>
    </w:p>
    <w:p>
      <w:pPr>
        <w:jc w:val="center"/>
        <w:ind w:right="1180"/>
        <w:spacing w:after="0"/>
        <w:rPr>
          <w:sz w:val="20"/>
          <w:szCs w:val="20"/>
          <w:color w:val="auto"/>
        </w:rPr>
      </w:pPr>
      <w:r>
        <w:rPr>
          <w:rFonts w:ascii="Times New Roman" w:cs="Times New Roman" w:eastAsia="Times New Roman" w:hAnsi="Times New Roman"/>
          <w:sz w:val="20"/>
          <w:szCs w:val="20"/>
          <w:color w:val="auto"/>
        </w:rPr>
        <w:t>Hansen PRE, LLC</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Canada Ltd.</w:t>
      </w:r>
    </w:p>
    <w:p>
      <w:pPr>
        <w:jc w:val="center"/>
        <w:ind w:right="1180"/>
        <w:spacing w:after="0"/>
        <w:rPr>
          <w:sz w:val="20"/>
          <w:szCs w:val="20"/>
          <w:color w:val="auto"/>
        </w:rPr>
      </w:pPr>
      <w:r>
        <w:rPr>
          <w:rFonts w:ascii="Times New Roman" w:cs="Times New Roman" w:eastAsia="Times New Roman" w:hAnsi="Times New Roman"/>
          <w:sz w:val="20"/>
          <w:szCs w:val="20"/>
          <w:color w:val="auto"/>
        </w:rPr>
        <w:t>Monster Racing, Inc.</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Brasil Comércio de Bebidas Ltda</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Mexico, S. de R.L. de C.V</w:t>
      </w:r>
    </w:p>
    <w:p>
      <w:pPr>
        <w:jc w:val="center"/>
        <w:ind w:right="1180"/>
        <w:spacing w:after="0"/>
        <w:rPr>
          <w:sz w:val="20"/>
          <w:szCs w:val="20"/>
          <w:color w:val="auto"/>
        </w:rPr>
      </w:pPr>
      <w:r>
        <w:rPr>
          <w:rFonts w:ascii="Times New Roman" w:cs="Times New Roman" w:eastAsia="Times New Roman" w:hAnsi="Times New Roman"/>
          <w:sz w:val="20"/>
          <w:szCs w:val="20"/>
          <w:color w:val="auto"/>
        </w:rPr>
        <w:t>ME Management Services, S. de R.L. de C. V.</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France SAS</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Austria GmbH</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Colombia SAS</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Hong Kong Limited</w:t>
      </w:r>
    </w:p>
    <w:p>
      <w:pPr>
        <w:jc w:val="center"/>
        <w:ind w:right="1180"/>
        <w:spacing w:after="0"/>
        <w:rPr>
          <w:sz w:val="20"/>
          <w:szCs w:val="20"/>
          <w:color w:val="auto"/>
        </w:rPr>
      </w:pPr>
      <w:r>
        <w:rPr>
          <w:rFonts w:ascii="Times New Roman" w:cs="Times New Roman" w:eastAsia="Times New Roman" w:hAnsi="Times New Roman"/>
          <w:sz w:val="19"/>
          <w:szCs w:val="19"/>
          <w:color w:val="auto"/>
        </w:rPr>
        <w:t>Monster Energy Beverage Company of South Africa (Proprietary) Limited</w:t>
      </w:r>
    </w:p>
    <w:p>
      <w:pPr>
        <w:spacing w:after="0" w:line="1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Ukraine LLC</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Beverage Company Peru, S.R.L</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Bebidas Ecuador Cia. Ltda</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Argentina S.A.</w:t>
      </w:r>
    </w:p>
    <w:p>
      <w:pPr>
        <w:jc w:val="center"/>
        <w:ind w:right="1180"/>
        <w:spacing w:after="0"/>
        <w:rPr>
          <w:sz w:val="20"/>
          <w:szCs w:val="20"/>
          <w:color w:val="auto"/>
        </w:rPr>
      </w:pPr>
      <w:r>
        <w:rPr>
          <w:rFonts w:ascii="Times New Roman" w:cs="Times New Roman" w:eastAsia="Times New Roman" w:hAnsi="Times New Roman"/>
          <w:sz w:val="20"/>
          <w:szCs w:val="20"/>
          <w:color w:val="auto"/>
        </w:rPr>
        <w:t>Peace Tea Beverage Company</w:t>
      </w:r>
    </w:p>
    <w:p>
      <w:pPr>
        <w:jc w:val="center"/>
        <w:ind w:right="1180"/>
        <w:spacing w:after="0"/>
        <w:rPr>
          <w:sz w:val="20"/>
          <w:szCs w:val="20"/>
          <w:color w:val="auto"/>
        </w:rPr>
      </w:pPr>
      <w:r>
        <w:rPr>
          <w:rFonts w:ascii="Times New Roman" w:cs="Times New Roman" w:eastAsia="Times New Roman" w:hAnsi="Times New Roman"/>
          <w:sz w:val="20"/>
          <w:szCs w:val="20"/>
          <w:color w:val="auto"/>
        </w:rPr>
        <w:t>Worx Energy Works</w:t>
      </w:r>
    </w:p>
    <w:p>
      <w:pPr>
        <w:jc w:val="center"/>
        <w:ind w:right="1180"/>
        <w:spacing w:after="0"/>
        <w:rPr>
          <w:sz w:val="20"/>
          <w:szCs w:val="20"/>
          <w:color w:val="auto"/>
        </w:rPr>
      </w:pPr>
      <w:r>
        <w:rPr>
          <w:rFonts w:ascii="Times New Roman" w:cs="Times New Roman" w:eastAsia="Times New Roman" w:hAnsi="Times New Roman"/>
          <w:sz w:val="20"/>
          <w:szCs w:val="20"/>
          <w:color w:val="auto"/>
        </w:rPr>
        <w:t>Vidration Beverage Company</w:t>
      </w:r>
    </w:p>
    <w:p>
      <w:pPr>
        <w:jc w:val="center"/>
        <w:ind w:right="1180"/>
        <w:spacing w:after="0"/>
        <w:rPr>
          <w:sz w:val="20"/>
          <w:szCs w:val="20"/>
          <w:color w:val="auto"/>
        </w:rPr>
      </w:pPr>
      <w:r>
        <w:rPr>
          <w:rFonts w:ascii="Times New Roman" w:cs="Times New Roman" w:eastAsia="Times New Roman" w:hAnsi="Times New Roman"/>
          <w:sz w:val="20"/>
          <w:szCs w:val="20"/>
          <w:color w:val="auto"/>
        </w:rPr>
        <w:t>Monster Beverage Company</w:t>
      </w:r>
    </w:p>
    <w:p>
      <w:pPr>
        <w:jc w:val="center"/>
        <w:ind w:right="1180"/>
        <w:spacing w:after="0"/>
        <w:rPr>
          <w:sz w:val="20"/>
          <w:szCs w:val="20"/>
          <w:color w:val="auto"/>
        </w:rPr>
      </w:pPr>
      <w:r>
        <w:rPr>
          <w:rFonts w:ascii="Times New Roman" w:cs="Times New Roman" w:eastAsia="Times New Roman" w:hAnsi="Times New Roman"/>
          <w:sz w:val="20"/>
          <w:szCs w:val="20"/>
          <w:color w:val="auto"/>
        </w:rPr>
        <w:t>Hansen Natural Corporation</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Singapore Pte. Ltd.</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Korea, Ltd.</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Japan Godo Kaisha</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Company –Chile-Limitada</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Switzerland Holding GmbH</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Rus LLC</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Vietnam Company Ltd.</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India Private Limited</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PRC Holdings (HK) Limited</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Company (Taiwan)</w:t>
      </w:r>
    </w:p>
    <w:p>
      <w:pPr>
        <w:jc w:val="center"/>
        <w:ind w:right="1180"/>
        <w:spacing w:after="0"/>
        <w:rPr>
          <w:sz w:val="20"/>
          <w:szCs w:val="20"/>
          <w:color w:val="auto"/>
        </w:rPr>
      </w:pPr>
      <w:r>
        <w:rPr>
          <w:rFonts w:ascii="Times New Roman" w:cs="Times New Roman" w:eastAsia="Times New Roman" w:hAnsi="Times New Roman"/>
          <w:sz w:val="20"/>
          <w:szCs w:val="20"/>
          <w:color w:val="auto"/>
        </w:rPr>
        <w:t>Monster İçecek Ticaret Limited Şirketi</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Nigeria Limited</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SER doo Beograd-Vracar</w:t>
      </w:r>
    </w:p>
    <w:p>
      <w:pPr>
        <w:jc w:val="center"/>
        <w:ind w:right="1180"/>
        <w:spacing w:after="0"/>
        <w:rPr>
          <w:sz w:val="20"/>
          <w:szCs w:val="20"/>
          <w:color w:val="auto"/>
        </w:rPr>
      </w:pPr>
      <w:r>
        <w:rPr>
          <w:rFonts w:ascii="Times New Roman" w:cs="Times New Roman" w:eastAsia="Times New Roman" w:hAnsi="Times New Roman"/>
          <w:sz w:val="20"/>
          <w:szCs w:val="20"/>
          <w:color w:val="auto"/>
        </w:rPr>
        <w:t>Limited Liability Company M Energy Rus</w:t>
      </w:r>
    </w:p>
    <w:p>
      <w:pPr>
        <w:jc w:val="center"/>
        <w:ind w:right="1180"/>
        <w:spacing w:after="0"/>
        <w:rPr>
          <w:sz w:val="20"/>
          <w:szCs w:val="20"/>
          <w:color w:val="auto"/>
        </w:rPr>
      </w:pPr>
      <w:r>
        <w:rPr>
          <w:rFonts w:ascii="Times New Roman" w:cs="Times New Roman" w:eastAsia="Times New Roman" w:hAnsi="Times New Roman"/>
          <w:sz w:val="20"/>
          <w:szCs w:val="20"/>
          <w:color w:val="auto"/>
        </w:rPr>
        <w:t>New Laser Corporation</w:t>
      </w:r>
    </w:p>
    <w:p>
      <w:pPr>
        <w:jc w:val="center"/>
        <w:ind w:right="1180"/>
        <w:spacing w:after="0"/>
        <w:rPr>
          <w:sz w:val="20"/>
          <w:szCs w:val="20"/>
          <w:color w:val="auto"/>
        </w:rPr>
      </w:pPr>
      <w:r>
        <w:rPr>
          <w:rFonts w:ascii="Times New Roman" w:cs="Times New Roman" w:eastAsia="Times New Roman" w:hAnsi="Times New Roman"/>
          <w:sz w:val="20"/>
          <w:szCs w:val="20"/>
          <w:color w:val="auto"/>
        </w:rPr>
        <w:t>New Laser Merger Corporation</w:t>
      </w:r>
    </w:p>
    <w:p>
      <w:pPr>
        <w:jc w:val="center"/>
        <w:ind w:right="1180"/>
        <w:spacing w:after="0"/>
        <w:rPr>
          <w:sz w:val="20"/>
          <w:szCs w:val="20"/>
          <w:color w:val="auto"/>
        </w:rPr>
      </w:pPr>
      <w:r>
        <w:rPr>
          <w:rFonts w:ascii="Times New Roman" w:cs="Times New Roman" w:eastAsia="Times New Roman" w:hAnsi="Times New Roman"/>
          <w:sz w:val="20"/>
          <w:szCs w:val="20"/>
          <w:color w:val="auto"/>
        </w:rPr>
        <w:t>Monster Energy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212725</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14"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333-41333, No. 333-89123, No. 333-112482, No. 333-131467, No. 033-92526, No. 333-170713 and No. 333-174614 on Form S-8 of our reports dated March 2, 2015, relating to the consolidated financial statements and financial statement schedule of Monster Beverage Corporation and subsidiaries (the “Company”) and the effectiveness of the Company’s internal control over financial reporting, appearing in this Annual Report on Form 10-K of Monster Beverage Corporation and subsidiaries for the year ended December 31, 2014.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7" w:name="page78"/>
    <w:bookmarkEnd w:id="77"/>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32" w:lineRule="exact"/>
        <w:rPr>
          <w:sz w:val="20"/>
          <w:szCs w:val="20"/>
          <w:color w:val="auto"/>
        </w:rPr>
      </w:pPr>
    </w:p>
    <w:p>
      <w:pPr>
        <w:jc w:val="center"/>
        <w:ind w:right="40"/>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Monster Beverage Corporation;</w:t>
      </w:r>
    </w:p>
    <w:p>
      <w:pPr>
        <w:spacing w:after="0" w:line="229"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43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340" w:right="60" w:hanging="332"/>
        <w:spacing w:after="0" w:line="269" w:lineRule="auto"/>
        <w:tabs>
          <w:tab w:leader="none" w:pos="52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50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663"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863"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202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74" w:lineRule="auto"/>
        <w:tabs>
          <w:tab w:leader="none" w:pos="1809"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9"/>
          <w:szCs w:val="19"/>
          <w:color w:val="auto"/>
        </w:rPr>
      </w:pPr>
    </w:p>
    <w:p>
      <w:pPr>
        <w:jc w:val="both"/>
        <w:ind w:left="340" w:right="40" w:hanging="332"/>
        <w:spacing w:after="0" w:line="254" w:lineRule="auto"/>
        <w:tabs>
          <w:tab w:leader="none" w:pos="54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71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1620" w:right="40" w:hanging="315"/>
        <w:spacing w:after="0" w:line="269" w:lineRule="auto"/>
        <w:tabs>
          <w:tab w:leader="none" w:pos="1863"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March 2, 2015</w:t>
            </w:r>
          </w:p>
        </w:tc>
        <w:tc>
          <w:tcPr>
            <w:tcW w:w="5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/s/Rodney C. Sacks</w:t>
            </w:r>
          </w:p>
        </w:tc>
        <w:tc>
          <w:tcPr>
            <w:tcW w:w="40" w:type="dxa"/>
            <w:vAlign w:val="bottom"/>
          </w:tcPr>
          <w:p>
            <w:pPr>
              <w:spacing w:after="0"/>
              <w:rPr>
                <w:sz w:val="21"/>
                <w:szCs w:val="21"/>
                <w:color w:val="auto"/>
              </w:rPr>
            </w:pPr>
          </w:p>
        </w:tc>
      </w:tr>
      <w:tr>
        <w:trPr>
          <w:trHeight w:val="200"/>
        </w:trPr>
        <w:tc>
          <w:tcPr>
            <w:tcW w:w="8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7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Rodney C. Sacks</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40" w:type="dxa"/>
            <w:vAlign w:val="bottom"/>
          </w:tcPr>
          <w:p>
            <w:pPr>
              <w:spacing w:after="0"/>
              <w:rPr>
                <w:sz w:val="19"/>
                <w:szCs w:val="19"/>
                <w:color w:val="auto"/>
              </w:rPr>
            </w:pPr>
          </w:p>
        </w:tc>
      </w:tr>
      <w:tr>
        <w:trPr>
          <w:trHeight w:val="258"/>
        </w:trPr>
        <w:tc>
          <w:tcPr>
            <w:tcW w:w="8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and Chief Executive Officer</w:t>
            </w:r>
          </w:p>
        </w:tc>
        <w:tc>
          <w:tcPr>
            <w:tcW w:w="40" w:type="dxa"/>
            <w:vAlign w:val="bottom"/>
          </w:tcPr>
          <w:p>
            <w:pPr>
              <w:spacing w:after="0"/>
              <w:rPr>
                <w:sz w:val="22"/>
                <w:szCs w:val="22"/>
                <w:color w:val="auto"/>
              </w:rPr>
            </w:pPr>
          </w:p>
        </w:tc>
      </w:tr>
      <w:tr>
        <w:trPr>
          <w:trHeight w:val="355"/>
        </w:trPr>
        <w:tc>
          <w:tcPr>
            <w:tcW w:w="84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5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78" w:name="page79"/>
    <w:bookmarkEnd w:id="78"/>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32" w:lineRule="exact"/>
        <w:rPr>
          <w:sz w:val="20"/>
          <w:szCs w:val="20"/>
          <w:color w:val="auto"/>
        </w:rPr>
      </w:pPr>
    </w:p>
    <w:p>
      <w:pPr>
        <w:jc w:val="center"/>
        <w:ind w:right="40"/>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Monster Beverage Corporation;</w:t>
      </w:r>
    </w:p>
    <w:p>
      <w:pPr>
        <w:spacing w:after="0" w:line="229"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43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340" w:right="60" w:hanging="332"/>
        <w:spacing w:after="0" w:line="269" w:lineRule="auto"/>
        <w:tabs>
          <w:tab w:leader="none" w:pos="52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50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663"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863"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2027"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74" w:lineRule="auto"/>
        <w:tabs>
          <w:tab w:leader="none" w:pos="1809"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9"/>
          <w:szCs w:val="19"/>
          <w:color w:val="auto"/>
        </w:rPr>
      </w:pPr>
    </w:p>
    <w:p>
      <w:pPr>
        <w:jc w:val="both"/>
        <w:ind w:left="340" w:right="40" w:hanging="332"/>
        <w:spacing w:after="0" w:line="254" w:lineRule="auto"/>
        <w:tabs>
          <w:tab w:leader="none" w:pos="54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717"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1620" w:right="40" w:hanging="315"/>
        <w:spacing w:after="0" w:line="269" w:lineRule="auto"/>
        <w:tabs>
          <w:tab w:leader="none" w:pos="1863"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March 2, 2015</w:t>
            </w:r>
          </w:p>
        </w:tc>
        <w:tc>
          <w:tcPr>
            <w:tcW w:w="5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Hilton H. Schlosberg</w:t>
            </w:r>
          </w:p>
        </w:tc>
        <w:tc>
          <w:tcPr>
            <w:tcW w:w="40" w:type="dxa"/>
            <w:vAlign w:val="bottom"/>
          </w:tcPr>
          <w:p>
            <w:pPr>
              <w:spacing w:after="0"/>
              <w:rPr>
                <w:sz w:val="21"/>
                <w:szCs w:val="21"/>
                <w:color w:val="auto"/>
              </w:rPr>
            </w:pPr>
          </w:p>
        </w:tc>
      </w:tr>
      <w:tr>
        <w:trPr>
          <w:trHeight w:val="200"/>
        </w:trPr>
        <w:tc>
          <w:tcPr>
            <w:tcW w:w="8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7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c>
          <w:tcPr>
            <w:tcW w:w="40" w:type="dxa"/>
            <w:vAlign w:val="bottom"/>
          </w:tcPr>
          <w:p>
            <w:pPr>
              <w:spacing w:after="0"/>
              <w:rPr>
                <w:sz w:val="17"/>
                <w:szCs w:val="17"/>
                <w:color w:val="auto"/>
              </w:rPr>
            </w:pPr>
          </w:p>
        </w:tc>
      </w:tr>
      <w:tr>
        <w:trPr>
          <w:trHeight w:val="230"/>
        </w:trPr>
        <w:tc>
          <w:tcPr>
            <w:tcW w:w="8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Chairman of the Board of Directors, President, Chief</w:t>
            </w:r>
          </w:p>
        </w:tc>
        <w:tc>
          <w:tcPr>
            <w:tcW w:w="40" w:type="dxa"/>
            <w:vAlign w:val="bottom"/>
          </w:tcPr>
          <w:p>
            <w:pPr>
              <w:spacing w:after="0"/>
              <w:rPr>
                <w:sz w:val="19"/>
                <w:szCs w:val="19"/>
                <w:color w:val="auto"/>
              </w:rPr>
            </w:pPr>
          </w:p>
        </w:tc>
      </w:tr>
      <w:tr>
        <w:trPr>
          <w:trHeight w:val="258"/>
        </w:trPr>
        <w:tc>
          <w:tcPr>
            <w:tcW w:w="86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Operating Officer, Chief Financial Officer and Secretary</w:t>
            </w:r>
          </w:p>
        </w:tc>
        <w:tc>
          <w:tcPr>
            <w:tcW w:w="40" w:type="dxa"/>
            <w:vAlign w:val="bottom"/>
          </w:tcPr>
          <w:p>
            <w:pPr>
              <w:spacing w:after="0"/>
              <w:rPr>
                <w:sz w:val="22"/>
                <w:szCs w:val="22"/>
                <w:color w:val="auto"/>
              </w:rPr>
            </w:pPr>
          </w:p>
        </w:tc>
      </w:tr>
      <w:tr>
        <w:trPr>
          <w:trHeight w:val="355"/>
        </w:trPr>
        <w:tc>
          <w:tcPr>
            <w:tcW w:w="86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79" w:name="page80"/>
    <w:bookmarkEnd w:id="79"/>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18 U.S.C. SECTION 1350,</w:t>
      </w:r>
    </w:p>
    <w:p>
      <w:pPr>
        <w:jc w:val="center"/>
        <w:ind w:right="40"/>
        <w:spacing w:after="0"/>
        <w:rPr>
          <w:sz w:val="20"/>
          <w:szCs w:val="20"/>
          <w:color w:val="auto"/>
        </w:rPr>
      </w:pPr>
      <w:r>
        <w:rPr>
          <w:rFonts w:ascii="Times New Roman" w:cs="Times New Roman" w:eastAsia="Times New Roman" w:hAnsi="Times New Roman"/>
          <w:sz w:val="20"/>
          <w:szCs w:val="20"/>
          <w:color w:val="auto"/>
        </w:rPr>
        <w:t>AS ADOPTED PURSUANT TO</w:t>
      </w:r>
    </w:p>
    <w:p>
      <w:pPr>
        <w:jc w:val="center"/>
        <w:ind w:right="40"/>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10-K for the year ended December 31, 2014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94" w:lineRule="exact"/>
        <w:rPr>
          <w:sz w:val="20"/>
          <w:szCs w:val="20"/>
          <w:color w:val="auto"/>
        </w:rPr>
      </w:pPr>
    </w:p>
    <w:p>
      <w:pPr>
        <w:ind w:left="960" w:hanging="304"/>
        <w:spacing w:after="0"/>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980" w:right="160" w:hanging="324"/>
        <w:spacing w:after="0" w:line="269" w:lineRule="auto"/>
        <w:tabs>
          <w:tab w:leader="none" w:pos="96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March 2, 2015</w:t>
            </w:r>
          </w:p>
        </w:tc>
        <w:tc>
          <w:tcPr>
            <w:tcW w:w="5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Rodney C. Sacks</w:t>
            </w:r>
          </w:p>
        </w:tc>
        <w:tc>
          <w:tcPr>
            <w:tcW w:w="40" w:type="dxa"/>
            <w:vAlign w:val="bottom"/>
          </w:tcPr>
          <w:p>
            <w:pPr>
              <w:spacing w:after="0"/>
              <w:rPr>
                <w:sz w:val="21"/>
                <w:szCs w:val="21"/>
                <w:color w:val="auto"/>
              </w:rPr>
            </w:pPr>
          </w:p>
        </w:tc>
      </w:tr>
      <w:tr>
        <w:trPr>
          <w:trHeight w:val="200"/>
        </w:trPr>
        <w:tc>
          <w:tcPr>
            <w:tcW w:w="8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6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Rodney C. Sacks</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40" w:type="dxa"/>
            <w:vAlign w:val="bottom"/>
          </w:tcPr>
          <w:p>
            <w:pPr>
              <w:spacing w:after="0"/>
              <w:rPr>
                <w:sz w:val="19"/>
                <w:szCs w:val="19"/>
                <w:color w:val="auto"/>
              </w:rPr>
            </w:pPr>
          </w:p>
        </w:tc>
      </w:tr>
      <w:tr>
        <w:trPr>
          <w:trHeight w:val="258"/>
        </w:trPr>
        <w:tc>
          <w:tcPr>
            <w:tcW w:w="88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and Chief Executive Officer</w:t>
            </w:r>
          </w:p>
        </w:tc>
        <w:tc>
          <w:tcPr>
            <w:tcW w:w="40" w:type="dxa"/>
            <w:vAlign w:val="bottom"/>
          </w:tcPr>
          <w:p>
            <w:pPr>
              <w:spacing w:after="0"/>
              <w:rPr>
                <w:sz w:val="22"/>
                <w:szCs w:val="22"/>
                <w:color w:val="auto"/>
              </w:rPr>
            </w:pPr>
          </w:p>
        </w:tc>
      </w:tr>
      <w:tr>
        <w:trPr>
          <w:trHeight w:val="355"/>
        </w:trPr>
        <w:tc>
          <w:tcPr>
            <w:tcW w:w="88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80" w:name="page81"/>
    <w:bookmarkEnd w:id="80"/>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18 U.S.C. SECTION 1350,</w:t>
      </w:r>
    </w:p>
    <w:p>
      <w:pPr>
        <w:jc w:val="center"/>
        <w:ind w:right="40"/>
        <w:spacing w:after="0"/>
        <w:rPr>
          <w:sz w:val="20"/>
          <w:szCs w:val="20"/>
          <w:color w:val="auto"/>
        </w:rPr>
      </w:pPr>
      <w:r>
        <w:rPr>
          <w:rFonts w:ascii="Times New Roman" w:cs="Times New Roman" w:eastAsia="Times New Roman" w:hAnsi="Times New Roman"/>
          <w:sz w:val="20"/>
          <w:szCs w:val="20"/>
          <w:color w:val="auto"/>
        </w:rPr>
        <w:t>AS ADOPTED PURSUANT TO</w:t>
      </w:r>
    </w:p>
    <w:p>
      <w:pPr>
        <w:jc w:val="center"/>
        <w:ind w:right="40"/>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10-K for the year ended December 31, 2014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94" w:lineRule="exact"/>
        <w:rPr>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980" w:right="160" w:hanging="324"/>
        <w:spacing w:after="0" w:line="269" w:lineRule="auto"/>
        <w:tabs>
          <w:tab w:leader="none" w:pos="96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March 2, 2015</w:t>
            </w:r>
          </w:p>
        </w:tc>
        <w:tc>
          <w:tcPr>
            <w:tcW w:w="5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Hilton H. Schlosberg</w:t>
            </w:r>
          </w:p>
        </w:tc>
        <w:tc>
          <w:tcPr>
            <w:tcW w:w="40" w:type="dxa"/>
            <w:vAlign w:val="bottom"/>
          </w:tcPr>
          <w:p>
            <w:pPr>
              <w:spacing w:after="0"/>
              <w:rPr>
                <w:sz w:val="21"/>
                <w:szCs w:val="21"/>
                <w:color w:val="auto"/>
              </w:rPr>
            </w:pPr>
          </w:p>
        </w:tc>
      </w:tr>
      <w:tr>
        <w:trPr>
          <w:trHeight w:val="200"/>
        </w:trPr>
        <w:tc>
          <w:tcPr>
            <w:tcW w:w="8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6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Chairman of the Board of Directors, President, Chief</w:t>
            </w:r>
          </w:p>
        </w:tc>
        <w:tc>
          <w:tcPr>
            <w:tcW w:w="40" w:type="dxa"/>
            <w:vAlign w:val="bottom"/>
          </w:tcPr>
          <w:p>
            <w:pPr>
              <w:spacing w:after="0"/>
              <w:rPr>
                <w:sz w:val="19"/>
                <w:szCs w:val="19"/>
                <w:color w:val="auto"/>
              </w:rPr>
            </w:pPr>
          </w:p>
        </w:tc>
      </w:tr>
      <w:tr>
        <w:trPr>
          <w:trHeight w:val="258"/>
        </w:trPr>
        <w:tc>
          <w:tcPr>
            <w:tcW w:w="88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Operating Officer, Chief Financial Officer and Secretary</w:t>
            </w:r>
          </w:p>
        </w:tc>
        <w:tc>
          <w:tcPr>
            <w:tcW w:w="40" w:type="dxa"/>
            <w:vAlign w:val="bottom"/>
          </w:tcPr>
          <w:p>
            <w:pPr>
              <w:spacing w:after="0"/>
              <w:rPr>
                <w:sz w:val="22"/>
                <w:szCs w:val="22"/>
                <w:color w:val="auto"/>
              </w:rPr>
            </w:pPr>
          </w:p>
        </w:tc>
      </w:tr>
      <w:tr>
        <w:trPr>
          <w:trHeight w:val="355"/>
        </w:trPr>
        <w:tc>
          <w:tcPr>
            <w:tcW w:w="88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0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5"/>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lowerLetter"/>
      <w:start w:val="1"/>
    </w:lvl>
  </w:abstractNum>
  <w:abstractNum w:abstractNumId="5">
    <w:nsid w:val="6CEAF087"/>
    <w:multiLevelType w:val="hybridMultilevel"/>
    <w:lvl w:ilvl="0">
      <w:lvlJc w:val="left"/>
      <w:lvlText w:val="(%1)"/>
      <w:numFmt w:val="lowerLetter"/>
      <w:start w:val="2"/>
    </w:lvl>
  </w:abstractNum>
  <w:abstractNum w:abstractNumId="6">
    <w:nsid w:val="22221A70"/>
    <w:multiLevelType w:val="hybridMultilevel"/>
    <w:lvl w:ilvl="0">
      <w:lvlJc w:val="left"/>
      <w:lvlText w:val="(%1)"/>
      <w:numFmt w:val="lowerLetter"/>
      <w:start w:val="8"/>
    </w:lvl>
  </w:abstractNum>
  <w:abstractNum w:abstractNumId="7">
    <w:nsid w:val="4516DDE9"/>
    <w:multiLevelType w:val="hybridMultilevel"/>
    <w:lvl w:ilvl="0">
      <w:lvlJc w:val="left"/>
      <w:lvlText w:val="(%1)"/>
      <w:numFmt w:val="lowerRoman"/>
      <w:start w:val="1"/>
    </w:lvl>
    <w:lvl w:ilvl="1">
      <w:lvlJc w:val="left"/>
      <w:lvlText w:val="(%2)"/>
      <w:numFmt w:val="lowerRoman"/>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lvl w:ilvl="1">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951"/>
    </w:lvl>
  </w:abstractNum>
  <w:abstractNum w:abstractNumId="22">
    <w:nsid w:val="580BD78F"/>
    <w:multiLevelType w:val="hybridMultilevel"/>
    <w:lvl w:ilvl="0">
      <w:lvlJc w:val="left"/>
      <w:lvlText w:val="(%1)"/>
      <w:numFmt w:val="decimal"/>
      <w:start w:val="800"/>
    </w:lvl>
  </w:abstractNum>
  <w:abstractNum w:abstractNumId="23">
    <w:nsid w:val="153EA438"/>
    <w:multiLevelType w:val="hybridMultilevel"/>
    <w:lvl w:ilvl="0">
      <w:lvlJc w:val="left"/>
      <w:lvlText w:val="(%1)"/>
      <w:numFmt w:val="lowerLetter"/>
      <w:start w:val="3"/>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3"/>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4"/>
    </w:lvl>
  </w:abstractNum>
  <w:abstractNum w:abstractNumId="30">
    <w:nsid w:val="2CD89A32"/>
    <w:multiLevelType w:val="hybridMultilevel"/>
    <w:lvl w:ilvl="0">
      <w:lvlJc w:val="left"/>
      <w:lvlText w:val="%1."/>
      <w:numFmt w:val="decimal"/>
      <w:start w:val="2"/>
    </w:lvl>
  </w:abstractNum>
  <w:abstractNum w:abstractNumId="31">
    <w:nsid w:val="57E4CCAF"/>
    <w:multiLevelType w:val="hybridMultilevel"/>
    <w:lvl w:ilvl="0">
      <w:lvlJc w:val="left"/>
      <w:lvlText w:val="%1."/>
      <w:numFmt w:val="decimal"/>
      <w:start w:val="3"/>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lowerRoman"/>
      <w:start w:val="2"/>
    </w:lvl>
  </w:abstractNum>
  <w:abstractNum w:abstractNumId="35">
    <w:nsid w:val="6DE91B18"/>
    <w:multiLevelType w:val="hybridMultilevel"/>
    <w:lvl w:ilvl="0">
      <w:lvlJc w:val="left"/>
      <w:lvlText w:val="%1."/>
      <w:numFmt w:val="decimal"/>
      <w:start w:val="4"/>
    </w:lvl>
  </w:abstractNum>
  <w:abstractNum w:abstractNumId="36">
    <w:nsid w:val="38437FDB"/>
    <w:multiLevelType w:val="hybridMultilevel"/>
    <w:lvl w:ilvl="0">
      <w:lvlJc w:val="left"/>
      <w:lvlText w:val="%1."/>
      <w:numFmt w:val="decimal"/>
      <w:start w:val="5"/>
    </w:lvl>
  </w:abstractNum>
  <w:abstractNum w:abstractNumId="37">
    <w:nsid w:val="7644A45C"/>
    <w:multiLevelType w:val="hybridMultilevel"/>
    <w:lvl w:ilvl="0">
      <w:lvlJc w:val="left"/>
      <w:lvlText w:val="%1."/>
      <w:numFmt w:val="decimal"/>
      <w:start w:val="6"/>
    </w:lvl>
  </w:abstractNum>
  <w:abstractNum w:abstractNumId="38">
    <w:nsid w:val="32FFF902"/>
    <w:multiLevelType w:val="hybridMultilevel"/>
    <w:lvl w:ilvl="0">
      <w:lvlJc w:val="left"/>
      <w:lvlText w:val="%1."/>
      <w:numFmt w:val="decimal"/>
      <w:start w:val="7"/>
    </w:lvl>
  </w:abstractNum>
  <w:abstractNum w:abstractNumId="39">
    <w:nsid w:val="684A481A"/>
    <w:multiLevelType w:val="hybridMultilevel"/>
    <w:lvl w:ilvl="0">
      <w:lvlJc w:val="left"/>
      <w:lvlText w:val="%1."/>
      <w:numFmt w:val="decimal"/>
      <w:start w:val="8"/>
    </w:lvl>
  </w:abstractNum>
  <w:abstractNum w:abstractNumId="40">
    <w:nsid w:val="579478FE"/>
    <w:multiLevelType w:val="hybridMultilevel"/>
    <w:lvl w:ilvl="0">
      <w:lvlJc w:val="left"/>
      <w:lvlText w:val="%1."/>
      <w:numFmt w:val="decimal"/>
      <w:start w:val="9"/>
    </w:lvl>
  </w:abstractNum>
  <w:abstractNum w:abstractNumId="41">
    <w:nsid w:val="749ABB43"/>
    <w:multiLevelType w:val="hybridMultilevel"/>
    <w:lvl w:ilvl="0">
      <w:lvlJc w:val="left"/>
      <w:lvlText w:val="%1."/>
      <w:numFmt w:val="decimal"/>
      <w:start w:val="10"/>
    </w:lvl>
  </w:abstractNum>
  <w:abstractNum w:abstractNumId="42">
    <w:nsid w:val="3DC240FB"/>
    <w:multiLevelType w:val="hybridMultilevel"/>
    <w:lvl w:ilvl="0">
      <w:lvlJc w:val="left"/>
      <w:lvlText w:val="(%1)"/>
      <w:numFmt w:val="lowerRoman"/>
      <w:start w:val="1"/>
    </w:lvl>
    <w:lvl w:ilvl="1">
      <w:lvlJc w:val="left"/>
      <w:lvlText w:val="(%2)"/>
      <w:numFmt w:val="lowerRoman"/>
      <w:start w:val="1"/>
    </w:lvl>
  </w:abstractNum>
  <w:abstractNum w:abstractNumId="43">
    <w:nsid w:val="1BA026FA"/>
    <w:multiLevelType w:val="hybridMultilevel"/>
    <w:lvl w:ilvl="0">
      <w:lvlJc w:val="left"/>
      <w:lvlText w:val="%1"/>
      <w:numFmt w:val="decimal"/>
      <w:start w:val="1"/>
    </w:lvl>
    <w:lvl w:ilvl="1">
      <w:lvlJc w:val="left"/>
      <w:lvlText w:val="(%2)"/>
      <w:numFmt w:val="lowerRoman"/>
      <w:start w:val="2"/>
    </w:lvl>
  </w:abstractNum>
  <w:abstractNum w:abstractNumId="44">
    <w:nsid w:val="79A1DEAA"/>
    <w:multiLevelType w:val="hybridMultilevel"/>
    <w:lvl w:ilvl="0">
      <w:lvlJc w:val="left"/>
      <w:lvlText w:val="(%1)"/>
      <w:numFmt w:val="decimal"/>
      <w:start w:val="2"/>
    </w:lvl>
    <w:lvl w:ilvl="1">
      <w:lvlJc w:val="left"/>
      <w:lvlText w:val="%2"/>
      <w:numFmt w:val="lowerRoman"/>
      <w:start w:val="1"/>
    </w:lvl>
  </w:abstractNum>
  <w:abstractNum w:abstractNumId="45">
    <w:nsid w:val="75C6C33A"/>
    <w:multiLevelType w:val="hybridMultilevel"/>
    <w:lvl w:ilvl="0">
      <w:lvlJc w:val="left"/>
      <w:lvlText w:val="%1."/>
      <w:numFmt w:val="decimal"/>
      <w:start w:val="11"/>
    </w:lvl>
  </w:abstractNum>
  <w:abstractNum w:abstractNumId="46">
    <w:nsid w:val="12E685FB"/>
    <w:multiLevelType w:val="hybridMultilevel"/>
    <w:lvl w:ilvl="0">
      <w:lvlJc w:val="left"/>
      <w:lvlText w:val="%1."/>
      <w:numFmt w:val="decimal"/>
      <w:start w:val="12"/>
    </w:lvl>
  </w:abstractNum>
  <w:abstractNum w:abstractNumId="47">
    <w:nsid w:val="70C6A529"/>
    <w:multiLevelType w:val="hybridMultilevel"/>
    <w:lvl w:ilvl="0">
      <w:lvlJc w:val="left"/>
      <w:lvlText w:val="%1."/>
      <w:numFmt w:val="decimal"/>
      <w:start w:val="13"/>
    </w:lvl>
  </w:abstractNum>
  <w:abstractNum w:abstractNumId="48">
    <w:nsid w:val="520EEDD1"/>
    <w:multiLevelType w:val="hybridMultilevel"/>
    <w:lvl w:ilvl="0">
      <w:lvlJc w:val="left"/>
      <w:lvlText w:val="%1."/>
      <w:numFmt w:val="decimal"/>
      <w:start w:val="14"/>
    </w:lvl>
  </w:abstractNum>
  <w:abstractNum w:abstractNumId="49">
    <w:nsid w:val="374A3FE6"/>
    <w:multiLevelType w:val="hybridMultilevel"/>
    <w:lvl w:ilvl="0">
      <w:lvlJc w:val="left"/>
      <w:lvlText w:val="%1."/>
      <w:numFmt w:val="decimal"/>
      <w:start w:val="15"/>
    </w:lvl>
  </w:abstractNum>
  <w:abstractNum w:abstractNumId="50">
    <w:nsid w:val="4F4EF005"/>
    <w:multiLevelType w:val="hybridMultilevel"/>
    <w:lvl w:ilvl="0">
      <w:lvlJc w:val="left"/>
      <w:lvlText w:val="%1."/>
      <w:numFmt w:val="decimal"/>
      <w:start w:val="16"/>
    </w:lvl>
  </w:abstractNum>
  <w:abstractNum w:abstractNumId="51">
    <w:nsid w:val="23F9C13C"/>
    <w:multiLevelType w:val="hybridMultilevel"/>
    <w:lvl w:ilvl="0">
      <w:lvlJc w:val="left"/>
      <w:lvlText w:val="%1."/>
      <w:numFmt w:val="decimal"/>
      <w:start w:val="17"/>
    </w:lvl>
  </w:abstractNum>
  <w:abstractNum w:abstractNumId="52">
    <w:nsid w:val="649BB77C"/>
    <w:multiLevelType w:val="hybridMultilevel"/>
    <w:lvl w:ilvl="0">
      <w:lvlJc w:val="left"/>
      <w:lvlText w:val="%1."/>
      <w:numFmt w:val="decimal"/>
      <w:start w:val="18"/>
    </w:lvl>
  </w:abstractNum>
  <w:abstractNum w:abstractNumId="53">
    <w:nsid w:val="275AC794"/>
    <w:multiLevelType w:val="hybridMultilevel"/>
    <w:lvl w:ilvl="0">
      <w:lvlJc w:val="left"/>
      <w:lvlText w:val="%1."/>
      <w:numFmt w:val="decimal"/>
      <w:start w:val="19"/>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2019-12-29T18:56:01Z</dcterms:created>
  <dcterms:modified xsi:type="dcterms:W3CDTF">2019-12-29T18:56:01Z</dcterms:modified>
</cp:coreProperties>
</file>