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050711.xml.htm"/>
      <w:bookmarkStart w:id="1" w:name="ksform407102026_050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 Tiffany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w:t>
            </w:r>
            <w:r>
              <w:rPr>
                <w:rFonts w:ascii="Times;serif" w:hAnsi="Times;serif"/>
                <w:color w:val="008000"/>
                <w:position w:val="7"/>
                <w:sz w:val="16"/>
                <w:sz w:val="20"/>
                <w:shd w:fill="FFFFFF" w:val="clear"/>
              </w:rPr>
              <w:t>(6)</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95.15</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either (i) a contingent right to receive one share of the Company's common stock or (ii) a cash amount equal to the number of shares received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with respect to 100% of such restricted stock units on the last business day prior to the Company's 2027 annual stockholder meeting, provided that the reporting person continues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deferred stock unit is economically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199"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4417</Characters>
  <CharactersWithSpaces>5173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