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Form 10-K</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3940" w:right="3140" w:hanging="794"/>
        <w:spacing w:after="0" w:line="261" w:lineRule="auto"/>
        <w:tabs>
          <w:tab w:leader="none" w:pos="3244" w:val="left"/>
        </w:tabs>
        <w:numPr>
          <w:ilvl w:val="0"/>
          <w:numId w:val="1"/>
        </w:numPr>
        <w:rPr>
          <w:rFonts w:ascii="Arial" w:cs="Arial" w:eastAsia="Arial" w:hAnsi="Arial"/>
          <w:sz w:val="18"/>
          <w:szCs w:val="18"/>
          <w:color w:val="auto"/>
        </w:rPr>
      </w:pPr>
      <w:r>
        <w:rPr>
          <w:rFonts w:ascii="Arial" w:cs="Arial" w:eastAsia="Arial" w:hAnsi="Arial"/>
          <w:sz w:val="18"/>
          <w:szCs w:val="18"/>
          <w:color w:val="auto"/>
        </w:rPr>
        <w:t>X] ANNUAL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fiscal year ended December 31, 2013</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OR</w:t>
      </w:r>
    </w:p>
    <w:p>
      <w:pPr>
        <w:spacing w:after="0" w:line="137" w:lineRule="exact"/>
        <w:rPr>
          <w:sz w:val="24"/>
          <w:szCs w:val="24"/>
          <w:color w:val="auto"/>
        </w:rPr>
      </w:pPr>
    </w:p>
    <w:p>
      <w:pPr>
        <w:ind w:left="3940" w:right="3020" w:hanging="911"/>
        <w:spacing w:after="0" w:line="277" w:lineRule="auto"/>
        <w:tabs>
          <w:tab w:leader="none" w:pos="3172"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85" w:lineRule="exact"/>
        <w:rPr>
          <w:sz w:val="24"/>
          <w:szCs w:val="24"/>
          <w:color w:val="auto"/>
        </w:rPr>
      </w:pPr>
    </w:p>
    <w:p>
      <w:pPr>
        <w:ind w:left="4380"/>
        <w:spacing w:after="0"/>
        <w:rPr>
          <w:sz w:val="20"/>
          <w:szCs w:val="20"/>
          <w:color w:val="auto"/>
        </w:rPr>
      </w:pPr>
      <w:r>
        <w:rPr>
          <w:rFonts w:ascii="Arial" w:cs="Arial" w:eastAsia="Arial" w:hAnsi="Arial"/>
          <w:sz w:val="14"/>
          <w:szCs w:val="14"/>
          <w:color w:val="auto"/>
        </w:rPr>
        <w:t>For the transition period from _____ to _____</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0-18761</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MONSTER BEVERAGE CORPORATION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13" w:lineRule="exact"/>
        <w:rPr>
          <w:sz w:val="24"/>
          <w:szCs w:val="24"/>
          <w:color w:val="auto"/>
        </w:rPr>
      </w:pPr>
    </w:p>
    <w:p>
      <w:pPr>
        <w:ind w:left="3060"/>
        <w:spacing w:after="0"/>
        <w:tabs>
          <w:tab w:leader="none" w:pos="6840" w:val="left"/>
        </w:tabs>
        <w:rPr>
          <w:sz w:val="20"/>
          <w:szCs w:val="20"/>
          <w:color w:val="auto"/>
        </w:rPr>
      </w:pPr>
      <w:r>
        <w:rPr>
          <w:rFonts w:ascii="Arial" w:cs="Arial" w:eastAsia="Arial" w:hAnsi="Arial"/>
          <w:sz w:val="20"/>
          <w:szCs w:val="20"/>
          <w:color w:val="auto"/>
        </w:rPr>
        <w:t>Delaware</w:t>
      </w:r>
      <w:r>
        <w:rPr>
          <w:sz w:val="20"/>
          <w:szCs w:val="20"/>
          <w:color w:val="auto"/>
        </w:rPr>
        <w:tab/>
      </w:r>
      <w:r>
        <w:rPr>
          <w:rFonts w:ascii="Arial" w:cs="Arial" w:eastAsia="Arial" w:hAnsi="Arial"/>
          <w:sz w:val="20"/>
          <w:szCs w:val="20"/>
          <w:color w:val="auto"/>
        </w:rPr>
        <w:t>39-1679918</w:t>
      </w:r>
    </w:p>
    <w:p>
      <w:pPr>
        <w:ind w:left="3060"/>
        <w:spacing w:after="0"/>
        <w:tabs>
          <w:tab w:leader="none" w:pos="684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3"/>
          <w:szCs w:val="13"/>
          <w:color w:val="auto"/>
        </w:rPr>
        <w:t>(I.R.S. Employer</w:t>
      </w:r>
    </w:p>
    <w:p>
      <w:pPr>
        <w:ind w:left="3060"/>
        <w:spacing w:after="0"/>
        <w:tabs>
          <w:tab w:leader="none" w:pos="6840" w:val="left"/>
        </w:tabs>
        <w:rPr>
          <w:sz w:val="20"/>
          <w:szCs w:val="20"/>
          <w:color w:val="auto"/>
        </w:rPr>
      </w:pPr>
      <w:r>
        <w:rPr>
          <w:rFonts w:ascii="Arial" w:cs="Arial" w:eastAsia="Arial" w:hAnsi="Arial"/>
          <w:sz w:val="14"/>
          <w:szCs w:val="14"/>
          <w:color w:val="auto"/>
        </w:rPr>
        <w:t>incorporation or organization)</w:t>
      </w:r>
      <w:r>
        <w:rPr>
          <w:sz w:val="20"/>
          <w:szCs w:val="20"/>
          <w:color w:val="auto"/>
        </w:rPr>
        <w:tab/>
      </w:r>
      <w:r>
        <w:rPr>
          <w:rFonts w:ascii="Arial" w:cs="Arial" w:eastAsia="Arial" w:hAnsi="Arial"/>
          <w:sz w:val="13"/>
          <w:szCs w:val="13"/>
          <w:color w:val="auto"/>
        </w:rPr>
        <w:t>Identification No.)</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1 Monster Way</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Corona, California 92879</w:t>
      </w:r>
    </w:p>
    <w:p>
      <w:pPr>
        <w:jc w:val="center"/>
        <w:spacing w:after="0"/>
        <w:tabs>
          <w:tab w:leader="none" w:pos="240" w:val="left"/>
        </w:tabs>
        <w:rPr>
          <w:sz w:val="20"/>
          <w:szCs w:val="20"/>
          <w:color w:val="auto"/>
        </w:rPr>
      </w:pPr>
      <w:r>
        <w:rPr>
          <w:rFonts w:ascii="Arial" w:cs="Arial" w:eastAsia="Arial" w:hAnsi="Arial"/>
          <w:sz w:val="15"/>
          <w:szCs w:val="15"/>
          <w:color w:val="auto"/>
        </w:rPr>
        <w:t>(Address of principal executive offices)</w:t>
      </w:r>
      <w:r>
        <w:rPr>
          <w:sz w:val="20"/>
          <w:szCs w:val="20"/>
          <w:color w:val="auto"/>
        </w:rPr>
        <w:tab/>
      </w:r>
      <w:r>
        <w:rPr>
          <w:rFonts w:ascii="Arial" w:cs="Arial" w:eastAsia="Arial" w:hAnsi="Arial"/>
          <w:sz w:val="14"/>
          <w:szCs w:val="14"/>
          <w:color w:val="auto"/>
        </w:rPr>
        <w:t>(Zip Code)</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(951) 739 - 6200</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5"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4120" w:type="dxa"/>
            <w:vAlign w:val="bottom"/>
          </w:tcPr>
          <w:p>
            <w:pPr>
              <w:spacing w:after="0"/>
              <w:rPr>
                <w:sz w:val="18"/>
                <w:szCs w:val="18"/>
                <w:color w:val="auto"/>
              </w:rPr>
            </w:pPr>
          </w:p>
        </w:tc>
        <w:tc>
          <w:tcPr>
            <w:tcW w:w="3180" w:type="dxa"/>
            <w:vAlign w:val="bottom"/>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37"/>
        </w:trPr>
        <w:tc>
          <w:tcPr>
            <w:tcW w:w="6320" w:type="dxa"/>
            <w:vAlign w:val="bottom"/>
            <w:gridSpan w:val="3"/>
          </w:tcPr>
          <w:p>
            <w:pPr>
              <w:jc w:val="center"/>
              <w:ind w:right="3300"/>
              <w:spacing w:after="0"/>
              <w:rPr>
                <w:sz w:val="20"/>
                <w:szCs w:val="20"/>
                <w:color w:val="auto"/>
              </w:rPr>
            </w:pPr>
            <w:r>
              <w:rPr>
                <w:rFonts w:ascii="Arial" w:cs="Arial" w:eastAsia="Arial" w:hAnsi="Arial"/>
                <w:sz w:val="18"/>
                <w:szCs w:val="18"/>
                <w:color w:val="auto"/>
                <w:w w:val="89"/>
              </w:rPr>
              <w:t>Common Stock, $.005 par value per share</w:t>
            </w:r>
          </w:p>
        </w:tc>
        <w:tc>
          <w:tcPr>
            <w:tcW w:w="3180" w:type="dxa"/>
            <w:vAlign w:val="bottom"/>
            <w:gridSpan w:val="3"/>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86"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Noo</w:t>
      </w:r>
    </w:p>
    <w:p>
      <w:pPr>
        <w:spacing w:after="0" w:line="167"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 Yeso No</w:t>
      </w:r>
      <w:r>
        <w:rPr>
          <w:rFonts w:ascii="MS PGothic" w:cs="MS PGothic" w:eastAsia="MS PGothic" w:hAnsi="MS PGothic"/>
          <w:sz w:val="16"/>
          <w:szCs w:val="16"/>
          <w:color w:val="auto"/>
        </w:rPr>
        <w:t>☑</w:t>
      </w:r>
    </w:p>
    <w:p>
      <w:pPr>
        <w:spacing w:after="0" w:line="197" w:lineRule="exact"/>
        <w:rPr>
          <w:sz w:val="24"/>
          <w:szCs w:val="24"/>
          <w:color w:val="auto"/>
        </w:rPr>
      </w:pPr>
    </w:p>
    <w:p>
      <w:pPr>
        <w:ind w:firstLine="64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82" w:lineRule="exact"/>
        <w:rPr>
          <w:sz w:val="24"/>
          <w:szCs w:val="24"/>
          <w:color w:val="auto"/>
        </w:rPr>
      </w:pPr>
    </w:p>
    <w:p>
      <w:pPr>
        <w:jc w:val="both"/>
        <w:ind w:right="360" w:firstLine="64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No o</w:t>
      </w:r>
    </w:p>
    <w:p>
      <w:pPr>
        <w:spacing w:after="0" w:line="182" w:lineRule="exact"/>
        <w:rPr>
          <w:sz w:val="24"/>
          <w:szCs w:val="24"/>
          <w:color w:val="auto"/>
        </w:rPr>
      </w:pPr>
    </w:p>
    <w:p>
      <w:pPr>
        <w:jc w:val="both"/>
        <w:ind w:firstLine="648"/>
        <w:spacing w:after="0" w:line="21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27"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left="260"/>
        <w:spacing w:after="0" w:line="184" w:lineRule="exact"/>
        <w:tabs>
          <w:tab w:leader="none" w:pos="57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Accelerated filer o</w:t>
      </w:r>
    </w:p>
    <w:p>
      <w:pPr>
        <w:spacing w:after="0" w:line="29" w:lineRule="exact"/>
        <w:rPr>
          <w:sz w:val="24"/>
          <w:szCs w:val="24"/>
          <w:color w:val="auto"/>
        </w:rPr>
      </w:pPr>
    </w:p>
    <w:p>
      <w:pPr>
        <w:ind w:left="260"/>
        <w:spacing w:after="0"/>
        <w:tabs>
          <w:tab w:leader="none" w:pos="5720" w:val="left"/>
        </w:tabs>
        <w:rPr>
          <w:sz w:val="20"/>
          <w:szCs w:val="20"/>
          <w:color w:val="auto"/>
        </w:rPr>
      </w:pPr>
      <w:r>
        <w:rPr>
          <w:rFonts w:ascii="Arial" w:cs="Arial" w:eastAsia="Arial" w:hAnsi="Arial"/>
          <w:sz w:val="16"/>
          <w:szCs w:val="16"/>
          <w:color w:val="auto"/>
        </w:rPr>
        <w:t>Non-accelerated filer o</w:t>
      </w:r>
      <w:r>
        <w:rPr>
          <w:sz w:val="20"/>
          <w:szCs w:val="20"/>
          <w:color w:val="auto"/>
        </w:rPr>
        <w:tab/>
      </w:r>
      <w:r>
        <w:rPr>
          <w:rFonts w:ascii="Arial" w:cs="Arial" w:eastAsia="Arial" w:hAnsi="Arial"/>
          <w:sz w:val="14"/>
          <w:szCs w:val="14"/>
          <w:color w:val="auto"/>
        </w:rPr>
        <w:t>Smaller reporting company o</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126" w:lineRule="exact"/>
        <w:rPr>
          <w:sz w:val="24"/>
          <w:szCs w:val="24"/>
          <w:color w:val="auto"/>
        </w:rPr>
      </w:pPr>
    </w:p>
    <w:p>
      <w:pPr>
        <w:ind w:left="660"/>
        <w:spacing w:after="0" w:line="184" w:lineRule="exact"/>
        <w:tabs>
          <w:tab w:leader="none" w:pos="8240" w:val="left"/>
        </w:tabs>
        <w:rPr>
          <w:sz w:val="20"/>
          <w:szCs w:val="20"/>
          <w:color w:val="auto"/>
        </w:rPr>
      </w:pPr>
      <w:r>
        <w:rPr>
          <w:rFonts w:ascii="Arial" w:cs="Arial" w:eastAsia="Arial" w:hAnsi="Arial"/>
          <w:sz w:val="16"/>
          <w:szCs w:val="16"/>
          <w:color w:val="auto"/>
        </w:rPr>
        <w:t>Indicate by check mark whether the registrant is a shell company (as defined by Rule 12b-2 of the Exchange Act.)</w:t>
      </w:r>
      <w:r>
        <w:rPr>
          <w:sz w:val="20"/>
          <w:szCs w:val="20"/>
          <w:color w:val="auto"/>
        </w:rPr>
        <w:tab/>
      </w:r>
      <w:r>
        <w:rPr>
          <w:rFonts w:ascii="Arial" w:cs="Arial" w:eastAsia="Arial" w:hAnsi="Arial"/>
          <w:sz w:val="14"/>
          <w:szCs w:val="14"/>
          <w:color w:val="auto"/>
        </w:rPr>
        <w:t xml:space="preserve">Yes o No </w:t>
      </w:r>
      <w:r>
        <w:rPr>
          <w:rFonts w:ascii="MS PGothic" w:cs="MS PGothic" w:eastAsia="MS PGothic" w:hAnsi="MS PGothic"/>
          <w:sz w:val="16"/>
          <w:szCs w:val="16"/>
          <w:color w:val="auto"/>
        </w:rPr>
        <w:t>☑</w:t>
      </w:r>
    </w:p>
    <w:p>
      <w:pPr>
        <w:spacing w:after="0" w:line="218" w:lineRule="exact"/>
        <w:rPr>
          <w:sz w:val="24"/>
          <w:szCs w:val="24"/>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was $9,168,059,511 computed by reference to the closing sale price for such stock on the NASDAQ Global Select Market on June 28, 2013, the last business day of the registrant’s most recently completed second fiscal quarter.</w:t>
      </w:r>
    </w:p>
    <w:p>
      <w:pPr>
        <w:spacing w:after="0" w:line="117" w:lineRule="exact"/>
        <w:rPr>
          <w:sz w:val="24"/>
          <w:szCs w:val="24"/>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number of shares of the registrant’s common stock, $0.005 par value per share (being the only class of common stock of the registrant), outstanding on February 24, 2014 was 166,877,164 shares.</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DOCUMENTS INCORPORATED BY REFERENCE:</w:t>
      </w:r>
    </w:p>
    <w:p>
      <w:pPr>
        <w:spacing w:after="0" w:line="113" w:lineRule="exact"/>
        <w:rPr>
          <w:sz w:val="24"/>
          <w:szCs w:val="24"/>
          <w:color w:val="auto"/>
        </w:rPr>
      </w:pPr>
    </w:p>
    <w:p>
      <w:pPr>
        <w:jc w:val="both"/>
        <w:ind w:firstLine="441"/>
        <w:spacing w:after="0" w:line="278" w:lineRule="auto"/>
        <w:rPr>
          <w:sz w:val="20"/>
          <w:szCs w:val="20"/>
          <w:color w:val="auto"/>
        </w:rPr>
      </w:pPr>
      <w:r>
        <w:rPr>
          <w:rFonts w:ascii="Arial" w:cs="Arial" w:eastAsia="Arial" w:hAnsi="Arial"/>
          <w:sz w:val="16"/>
          <w:szCs w:val="16"/>
          <w:color w:val="auto"/>
        </w:rPr>
        <w:t>Portions of the registrant’s Definitive Proxy Statement to be filed subsequent to the date hereof with the Commission pursuant to Regulation 14A in connection with the registrant’s 2014 Annual Meeting of Stockholders are incorporated by reference into Part III of this Report. Such Definitive Proxy Statement will be filed with the Securities and Exchange Commission no later than 120 days after the conclusion of the registrant’s fiscal year ended 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1"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23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6"/>
        </w:trPr>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740" w:type="dxa"/>
            <w:vAlign w:val="bottom"/>
            <w:gridSpan w:val="4"/>
          </w:tcPr>
          <w:p>
            <w:pPr>
              <w:jc w:val="center"/>
              <w:ind w:right="3341"/>
              <w:spacing w:after="0"/>
              <w:rPr>
                <w:sz w:val="20"/>
                <w:szCs w:val="20"/>
                <w:color w:val="auto"/>
              </w:rPr>
            </w:pPr>
            <w:r>
              <w:rPr>
                <w:rFonts w:ascii="Arial" w:cs="Arial" w:eastAsia="Arial" w:hAnsi="Arial"/>
                <w:sz w:val="20"/>
                <w:szCs w:val="20"/>
                <w:b w:val="1"/>
                <w:bCs w:val="1"/>
                <w:color w:val="auto"/>
                <w:w w:val="99"/>
              </w:rPr>
              <w:t>MONSTER BEVERAGE CORPORATION</w:t>
            </w:r>
          </w:p>
        </w:tc>
      </w:tr>
      <w:tr>
        <w:trPr>
          <w:trHeight w:val="459"/>
        </w:trPr>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40" w:type="dxa"/>
            <w:vAlign w:val="bottom"/>
            <w:gridSpan w:val="3"/>
          </w:tcPr>
          <w:p>
            <w:pPr>
              <w:jc w:val="center"/>
              <w:ind w:right="4821"/>
              <w:spacing w:after="0"/>
              <w:rPr>
                <w:sz w:val="20"/>
                <w:szCs w:val="20"/>
                <w:color w:val="auto"/>
              </w:rPr>
            </w:pPr>
            <w:r>
              <w:rPr>
                <w:rFonts w:ascii="Arial" w:cs="Arial" w:eastAsia="Arial" w:hAnsi="Arial"/>
                <w:sz w:val="20"/>
                <w:szCs w:val="20"/>
                <w:b w:val="1"/>
                <w:bCs w:val="1"/>
                <w:color w:val="auto"/>
              </w:rPr>
              <w:t>FORM 10-K</w:t>
            </w:r>
          </w:p>
        </w:tc>
      </w:tr>
      <w:tr>
        <w:trPr>
          <w:trHeight w:val="459"/>
        </w:trPr>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40" w:type="dxa"/>
            <w:vAlign w:val="bottom"/>
            <w:gridSpan w:val="4"/>
          </w:tcPr>
          <w:p>
            <w:pPr>
              <w:jc w:val="center"/>
              <w:ind w:right="3321"/>
              <w:spacing w:after="0"/>
              <w:rPr>
                <w:sz w:val="20"/>
                <w:szCs w:val="20"/>
                <w:color w:val="auto"/>
              </w:rPr>
            </w:pPr>
            <w:r>
              <w:rPr>
                <w:rFonts w:ascii="Arial" w:cs="Arial" w:eastAsia="Arial" w:hAnsi="Arial"/>
                <w:sz w:val="20"/>
                <w:szCs w:val="20"/>
                <w:b w:val="1"/>
                <w:bCs w:val="1"/>
                <w:color w:val="auto"/>
                <w:w w:val="98"/>
              </w:rPr>
              <w:t>TABLE OF CONTENTS</w:t>
            </w:r>
          </w:p>
        </w:tc>
      </w:tr>
      <w:tr>
        <w:trPr>
          <w:trHeight w:val="428"/>
        </w:trPr>
        <w:tc>
          <w:tcPr>
            <w:tcW w:w="1160" w:type="dxa"/>
            <w:vAlign w:val="bottom"/>
            <w:tcBorders>
              <w:bottom w:val="single" w:sz="8" w:color="auto"/>
            </w:tcBorders>
            <w:gridSpan w:val="5"/>
          </w:tcPr>
          <w:p>
            <w:pPr>
              <w:spacing w:after="0"/>
              <w:rPr>
                <w:sz w:val="20"/>
                <w:szCs w:val="20"/>
                <w:color w:val="auto"/>
              </w:rPr>
            </w:pPr>
            <w:r>
              <w:rPr>
                <w:rFonts w:ascii="Arial" w:cs="Arial" w:eastAsia="Arial" w:hAnsi="Arial"/>
                <w:sz w:val="20"/>
                <w:szCs w:val="20"/>
                <w:b w:val="1"/>
                <w:bCs w:val="1"/>
                <w:color w:val="auto"/>
                <w:w w:val="93"/>
              </w:rPr>
              <w:t>Item Number</w:t>
            </w:r>
          </w:p>
        </w:tc>
        <w:tc>
          <w:tcPr>
            <w:tcW w:w="2400" w:type="dxa"/>
            <w:vAlign w:val="bottom"/>
            <w:gridSpan w:val="7"/>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8"/>
              </w:rPr>
              <w:t>Page Number</w:t>
            </w:r>
          </w:p>
        </w:tc>
      </w:tr>
      <w:tr>
        <w:trPr>
          <w:trHeight w:val="210"/>
        </w:trPr>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40" w:type="dxa"/>
            <w:vAlign w:val="bottom"/>
            <w:gridSpan w:val="3"/>
          </w:tcPr>
          <w:p>
            <w:pPr>
              <w:spacing w:after="0" w:line="209" w:lineRule="exact"/>
              <w:rPr>
                <w:rFonts w:ascii="Arial" w:cs="Arial" w:eastAsia="Arial" w:hAnsi="Arial"/>
                <w:sz w:val="20"/>
                <w:szCs w:val="20"/>
                <w:b w:val="1"/>
                <w:bCs w:val="1"/>
                <w:color w:val="0000EE"/>
              </w:rPr>
            </w:pPr>
            <w:hyperlink w:anchor="page2">
              <w:r>
                <w:rPr>
                  <w:rFonts w:ascii="Arial" w:cs="Arial" w:eastAsia="Arial" w:hAnsi="Arial"/>
                  <w:sz w:val="20"/>
                  <w:szCs w:val="20"/>
                  <w:b w:val="1"/>
                  <w:bCs w:val="1"/>
                  <w:color w:val="0000EE"/>
                </w:rPr>
                <w:t>PART I</w:t>
              </w:r>
            </w:hyperlink>
          </w:p>
        </w:tc>
      </w:tr>
      <w:tr>
        <w:trPr>
          <w:trHeight w:val="210"/>
        </w:trPr>
        <w:tc>
          <w:tcPr>
            <w:tcW w:w="540" w:type="dxa"/>
            <w:vAlign w:val="bottom"/>
            <w:gridSpan w:val="2"/>
          </w:tcPr>
          <w:p>
            <w:pPr>
              <w:spacing w:after="0"/>
              <w:rPr>
                <w:sz w:val="18"/>
                <w:szCs w:val="18"/>
                <w:color w:val="auto"/>
              </w:rPr>
            </w:pPr>
          </w:p>
        </w:tc>
        <w:tc>
          <w:tcPr>
            <w:tcW w:w="160" w:type="dxa"/>
            <w:vAlign w:val="bottom"/>
            <w:tcBorders>
              <w:bottom w:val="single" w:sz="8" w:color="0000EE"/>
            </w:tcBorders>
          </w:tcPr>
          <w:p>
            <w:pPr>
              <w:jc w:val="right"/>
              <w:spacing w:after="0" w:line="209" w:lineRule="exact"/>
              <w:rPr>
                <w:rFonts w:ascii="Arial" w:cs="Arial" w:eastAsia="Arial" w:hAnsi="Arial"/>
                <w:sz w:val="20"/>
                <w:szCs w:val="20"/>
                <w:color w:val="0000EE"/>
                <w:w w:val="83"/>
              </w:rPr>
            </w:pPr>
            <w:hyperlink w:anchor="page2">
              <w:r>
                <w:rPr>
                  <w:rFonts w:ascii="Arial" w:cs="Arial" w:eastAsia="Arial" w:hAnsi="Arial"/>
                  <w:sz w:val="20"/>
                  <w:szCs w:val="20"/>
                  <w:color w:val="0000EE"/>
                  <w:w w:val="83"/>
                </w:rPr>
                <w:t>1.</w:t>
              </w:r>
            </w:hyperlink>
          </w:p>
        </w:tc>
        <w:tc>
          <w:tcPr>
            <w:tcW w:w="300" w:type="dxa"/>
            <w:vAlign w:val="bottom"/>
          </w:tcPr>
          <w:p>
            <w:pPr>
              <w:spacing w:after="0"/>
              <w:rPr>
                <w:sz w:val="18"/>
                <w:szCs w:val="18"/>
                <w:color w:val="auto"/>
              </w:rPr>
            </w:pPr>
          </w:p>
        </w:tc>
        <w:tc>
          <w:tcPr>
            <w:tcW w:w="700" w:type="dxa"/>
            <w:vAlign w:val="bottom"/>
            <w:tcBorders>
              <w:bottom w:val="single" w:sz="8" w:color="0000EE"/>
            </w:tcBorders>
            <w:gridSpan w:val="2"/>
          </w:tcPr>
          <w:p>
            <w:pPr>
              <w:spacing w:after="0" w:line="209" w:lineRule="exact"/>
              <w:rPr>
                <w:rFonts w:ascii="Arial" w:cs="Arial" w:eastAsia="Arial" w:hAnsi="Arial"/>
                <w:sz w:val="20"/>
                <w:szCs w:val="20"/>
                <w:color w:val="0000EE"/>
                <w:w w:val="83"/>
              </w:rPr>
            </w:pPr>
            <w:hyperlink w:anchor="page2">
              <w:r>
                <w:rPr>
                  <w:rFonts w:ascii="Arial" w:cs="Arial" w:eastAsia="Arial" w:hAnsi="Arial"/>
                  <w:sz w:val="20"/>
                  <w:szCs w:val="20"/>
                  <w:color w:val="0000EE"/>
                  <w:w w:val="83"/>
                </w:rPr>
                <w:t>Business</w:t>
              </w:r>
            </w:hyperlink>
          </w:p>
        </w:tc>
        <w:tc>
          <w:tcPr>
            <w:tcW w:w="1860" w:type="dxa"/>
            <w:vAlign w:val="bottom"/>
            <w:gridSpan w:val="6"/>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0" w:type="dxa"/>
            <w:vAlign w:val="bottom"/>
            <w:gridSpan w:val="2"/>
          </w:tcPr>
          <w:p>
            <w:pPr>
              <w:jc w:val="center"/>
              <w:ind w:left="4361"/>
              <w:spacing w:after="0" w:line="209" w:lineRule="exact"/>
              <w:rPr>
                <w:sz w:val="20"/>
                <w:szCs w:val="20"/>
                <w:color w:val="auto"/>
              </w:rPr>
            </w:pPr>
            <w:r>
              <w:rPr>
                <w:rFonts w:ascii="Arial" w:cs="Arial" w:eastAsia="Arial" w:hAnsi="Arial"/>
                <w:sz w:val="20"/>
                <w:szCs w:val="20"/>
                <w:color w:val="auto"/>
                <w:w w:val="89"/>
              </w:rPr>
              <w:t>3</w:t>
            </w:r>
          </w:p>
        </w:tc>
      </w:tr>
      <w:tr>
        <w:trPr>
          <w:trHeight w:val="210"/>
        </w:trPr>
        <w:tc>
          <w:tcPr>
            <w:tcW w:w="420" w:type="dxa"/>
            <w:vAlign w:val="bottom"/>
          </w:tcPr>
          <w:p>
            <w:pPr>
              <w:spacing w:after="0"/>
              <w:rPr>
                <w:sz w:val="18"/>
                <w:szCs w:val="18"/>
                <w:color w:val="auto"/>
              </w:rPr>
            </w:pPr>
          </w:p>
        </w:tc>
        <w:tc>
          <w:tcPr>
            <w:tcW w:w="280" w:type="dxa"/>
            <w:vAlign w:val="bottom"/>
            <w:gridSpan w:val="2"/>
          </w:tcPr>
          <w:p>
            <w:pPr>
              <w:jc w:val="right"/>
              <w:spacing w:after="0" w:line="209" w:lineRule="exact"/>
              <w:rPr>
                <w:rFonts w:ascii="Arial" w:cs="Arial" w:eastAsia="Arial" w:hAnsi="Arial"/>
                <w:sz w:val="20"/>
                <w:szCs w:val="20"/>
                <w:color w:val="0000EE"/>
                <w:w w:val="86"/>
              </w:rPr>
            </w:pPr>
            <w:hyperlink w:anchor="page13">
              <w:r>
                <w:rPr>
                  <w:rFonts w:ascii="Arial" w:cs="Arial" w:eastAsia="Arial" w:hAnsi="Arial"/>
                  <w:sz w:val="20"/>
                  <w:szCs w:val="20"/>
                  <w:color w:val="0000EE"/>
                  <w:w w:val="86"/>
                </w:rPr>
                <w:t>1A.</w:t>
              </w:r>
            </w:hyperlink>
          </w:p>
        </w:tc>
        <w:tc>
          <w:tcPr>
            <w:tcW w:w="300" w:type="dxa"/>
            <w:vAlign w:val="bottom"/>
          </w:tcPr>
          <w:p>
            <w:pPr>
              <w:spacing w:after="0"/>
              <w:rPr>
                <w:sz w:val="18"/>
                <w:szCs w:val="18"/>
                <w:color w:val="auto"/>
              </w:rPr>
            </w:pPr>
          </w:p>
        </w:tc>
        <w:tc>
          <w:tcPr>
            <w:tcW w:w="2560" w:type="dxa"/>
            <w:vAlign w:val="bottom"/>
            <w:gridSpan w:val="8"/>
          </w:tcPr>
          <w:p>
            <w:pPr>
              <w:spacing w:after="0" w:line="209" w:lineRule="exact"/>
              <w:rPr>
                <w:rFonts w:ascii="Arial" w:cs="Arial" w:eastAsia="Arial" w:hAnsi="Arial"/>
                <w:sz w:val="20"/>
                <w:szCs w:val="20"/>
                <w:color w:val="0000EE"/>
              </w:rPr>
            </w:pPr>
            <w:hyperlink w:anchor="page13">
              <w:r>
                <w:rPr>
                  <w:rFonts w:ascii="Arial" w:cs="Arial" w:eastAsia="Arial" w:hAnsi="Arial"/>
                  <w:sz w:val="20"/>
                  <w:szCs w:val="20"/>
                  <w:color w:val="0000EE"/>
                </w:rPr>
                <w:t>Risk Factors</w:t>
              </w:r>
            </w:hyperlink>
          </w:p>
        </w:tc>
        <w:tc>
          <w:tcPr>
            <w:tcW w:w="7740" w:type="dxa"/>
            <w:vAlign w:val="bottom"/>
            <w:gridSpan w:val="4"/>
          </w:tcPr>
          <w:p>
            <w:pPr>
              <w:jc w:val="center"/>
              <w:ind w:left="6481"/>
              <w:spacing w:after="0" w:line="209" w:lineRule="exact"/>
              <w:rPr>
                <w:sz w:val="20"/>
                <w:szCs w:val="20"/>
                <w:color w:val="auto"/>
              </w:rPr>
            </w:pPr>
            <w:r>
              <w:rPr>
                <w:rFonts w:ascii="Arial" w:cs="Arial" w:eastAsia="Arial" w:hAnsi="Arial"/>
                <w:sz w:val="20"/>
                <w:szCs w:val="20"/>
                <w:color w:val="auto"/>
                <w:w w:val="89"/>
              </w:rPr>
              <w:t>19</w:t>
            </w: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740" w:type="dxa"/>
            <w:vAlign w:val="bottom"/>
            <w:gridSpan w:val="4"/>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280" w:type="dxa"/>
            <w:vAlign w:val="bottom"/>
            <w:gridSpan w:val="2"/>
          </w:tcPr>
          <w:p>
            <w:pPr>
              <w:jc w:val="right"/>
              <w:spacing w:after="0" w:line="209" w:lineRule="exact"/>
              <w:rPr>
                <w:rFonts w:ascii="Arial" w:cs="Arial" w:eastAsia="Arial" w:hAnsi="Arial"/>
                <w:sz w:val="20"/>
                <w:szCs w:val="20"/>
                <w:color w:val="0000EE"/>
                <w:w w:val="86"/>
              </w:rPr>
            </w:pPr>
            <w:hyperlink w:anchor="page19">
              <w:r>
                <w:rPr>
                  <w:rFonts w:ascii="Arial" w:cs="Arial" w:eastAsia="Arial" w:hAnsi="Arial"/>
                  <w:sz w:val="20"/>
                  <w:szCs w:val="20"/>
                  <w:color w:val="0000EE"/>
                  <w:w w:val="86"/>
                </w:rPr>
                <w:t>1B.</w:t>
              </w:r>
            </w:hyperlink>
          </w:p>
        </w:tc>
        <w:tc>
          <w:tcPr>
            <w:tcW w:w="300" w:type="dxa"/>
            <w:vAlign w:val="bottom"/>
          </w:tcPr>
          <w:p>
            <w:pPr>
              <w:spacing w:after="0"/>
              <w:rPr>
                <w:sz w:val="18"/>
                <w:szCs w:val="18"/>
                <w:color w:val="auto"/>
              </w:rPr>
            </w:pPr>
          </w:p>
        </w:tc>
        <w:tc>
          <w:tcPr>
            <w:tcW w:w="2560" w:type="dxa"/>
            <w:vAlign w:val="bottom"/>
            <w:gridSpan w:val="8"/>
          </w:tcPr>
          <w:p>
            <w:pPr>
              <w:spacing w:after="0" w:line="209" w:lineRule="exact"/>
              <w:rPr>
                <w:rFonts w:ascii="Arial" w:cs="Arial" w:eastAsia="Arial" w:hAnsi="Arial"/>
                <w:sz w:val="20"/>
                <w:szCs w:val="20"/>
                <w:color w:val="0000EE"/>
              </w:rPr>
            </w:pPr>
            <w:hyperlink w:anchor="page19">
              <w:r>
                <w:rPr>
                  <w:rFonts w:ascii="Arial" w:cs="Arial" w:eastAsia="Arial" w:hAnsi="Arial"/>
                  <w:sz w:val="20"/>
                  <w:szCs w:val="20"/>
                  <w:color w:val="0000EE"/>
                </w:rPr>
                <w:t>Unresolved Staff Comments</w:t>
              </w:r>
            </w:hyperlink>
          </w:p>
        </w:tc>
        <w:tc>
          <w:tcPr>
            <w:tcW w:w="7740" w:type="dxa"/>
            <w:vAlign w:val="bottom"/>
            <w:gridSpan w:val="4"/>
          </w:tcPr>
          <w:p>
            <w:pPr>
              <w:jc w:val="center"/>
              <w:ind w:left="6481"/>
              <w:spacing w:after="0" w:line="209" w:lineRule="exact"/>
              <w:rPr>
                <w:sz w:val="20"/>
                <w:szCs w:val="20"/>
                <w:color w:val="auto"/>
              </w:rPr>
            </w:pPr>
            <w:r>
              <w:rPr>
                <w:rFonts w:ascii="Arial" w:cs="Arial" w:eastAsia="Arial" w:hAnsi="Arial"/>
                <w:sz w:val="20"/>
                <w:szCs w:val="20"/>
                <w:color w:val="auto"/>
                <w:w w:val="89"/>
              </w:rPr>
              <w:t>29</w:t>
            </w:r>
          </w:p>
        </w:tc>
      </w:tr>
      <w:tr>
        <w:trPr>
          <w:trHeight w:val="210"/>
        </w:trPr>
        <w:tc>
          <w:tcPr>
            <w:tcW w:w="420" w:type="dxa"/>
            <w:vAlign w:val="bottom"/>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bottom w:val="single" w:sz="8" w:color="0000EE"/>
            </w:tcBorders>
          </w:tcPr>
          <w:p>
            <w:pPr>
              <w:jc w:val="right"/>
              <w:spacing w:after="0" w:line="209" w:lineRule="exact"/>
              <w:rPr>
                <w:rFonts w:ascii="Arial" w:cs="Arial" w:eastAsia="Arial" w:hAnsi="Arial"/>
                <w:sz w:val="20"/>
                <w:szCs w:val="20"/>
                <w:color w:val="0000EE"/>
                <w:w w:val="83"/>
              </w:rPr>
            </w:pPr>
            <w:hyperlink w:anchor="page19">
              <w:r>
                <w:rPr>
                  <w:rFonts w:ascii="Arial" w:cs="Arial" w:eastAsia="Arial" w:hAnsi="Arial"/>
                  <w:sz w:val="20"/>
                  <w:szCs w:val="20"/>
                  <w:color w:val="0000EE"/>
                  <w:w w:val="83"/>
                </w:rPr>
                <w:t>2.</w:t>
              </w:r>
            </w:hyperlink>
          </w:p>
        </w:tc>
        <w:tc>
          <w:tcPr>
            <w:tcW w:w="300" w:type="dxa"/>
            <w:vAlign w:val="bottom"/>
          </w:tcPr>
          <w:p>
            <w:pPr>
              <w:spacing w:after="0"/>
              <w:rPr>
                <w:sz w:val="18"/>
                <w:szCs w:val="18"/>
                <w:color w:val="auto"/>
              </w:rPr>
            </w:pPr>
          </w:p>
        </w:tc>
        <w:tc>
          <w:tcPr>
            <w:tcW w:w="800" w:type="dxa"/>
            <w:vAlign w:val="bottom"/>
            <w:tcBorders>
              <w:top w:val="single" w:sz="8" w:color="0000EE"/>
              <w:bottom w:val="single" w:sz="8" w:color="0000EE"/>
            </w:tcBorders>
            <w:gridSpan w:val="3"/>
          </w:tcPr>
          <w:p>
            <w:pPr>
              <w:spacing w:after="0" w:line="209" w:lineRule="exact"/>
              <w:rPr>
                <w:rFonts w:ascii="Arial" w:cs="Arial" w:eastAsia="Arial" w:hAnsi="Arial"/>
                <w:sz w:val="20"/>
                <w:szCs w:val="20"/>
                <w:color w:val="0000EE"/>
                <w:w w:val="85"/>
              </w:rPr>
            </w:pPr>
            <w:hyperlink w:anchor="page19">
              <w:r>
                <w:rPr>
                  <w:rFonts w:ascii="Arial" w:cs="Arial" w:eastAsia="Arial" w:hAnsi="Arial"/>
                  <w:sz w:val="20"/>
                  <w:szCs w:val="20"/>
                  <w:color w:val="0000EE"/>
                  <w:w w:val="85"/>
                </w:rPr>
                <w:t>Properties</w:t>
              </w:r>
            </w:hyperlink>
          </w:p>
        </w:tc>
        <w:tc>
          <w:tcPr>
            <w:tcW w:w="1440" w:type="dxa"/>
            <w:vAlign w:val="bottom"/>
            <w:tcBorders>
              <w:top w:val="single" w:sz="8" w:color="0000EE"/>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7740" w:type="dxa"/>
            <w:vAlign w:val="bottom"/>
            <w:gridSpan w:val="4"/>
          </w:tcPr>
          <w:p>
            <w:pPr>
              <w:jc w:val="center"/>
              <w:ind w:left="6481"/>
              <w:spacing w:after="0" w:line="209" w:lineRule="exact"/>
              <w:rPr>
                <w:sz w:val="20"/>
                <w:szCs w:val="20"/>
                <w:color w:val="auto"/>
              </w:rPr>
            </w:pPr>
            <w:r>
              <w:rPr>
                <w:rFonts w:ascii="Arial" w:cs="Arial" w:eastAsia="Arial" w:hAnsi="Arial"/>
                <w:sz w:val="20"/>
                <w:szCs w:val="20"/>
                <w:color w:val="auto"/>
                <w:w w:val="89"/>
              </w:rPr>
              <w:t>29</w:t>
            </w:r>
          </w:p>
        </w:tc>
      </w:tr>
      <w:tr>
        <w:trPr>
          <w:trHeight w:val="210"/>
        </w:trPr>
        <w:tc>
          <w:tcPr>
            <w:tcW w:w="540" w:type="dxa"/>
            <w:vAlign w:val="bottom"/>
            <w:gridSpan w:val="2"/>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19">
              <w:r>
                <w:rPr>
                  <w:rFonts w:ascii="Arial" w:cs="Arial" w:eastAsia="Arial" w:hAnsi="Arial"/>
                  <w:sz w:val="20"/>
                  <w:szCs w:val="20"/>
                  <w:color w:val="0000EE"/>
                  <w:w w:val="83"/>
                </w:rPr>
                <w:t>3.</w:t>
              </w:r>
            </w:hyperlink>
          </w:p>
        </w:tc>
        <w:tc>
          <w:tcPr>
            <w:tcW w:w="300" w:type="dxa"/>
            <w:vAlign w:val="bottom"/>
          </w:tcPr>
          <w:p>
            <w:pPr>
              <w:spacing w:after="0"/>
              <w:rPr>
                <w:sz w:val="18"/>
                <w:szCs w:val="18"/>
                <w:color w:val="auto"/>
              </w:rPr>
            </w:pPr>
          </w:p>
        </w:tc>
        <w:tc>
          <w:tcPr>
            <w:tcW w:w="2560" w:type="dxa"/>
            <w:vAlign w:val="bottom"/>
            <w:gridSpan w:val="8"/>
          </w:tcPr>
          <w:p>
            <w:pPr>
              <w:spacing w:after="0" w:line="209" w:lineRule="exact"/>
              <w:rPr>
                <w:rFonts w:ascii="Arial" w:cs="Arial" w:eastAsia="Arial" w:hAnsi="Arial"/>
                <w:sz w:val="20"/>
                <w:szCs w:val="20"/>
                <w:color w:val="0000EE"/>
              </w:rPr>
            </w:pPr>
            <w:hyperlink w:anchor="page19">
              <w:r>
                <w:rPr>
                  <w:rFonts w:ascii="Arial" w:cs="Arial" w:eastAsia="Arial" w:hAnsi="Arial"/>
                  <w:sz w:val="20"/>
                  <w:szCs w:val="20"/>
                  <w:color w:val="0000EE"/>
                </w:rPr>
                <w:t>Legal Proceedings</w:t>
              </w:r>
            </w:hyperlink>
          </w:p>
        </w:tc>
        <w:tc>
          <w:tcPr>
            <w:tcW w:w="7740" w:type="dxa"/>
            <w:vAlign w:val="bottom"/>
            <w:gridSpan w:val="4"/>
          </w:tcPr>
          <w:p>
            <w:pPr>
              <w:jc w:val="center"/>
              <w:ind w:left="6481"/>
              <w:spacing w:after="0" w:line="209" w:lineRule="exact"/>
              <w:rPr>
                <w:sz w:val="20"/>
                <w:szCs w:val="20"/>
                <w:color w:val="auto"/>
              </w:rPr>
            </w:pPr>
            <w:r>
              <w:rPr>
                <w:rFonts w:ascii="Arial" w:cs="Arial" w:eastAsia="Arial" w:hAnsi="Arial"/>
                <w:sz w:val="20"/>
                <w:szCs w:val="20"/>
                <w:color w:val="auto"/>
                <w:w w:val="89"/>
              </w:rPr>
              <w:t>29</w:t>
            </w:r>
          </w:p>
        </w:tc>
      </w:tr>
      <w:tr>
        <w:trPr>
          <w:trHeight w:val="20"/>
        </w:trPr>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740" w:type="dxa"/>
            <w:vAlign w:val="bottom"/>
            <w:gridSpan w:val="4"/>
          </w:tcPr>
          <w:p>
            <w:pPr>
              <w:spacing w:after="0" w:line="20" w:lineRule="exact"/>
              <w:rPr>
                <w:sz w:val="1"/>
                <w:szCs w:val="1"/>
                <w:color w:val="auto"/>
              </w:rPr>
            </w:pPr>
          </w:p>
        </w:tc>
      </w:tr>
      <w:tr>
        <w:trPr>
          <w:trHeight w:val="210"/>
        </w:trPr>
        <w:tc>
          <w:tcPr>
            <w:tcW w:w="540" w:type="dxa"/>
            <w:vAlign w:val="bottom"/>
            <w:gridSpan w:val="2"/>
          </w:tcPr>
          <w:p>
            <w:pPr>
              <w:spacing w:after="0"/>
              <w:rPr>
                <w:sz w:val="18"/>
                <w:szCs w:val="18"/>
                <w:color w:val="auto"/>
              </w:rPr>
            </w:pPr>
          </w:p>
        </w:tc>
        <w:tc>
          <w:tcPr>
            <w:tcW w:w="160" w:type="dxa"/>
            <w:vAlign w:val="bottom"/>
            <w:tcBorders>
              <w:bottom w:val="single" w:sz="8" w:color="0000EE"/>
            </w:tcBorders>
          </w:tcPr>
          <w:p>
            <w:pPr>
              <w:jc w:val="right"/>
              <w:spacing w:after="0" w:line="209" w:lineRule="exact"/>
              <w:rPr>
                <w:rFonts w:ascii="Arial" w:cs="Arial" w:eastAsia="Arial" w:hAnsi="Arial"/>
                <w:sz w:val="20"/>
                <w:szCs w:val="20"/>
                <w:color w:val="0000EE"/>
                <w:w w:val="83"/>
              </w:rPr>
            </w:pPr>
            <w:hyperlink w:anchor="page21">
              <w:r>
                <w:rPr>
                  <w:rFonts w:ascii="Arial" w:cs="Arial" w:eastAsia="Arial" w:hAnsi="Arial"/>
                  <w:sz w:val="20"/>
                  <w:szCs w:val="20"/>
                  <w:color w:val="0000EE"/>
                  <w:w w:val="83"/>
                </w:rPr>
                <w:t>4.</w:t>
              </w:r>
            </w:hyperlink>
          </w:p>
        </w:tc>
        <w:tc>
          <w:tcPr>
            <w:tcW w:w="300" w:type="dxa"/>
            <w:vAlign w:val="bottom"/>
          </w:tcPr>
          <w:p>
            <w:pPr>
              <w:spacing w:after="0"/>
              <w:rPr>
                <w:sz w:val="18"/>
                <w:szCs w:val="18"/>
                <w:color w:val="auto"/>
              </w:rPr>
            </w:pPr>
          </w:p>
        </w:tc>
        <w:tc>
          <w:tcPr>
            <w:tcW w:w="1940" w:type="dxa"/>
            <w:vAlign w:val="bottom"/>
            <w:tcBorders>
              <w:bottom w:val="single" w:sz="8" w:color="0000EE"/>
            </w:tcBorders>
            <w:gridSpan w:val="6"/>
          </w:tcPr>
          <w:p>
            <w:pPr>
              <w:spacing w:after="0" w:line="209" w:lineRule="exact"/>
              <w:rPr>
                <w:rFonts w:ascii="Arial" w:cs="Arial" w:eastAsia="Arial" w:hAnsi="Arial"/>
                <w:sz w:val="20"/>
                <w:szCs w:val="20"/>
                <w:color w:val="0000EE"/>
                <w:w w:val="89"/>
              </w:rPr>
            </w:pPr>
            <w:hyperlink w:anchor="page21">
              <w:r>
                <w:rPr>
                  <w:rFonts w:ascii="Arial" w:cs="Arial" w:eastAsia="Arial" w:hAnsi="Arial"/>
                  <w:sz w:val="20"/>
                  <w:szCs w:val="20"/>
                  <w:color w:val="0000EE"/>
                  <w:w w:val="89"/>
                </w:rPr>
                <w:t>Mine Safety Disclosures</w:t>
              </w:r>
            </w:hyperlink>
          </w:p>
        </w:tc>
        <w:tc>
          <w:tcPr>
            <w:tcW w:w="620" w:type="dxa"/>
            <w:vAlign w:val="bottom"/>
            <w:gridSpan w:val="2"/>
          </w:tcPr>
          <w:p>
            <w:pPr>
              <w:spacing w:after="0"/>
              <w:rPr>
                <w:sz w:val="18"/>
                <w:szCs w:val="18"/>
                <w:color w:val="auto"/>
              </w:rPr>
            </w:pPr>
          </w:p>
        </w:tc>
        <w:tc>
          <w:tcPr>
            <w:tcW w:w="7740" w:type="dxa"/>
            <w:vAlign w:val="bottom"/>
            <w:gridSpan w:val="4"/>
          </w:tcPr>
          <w:p>
            <w:pPr>
              <w:jc w:val="center"/>
              <w:ind w:left="6481"/>
              <w:spacing w:after="0" w:line="209" w:lineRule="exact"/>
              <w:rPr>
                <w:sz w:val="20"/>
                <w:szCs w:val="20"/>
                <w:color w:val="auto"/>
              </w:rPr>
            </w:pPr>
            <w:r>
              <w:rPr>
                <w:rFonts w:ascii="Arial" w:cs="Arial" w:eastAsia="Arial" w:hAnsi="Arial"/>
                <w:sz w:val="20"/>
                <w:szCs w:val="20"/>
                <w:color w:val="auto"/>
                <w:w w:val="89"/>
              </w:rPr>
              <w:t>32</w:t>
            </w:r>
          </w:p>
        </w:tc>
      </w:tr>
    </w:tbl>
    <w:p>
      <w:pPr>
        <w:spacing w:after="0" w:line="234" w:lineRule="exact"/>
        <w:rPr>
          <w:sz w:val="20"/>
          <w:szCs w:val="20"/>
          <w:color w:val="auto"/>
        </w:rPr>
      </w:pPr>
    </w:p>
    <w:p>
      <w:pPr>
        <w:ind w:left="5040"/>
        <w:spacing w:after="0"/>
        <w:rPr>
          <w:rFonts w:ascii="Arial" w:cs="Arial" w:eastAsia="Arial" w:hAnsi="Arial"/>
          <w:sz w:val="20"/>
          <w:szCs w:val="20"/>
          <w:b w:val="1"/>
          <w:bCs w:val="1"/>
          <w:u w:val="single" w:color="auto"/>
          <w:color w:val="0000EE"/>
        </w:rPr>
      </w:pPr>
      <w:hyperlink w:anchor="page21">
        <w:r>
          <w:rPr>
            <w:rFonts w:ascii="Arial" w:cs="Arial" w:eastAsia="Arial" w:hAnsi="Arial"/>
            <w:sz w:val="20"/>
            <w:szCs w:val="20"/>
            <w:b w:val="1"/>
            <w:bCs w:val="1"/>
            <w:u w:val="single" w:color="auto"/>
            <w:color w:val="0000EE"/>
          </w:rPr>
          <w:t>PART II</w:t>
        </w:r>
      </w:hyperlink>
    </w:p>
    <w:p>
      <w:pPr>
        <w:spacing w:after="0" w:line="235" w:lineRule="exact"/>
        <w:rPr>
          <w:sz w:val="20"/>
          <w:szCs w:val="20"/>
          <w:color w:val="auto"/>
        </w:rPr>
      </w:pPr>
    </w:p>
    <w:p>
      <w:pPr>
        <w:ind w:left="1000" w:hanging="452"/>
        <w:spacing w:after="0"/>
        <w:tabs>
          <w:tab w:leader="none" w:pos="1000" w:val="left"/>
        </w:tabs>
        <w:numPr>
          <w:ilvl w:val="0"/>
          <w:numId w:val="3"/>
        </w:numPr>
        <w:rPr>
          <w:rFonts w:ascii="Arial" w:cs="Arial" w:eastAsia="Arial" w:hAnsi="Arial"/>
          <w:sz w:val="20"/>
          <w:szCs w:val="20"/>
          <w:u w:val="single" w:color="auto"/>
          <w:color w:val="0000EE"/>
        </w:rPr>
      </w:pPr>
      <w:hyperlink w:anchor="page21">
        <w:r>
          <w:rPr>
            <w:rFonts w:ascii="Arial" w:cs="Arial" w:eastAsia="Arial" w:hAnsi="Arial"/>
            <w:sz w:val="20"/>
            <w:szCs w:val="20"/>
            <w:u w:val="single" w:color="auto"/>
            <w:color w:val="0000EE"/>
          </w:rPr>
          <w:t>Market for the Registrant’s Common Equity, Related Stockholder Matters and Issuer Purchases of Equity</w:t>
        </w:r>
      </w:hyperlink>
    </w:p>
    <w:tbl>
      <w:tblPr>
        <w:tblLayout w:type="fixed"/>
        <w:tblInd w:w="0" w:type="dxa"/>
        <w:tblCellMar>
          <w:top w:w="0" w:type="dxa"/>
          <w:left w:w="0" w:type="dxa"/>
          <w:bottom w:w="0" w:type="dxa"/>
          <w:right w:w="0" w:type="dxa"/>
        </w:tblCellMar>
      </w:tblPr>
      <w:tr>
        <w:trPr>
          <w:trHeight w:val="20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206" w:lineRule="exact"/>
              <w:rPr>
                <w:rFonts w:ascii="Arial" w:cs="Arial" w:eastAsia="Arial" w:hAnsi="Arial"/>
                <w:sz w:val="20"/>
                <w:szCs w:val="20"/>
                <w:color w:val="0000EE"/>
                <w:w w:val="86"/>
              </w:rPr>
            </w:pPr>
            <w:hyperlink w:anchor="page21">
              <w:r>
                <w:rPr>
                  <w:rFonts w:ascii="Arial" w:cs="Arial" w:eastAsia="Arial" w:hAnsi="Arial"/>
                  <w:sz w:val="20"/>
                  <w:szCs w:val="20"/>
                  <w:color w:val="0000EE"/>
                  <w:w w:val="86"/>
                </w:rPr>
                <w:t>Securities</w:t>
              </w:r>
            </w:hyperlink>
          </w:p>
        </w:tc>
        <w:tc>
          <w:tcPr>
            <w:tcW w:w="7860" w:type="dxa"/>
            <w:vAlign w:val="bottom"/>
            <w:gridSpan w:val="18"/>
          </w:tcPr>
          <w:p>
            <w:pPr>
              <w:spacing w:after="0"/>
              <w:rPr>
                <w:sz w:val="17"/>
                <w:szCs w:val="17"/>
                <w:color w:val="auto"/>
              </w:rPr>
            </w:pPr>
          </w:p>
        </w:tc>
        <w:tc>
          <w:tcPr>
            <w:tcW w:w="1640" w:type="dxa"/>
            <w:vAlign w:val="bottom"/>
          </w:tcPr>
          <w:p>
            <w:pPr>
              <w:jc w:val="right"/>
              <w:ind w:right="541"/>
              <w:spacing w:after="0" w:line="206" w:lineRule="exact"/>
              <w:rPr>
                <w:sz w:val="20"/>
                <w:szCs w:val="20"/>
                <w:color w:val="auto"/>
              </w:rPr>
            </w:pPr>
            <w:r>
              <w:rPr>
                <w:rFonts w:ascii="Arial" w:cs="Arial" w:eastAsia="Arial" w:hAnsi="Arial"/>
                <w:sz w:val="20"/>
                <w:szCs w:val="20"/>
                <w:color w:val="auto"/>
              </w:rPr>
              <w:t>32</w:t>
            </w:r>
          </w:p>
        </w:tc>
      </w:tr>
      <w:tr>
        <w:trPr>
          <w:trHeight w:val="210"/>
        </w:trPr>
        <w:tc>
          <w:tcPr>
            <w:tcW w:w="540" w:type="dxa"/>
            <w:vAlign w:val="bottom"/>
            <w:gridSpan w:val="5"/>
          </w:tcPr>
          <w:p>
            <w:pPr>
              <w:spacing w:after="0"/>
              <w:rPr>
                <w:sz w:val="18"/>
                <w:szCs w:val="18"/>
                <w:color w:val="auto"/>
              </w:rPr>
            </w:pPr>
          </w:p>
        </w:tc>
        <w:tc>
          <w:tcPr>
            <w:tcW w:w="180" w:type="dxa"/>
            <w:vAlign w:val="bottom"/>
          </w:tcPr>
          <w:p>
            <w:pPr>
              <w:jc w:val="right"/>
              <w:spacing w:after="0" w:line="209" w:lineRule="exact"/>
              <w:rPr>
                <w:rFonts w:ascii="Arial" w:cs="Arial" w:eastAsia="Arial" w:hAnsi="Arial"/>
                <w:sz w:val="20"/>
                <w:szCs w:val="20"/>
                <w:color w:val="0000EE"/>
                <w:w w:val="83"/>
              </w:rPr>
            </w:pPr>
            <w:hyperlink w:anchor="page23">
              <w:r>
                <w:rPr>
                  <w:rFonts w:ascii="Arial" w:cs="Arial" w:eastAsia="Arial" w:hAnsi="Arial"/>
                  <w:sz w:val="20"/>
                  <w:szCs w:val="20"/>
                  <w:color w:val="0000EE"/>
                  <w:w w:val="83"/>
                </w:rPr>
                <w:t>6.</w:t>
              </w:r>
            </w:hyperlink>
          </w:p>
        </w:tc>
        <w:tc>
          <w:tcPr>
            <w:tcW w:w="280" w:type="dxa"/>
            <w:vAlign w:val="bottom"/>
          </w:tcPr>
          <w:p>
            <w:pPr>
              <w:spacing w:after="0"/>
              <w:rPr>
                <w:sz w:val="18"/>
                <w:szCs w:val="18"/>
                <w:color w:val="auto"/>
              </w:rPr>
            </w:pPr>
          </w:p>
        </w:tc>
        <w:tc>
          <w:tcPr>
            <w:tcW w:w="8820" w:type="dxa"/>
            <w:vAlign w:val="bottom"/>
            <w:gridSpan w:val="21"/>
          </w:tcPr>
          <w:p>
            <w:pPr>
              <w:spacing w:after="0" w:line="209" w:lineRule="exact"/>
              <w:rPr>
                <w:rFonts w:ascii="Arial" w:cs="Arial" w:eastAsia="Arial" w:hAnsi="Arial"/>
                <w:sz w:val="20"/>
                <w:szCs w:val="20"/>
                <w:color w:val="0000EE"/>
              </w:rPr>
            </w:pPr>
            <w:hyperlink w:anchor="page23">
              <w:r>
                <w:rPr>
                  <w:rFonts w:ascii="Arial" w:cs="Arial" w:eastAsia="Arial" w:hAnsi="Arial"/>
                  <w:sz w:val="20"/>
                  <w:szCs w:val="20"/>
                  <w:color w:val="0000EE"/>
                </w:rPr>
                <w:t>Selected Financial Data</w:t>
              </w:r>
            </w:hyperlink>
          </w:p>
        </w:tc>
        <w:tc>
          <w:tcPr>
            <w:tcW w:w="164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35</w:t>
            </w: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0"/>
        </w:trPr>
        <w:tc>
          <w:tcPr>
            <w:tcW w:w="540" w:type="dxa"/>
            <w:vAlign w:val="bottom"/>
            <w:gridSpan w:val="5"/>
          </w:tcPr>
          <w:p>
            <w:pPr>
              <w:spacing w:after="0"/>
              <w:rPr>
                <w:sz w:val="18"/>
                <w:szCs w:val="18"/>
                <w:color w:val="auto"/>
              </w:rPr>
            </w:pPr>
          </w:p>
        </w:tc>
        <w:tc>
          <w:tcPr>
            <w:tcW w:w="180" w:type="dxa"/>
            <w:vAlign w:val="bottom"/>
            <w:tcBorders>
              <w:bottom w:val="single" w:sz="8" w:color="0000EE"/>
            </w:tcBorders>
          </w:tcPr>
          <w:p>
            <w:pPr>
              <w:jc w:val="right"/>
              <w:spacing w:after="0" w:line="209" w:lineRule="exact"/>
              <w:rPr>
                <w:rFonts w:ascii="Arial" w:cs="Arial" w:eastAsia="Arial" w:hAnsi="Arial"/>
                <w:sz w:val="20"/>
                <w:szCs w:val="20"/>
                <w:color w:val="0000EE"/>
                <w:w w:val="83"/>
              </w:rPr>
            </w:pPr>
            <w:hyperlink w:anchor="page24">
              <w:r>
                <w:rPr>
                  <w:rFonts w:ascii="Arial" w:cs="Arial" w:eastAsia="Arial" w:hAnsi="Arial"/>
                  <w:sz w:val="20"/>
                  <w:szCs w:val="20"/>
                  <w:color w:val="0000EE"/>
                  <w:w w:val="83"/>
                </w:rPr>
                <w:t>7.</w:t>
              </w:r>
            </w:hyperlink>
          </w:p>
        </w:tc>
        <w:tc>
          <w:tcPr>
            <w:tcW w:w="280" w:type="dxa"/>
            <w:vAlign w:val="bottom"/>
          </w:tcPr>
          <w:p>
            <w:pPr>
              <w:spacing w:after="0"/>
              <w:rPr>
                <w:sz w:val="18"/>
                <w:szCs w:val="18"/>
                <w:color w:val="auto"/>
              </w:rPr>
            </w:pPr>
          </w:p>
        </w:tc>
        <w:tc>
          <w:tcPr>
            <w:tcW w:w="7100" w:type="dxa"/>
            <w:vAlign w:val="bottom"/>
            <w:tcBorders>
              <w:bottom w:val="single" w:sz="8" w:color="0000EE"/>
            </w:tcBorders>
            <w:gridSpan w:val="18"/>
          </w:tcPr>
          <w:p>
            <w:pPr>
              <w:spacing w:after="0" w:line="209" w:lineRule="exact"/>
              <w:rPr>
                <w:rFonts w:ascii="Arial" w:cs="Arial" w:eastAsia="Arial" w:hAnsi="Arial"/>
                <w:sz w:val="20"/>
                <w:szCs w:val="20"/>
                <w:color w:val="0000EE"/>
                <w:w w:val="89"/>
              </w:rPr>
            </w:pPr>
            <w:hyperlink w:anchor="page24">
              <w:r>
                <w:rPr>
                  <w:rFonts w:ascii="Arial" w:cs="Arial" w:eastAsia="Arial" w:hAnsi="Arial"/>
                  <w:sz w:val="20"/>
                  <w:szCs w:val="20"/>
                  <w:color w:val="0000EE"/>
                  <w:w w:val="89"/>
                </w:rPr>
                <w:t>Management’s Discussion and Analysis of Financial Condition and Results of Operations</w:t>
              </w:r>
            </w:hyperlink>
          </w:p>
        </w:tc>
        <w:tc>
          <w:tcPr>
            <w:tcW w:w="1720" w:type="dxa"/>
            <w:vAlign w:val="bottom"/>
            <w:gridSpan w:val="3"/>
          </w:tcPr>
          <w:p>
            <w:pPr>
              <w:spacing w:after="0"/>
              <w:rPr>
                <w:sz w:val="18"/>
                <w:szCs w:val="18"/>
                <w:color w:val="auto"/>
              </w:rPr>
            </w:pPr>
          </w:p>
        </w:tc>
        <w:tc>
          <w:tcPr>
            <w:tcW w:w="164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36</w:t>
            </w:r>
          </w:p>
        </w:tc>
      </w:tr>
      <w:tr>
        <w:trPr>
          <w:trHeight w:val="210"/>
        </w:trPr>
        <w:tc>
          <w:tcPr>
            <w:tcW w:w="400" w:type="dxa"/>
            <w:vAlign w:val="bottom"/>
          </w:tcPr>
          <w:p>
            <w:pPr>
              <w:spacing w:after="0"/>
              <w:rPr>
                <w:sz w:val="18"/>
                <w:szCs w:val="18"/>
                <w:color w:val="auto"/>
              </w:rPr>
            </w:pPr>
          </w:p>
        </w:tc>
        <w:tc>
          <w:tcPr>
            <w:tcW w:w="320" w:type="dxa"/>
            <w:vAlign w:val="bottom"/>
            <w:tcBorders>
              <w:bottom w:val="single" w:sz="8" w:color="0000EE"/>
            </w:tcBorders>
            <w:gridSpan w:val="5"/>
          </w:tcPr>
          <w:p>
            <w:pPr>
              <w:jc w:val="right"/>
              <w:spacing w:after="0" w:line="209" w:lineRule="exact"/>
              <w:rPr>
                <w:rFonts w:ascii="Arial" w:cs="Arial" w:eastAsia="Arial" w:hAnsi="Arial"/>
                <w:sz w:val="20"/>
                <w:szCs w:val="20"/>
                <w:color w:val="0000EE"/>
                <w:w w:val="93"/>
              </w:rPr>
            </w:pPr>
            <w:hyperlink w:anchor="page38">
              <w:r>
                <w:rPr>
                  <w:rFonts w:ascii="Arial" w:cs="Arial" w:eastAsia="Arial" w:hAnsi="Arial"/>
                  <w:sz w:val="20"/>
                  <w:szCs w:val="20"/>
                  <w:color w:val="0000EE"/>
                  <w:w w:val="93"/>
                </w:rPr>
                <w:t>7A.</w:t>
              </w:r>
            </w:hyperlink>
          </w:p>
        </w:tc>
        <w:tc>
          <w:tcPr>
            <w:tcW w:w="280" w:type="dxa"/>
            <w:vAlign w:val="bottom"/>
          </w:tcPr>
          <w:p>
            <w:pPr>
              <w:spacing w:after="0"/>
              <w:rPr>
                <w:sz w:val="18"/>
                <w:szCs w:val="18"/>
                <w:color w:val="auto"/>
              </w:rPr>
            </w:pPr>
          </w:p>
        </w:tc>
        <w:tc>
          <w:tcPr>
            <w:tcW w:w="4740" w:type="dxa"/>
            <w:vAlign w:val="bottom"/>
            <w:tcBorders>
              <w:bottom w:val="single" w:sz="8" w:color="0000EE"/>
            </w:tcBorders>
            <w:gridSpan w:val="14"/>
          </w:tcPr>
          <w:p>
            <w:pPr>
              <w:spacing w:after="0" w:line="209" w:lineRule="exact"/>
              <w:rPr>
                <w:rFonts w:ascii="Arial" w:cs="Arial" w:eastAsia="Arial" w:hAnsi="Arial"/>
                <w:sz w:val="20"/>
                <w:szCs w:val="20"/>
                <w:color w:val="0000EE"/>
                <w:w w:val="90"/>
              </w:rPr>
            </w:pPr>
            <w:hyperlink w:anchor="page38">
              <w:r>
                <w:rPr>
                  <w:rFonts w:ascii="Arial" w:cs="Arial" w:eastAsia="Arial" w:hAnsi="Arial"/>
                  <w:sz w:val="20"/>
                  <w:szCs w:val="20"/>
                  <w:color w:val="0000EE"/>
                  <w:w w:val="90"/>
                </w:rPr>
                <w:t>Quantitative and Qualitative Disclosures about Market Risk</w:t>
              </w:r>
            </w:hyperlink>
          </w:p>
        </w:tc>
        <w:tc>
          <w:tcPr>
            <w:tcW w:w="4080" w:type="dxa"/>
            <w:vAlign w:val="bottom"/>
            <w:gridSpan w:val="7"/>
          </w:tcPr>
          <w:p>
            <w:pPr>
              <w:spacing w:after="0"/>
              <w:rPr>
                <w:sz w:val="18"/>
                <w:szCs w:val="18"/>
                <w:color w:val="auto"/>
              </w:rPr>
            </w:pPr>
          </w:p>
        </w:tc>
        <w:tc>
          <w:tcPr>
            <w:tcW w:w="164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58</w:t>
            </w:r>
          </w:p>
        </w:tc>
      </w:tr>
      <w:tr>
        <w:trPr>
          <w:trHeight w:val="210"/>
        </w:trPr>
        <w:tc>
          <w:tcPr>
            <w:tcW w:w="540" w:type="dxa"/>
            <w:vAlign w:val="bottom"/>
            <w:gridSpan w:val="5"/>
          </w:tcPr>
          <w:p>
            <w:pPr>
              <w:spacing w:after="0"/>
              <w:rPr>
                <w:sz w:val="18"/>
                <w:szCs w:val="18"/>
                <w:color w:val="auto"/>
              </w:rPr>
            </w:pPr>
          </w:p>
        </w:tc>
        <w:tc>
          <w:tcPr>
            <w:tcW w:w="180" w:type="dxa"/>
            <w:vAlign w:val="bottom"/>
            <w:tcBorders>
              <w:bottom w:val="single" w:sz="8" w:color="0000EE"/>
            </w:tcBorders>
          </w:tcPr>
          <w:p>
            <w:pPr>
              <w:jc w:val="right"/>
              <w:spacing w:after="0" w:line="209" w:lineRule="exact"/>
              <w:rPr>
                <w:rFonts w:ascii="Arial" w:cs="Arial" w:eastAsia="Arial" w:hAnsi="Arial"/>
                <w:sz w:val="20"/>
                <w:szCs w:val="20"/>
                <w:color w:val="0000EE"/>
                <w:w w:val="83"/>
              </w:rPr>
            </w:pPr>
            <w:hyperlink w:anchor="page39">
              <w:r>
                <w:rPr>
                  <w:rFonts w:ascii="Arial" w:cs="Arial" w:eastAsia="Arial" w:hAnsi="Arial"/>
                  <w:sz w:val="20"/>
                  <w:szCs w:val="20"/>
                  <w:color w:val="0000EE"/>
                  <w:w w:val="83"/>
                </w:rPr>
                <w:t>8.</w:t>
              </w:r>
            </w:hyperlink>
          </w:p>
        </w:tc>
        <w:tc>
          <w:tcPr>
            <w:tcW w:w="280" w:type="dxa"/>
            <w:vAlign w:val="bottom"/>
          </w:tcPr>
          <w:p>
            <w:pPr>
              <w:spacing w:after="0"/>
              <w:rPr>
                <w:sz w:val="18"/>
                <w:szCs w:val="18"/>
                <w:color w:val="auto"/>
              </w:rPr>
            </w:pPr>
          </w:p>
        </w:tc>
        <w:tc>
          <w:tcPr>
            <w:tcW w:w="3660" w:type="dxa"/>
            <w:vAlign w:val="bottom"/>
            <w:tcBorders>
              <w:bottom w:val="single" w:sz="8" w:color="0000EE"/>
            </w:tcBorders>
            <w:gridSpan w:val="10"/>
          </w:tcPr>
          <w:p>
            <w:pPr>
              <w:spacing w:after="0" w:line="209" w:lineRule="exact"/>
              <w:rPr>
                <w:rFonts w:ascii="Arial" w:cs="Arial" w:eastAsia="Arial" w:hAnsi="Arial"/>
                <w:sz w:val="20"/>
                <w:szCs w:val="20"/>
                <w:color w:val="0000EE"/>
                <w:w w:val="88"/>
              </w:rPr>
            </w:pPr>
            <w:hyperlink w:anchor="page39">
              <w:r>
                <w:rPr>
                  <w:rFonts w:ascii="Arial" w:cs="Arial" w:eastAsia="Arial" w:hAnsi="Arial"/>
                  <w:sz w:val="20"/>
                  <w:szCs w:val="20"/>
                  <w:color w:val="0000EE"/>
                  <w:w w:val="88"/>
                </w:rPr>
                <w:t>Financial Statements and Supplementary Data</w:t>
              </w:r>
            </w:hyperlink>
          </w:p>
        </w:tc>
        <w:tc>
          <w:tcPr>
            <w:tcW w:w="5160" w:type="dxa"/>
            <w:vAlign w:val="bottom"/>
            <w:gridSpan w:val="11"/>
          </w:tcPr>
          <w:p>
            <w:pPr>
              <w:spacing w:after="0"/>
              <w:rPr>
                <w:sz w:val="18"/>
                <w:szCs w:val="18"/>
                <w:color w:val="auto"/>
              </w:rPr>
            </w:pPr>
          </w:p>
        </w:tc>
        <w:tc>
          <w:tcPr>
            <w:tcW w:w="164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58</w:t>
            </w:r>
          </w:p>
        </w:tc>
      </w:tr>
      <w:tr>
        <w:trPr>
          <w:trHeight w:val="210"/>
        </w:trPr>
        <w:tc>
          <w:tcPr>
            <w:tcW w:w="720" w:type="dxa"/>
            <w:vAlign w:val="bottom"/>
            <w:gridSpan w:val="6"/>
          </w:tcPr>
          <w:p>
            <w:pPr>
              <w:jc w:val="right"/>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9.</w:t>
              </w:r>
            </w:hyperlink>
          </w:p>
        </w:tc>
        <w:tc>
          <w:tcPr>
            <w:tcW w:w="280" w:type="dxa"/>
            <w:vAlign w:val="bottom"/>
          </w:tcPr>
          <w:p>
            <w:pPr>
              <w:spacing w:after="0"/>
              <w:rPr>
                <w:sz w:val="18"/>
                <w:szCs w:val="18"/>
                <w:color w:val="auto"/>
              </w:rPr>
            </w:pPr>
          </w:p>
        </w:tc>
        <w:tc>
          <w:tcPr>
            <w:tcW w:w="7120" w:type="dxa"/>
            <w:vAlign w:val="bottom"/>
            <w:tcBorders>
              <w:bottom w:val="single" w:sz="8" w:color="0000EE"/>
            </w:tcBorders>
            <w:gridSpan w:val="19"/>
          </w:tcPr>
          <w:p>
            <w:pPr>
              <w:spacing w:after="0" w:line="209" w:lineRule="exact"/>
              <w:rPr>
                <w:rFonts w:ascii="Arial" w:cs="Arial" w:eastAsia="Arial" w:hAnsi="Arial"/>
                <w:sz w:val="20"/>
                <w:szCs w:val="20"/>
                <w:color w:val="0000EE"/>
                <w:w w:val="89"/>
              </w:rPr>
            </w:pPr>
            <w:hyperlink w:anchor="page39">
              <w:r>
                <w:rPr>
                  <w:rFonts w:ascii="Arial" w:cs="Arial" w:eastAsia="Arial" w:hAnsi="Arial"/>
                  <w:sz w:val="20"/>
                  <w:szCs w:val="20"/>
                  <w:color w:val="0000EE"/>
                  <w:w w:val="89"/>
                </w:rPr>
                <w:t>Changes in and Disagreements with Accountants on Accounting and Financial Disclosure</w:t>
              </w:r>
            </w:hyperlink>
          </w:p>
        </w:tc>
        <w:tc>
          <w:tcPr>
            <w:tcW w:w="1700" w:type="dxa"/>
            <w:vAlign w:val="bottom"/>
            <w:gridSpan w:val="2"/>
          </w:tcPr>
          <w:p>
            <w:pPr>
              <w:spacing w:after="0"/>
              <w:rPr>
                <w:sz w:val="18"/>
                <w:szCs w:val="18"/>
                <w:color w:val="auto"/>
              </w:rPr>
            </w:pPr>
          </w:p>
        </w:tc>
        <w:tc>
          <w:tcPr>
            <w:tcW w:w="164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58</w:t>
            </w:r>
          </w:p>
        </w:tc>
      </w:tr>
      <w:tr>
        <w:trPr>
          <w:trHeight w:val="210"/>
        </w:trPr>
        <w:tc>
          <w:tcPr>
            <w:tcW w:w="400" w:type="dxa"/>
            <w:vAlign w:val="bottom"/>
          </w:tcPr>
          <w:p>
            <w:pPr>
              <w:spacing w:after="0"/>
              <w:rPr>
                <w:sz w:val="18"/>
                <w:szCs w:val="18"/>
                <w:color w:val="auto"/>
              </w:rPr>
            </w:pPr>
          </w:p>
        </w:tc>
        <w:tc>
          <w:tcPr>
            <w:tcW w:w="320" w:type="dxa"/>
            <w:vAlign w:val="bottom"/>
            <w:tcBorders>
              <w:bottom w:val="single" w:sz="8" w:color="0000EE"/>
            </w:tcBorders>
            <w:gridSpan w:val="5"/>
          </w:tcPr>
          <w:p>
            <w:pPr>
              <w:jc w:val="right"/>
              <w:spacing w:after="0" w:line="209" w:lineRule="exact"/>
              <w:rPr>
                <w:rFonts w:ascii="Arial" w:cs="Arial" w:eastAsia="Arial" w:hAnsi="Arial"/>
                <w:sz w:val="20"/>
                <w:szCs w:val="20"/>
                <w:color w:val="0000EE"/>
                <w:w w:val="93"/>
              </w:rPr>
            </w:pPr>
            <w:hyperlink w:anchor="page39">
              <w:r>
                <w:rPr>
                  <w:rFonts w:ascii="Arial" w:cs="Arial" w:eastAsia="Arial" w:hAnsi="Arial"/>
                  <w:sz w:val="20"/>
                  <w:szCs w:val="20"/>
                  <w:color w:val="0000EE"/>
                  <w:w w:val="93"/>
                </w:rPr>
                <w:t>9A.</w:t>
              </w:r>
            </w:hyperlink>
          </w:p>
        </w:tc>
        <w:tc>
          <w:tcPr>
            <w:tcW w:w="280" w:type="dxa"/>
            <w:vAlign w:val="bottom"/>
          </w:tcPr>
          <w:p>
            <w:pPr>
              <w:spacing w:after="0"/>
              <w:rPr>
                <w:sz w:val="18"/>
                <w:szCs w:val="18"/>
                <w:color w:val="auto"/>
              </w:rPr>
            </w:pPr>
          </w:p>
        </w:tc>
        <w:tc>
          <w:tcPr>
            <w:tcW w:w="1940" w:type="dxa"/>
            <w:vAlign w:val="bottom"/>
            <w:tcBorders>
              <w:bottom w:val="single" w:sz="8" w:color="0000EE"/>
            </w:tcBorders>
            <w:gridSpan w:val="6"/>
          </w:tcPr>
          <w:p>
            <w:pPr>
              <w:spacing w:after="0" w:line="209" w:lineRule="exact"/>
              <w:rPr>
                <w:rFonts w:ascii="Arial" w:cs="Arial" w:eastAsia="Arial" w:hAnsi="Arial"/>
                <w:sz w:val="20"/>
                <w:szCs w:val="20"/>
                <w:color w:val="0000EE"/>
                <w:w w:val="86"/>
              </w:rPr>
            </w:pPr>
            <w:hyperlink w:anchor="page39">
              <w:r>
                <w:rPr>
                  <w:rFonts w:ascii="Arial" w:cs="Arial" w:eastAsia="Arial" w:hAnsi="Arial"/>
                  <w:sz w:val="20"/>
                  <w:szCs w:val="20"/>
                  <w:color w:val="0000EE"/>
                  <w:w w:val="86"/>
                </w:rPr>
                <w:t>Controls and Procedures</w:t>
              </w:r>
            </w:hyperlink>
          </w:p>
        </w:tc>
        <w:tc>
          <w:tcPr>
            <w:tcW w:w="6880" w:type="dxa"/>
            <w:vAlign w:val="bottom"/>
            <w:gridSpan w:val="15"/>
          </w:tcPr>
          <w:p>
            <w:pPr>
              <w:spacing w:after="0"/>
              <w:rPr>
                <w:sz w:val="18"/>
                <w:szCs w:val="18"/>
                <w:color w:val="auto"/>
              </w:rPr>
            </w:pPr>
          </w:p>
        </w:tc>
        <w:tc>
          <w:tcPr>
            <w:tcW w:w="164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59</w:t>
            </w:r>
          </w:p>
        </w:tc>
      </w:tr>
      <w:tr>
        <w:trPr>
          <w:trHeight w:val="210"/>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4"/>
          </w:tcPr>
          <w:p>
            <w:pPr>
              <w:jc w:val="right"/>
              <w:spacing w:after="0" w:line="209" w:lineRule="exact"/>
              <w:rPr>
                <w:rFonts w:ascii="Arial" w:cs="Arial" w:eastAsia="Arial" w:hAnsi="Arial"/>
                <w:sz w:val="20"/>
                <w:szCs w:val="20"/>
                <w:color w:val="0000EE"/>
                <w:w w:val="86"/>
              </w:rPr>
            </w:pPr>
            <w:hyperlink w:anchor="page40">
              <w:r>
                <w:rPr>
                  <w:rFonts w:ascii="Arial" w:cs="Arial" w:eastAsia="Arial" w:hAnsi="Arial"/>
                  <w:sz w:val="20"/>
                  <w:szCs w:val="20"/>
                  <w:color w:val="0000EE"/>
                  <w:w w:val="86"/>
                </w:rPr>
                <w:t>9B.</w:t>
              </w:r>
            </w:hyperlink>
          </w:p>
        </w:tc>
        <w:tc>
          <w:tcPr>
            <w:tcW w:w="280" w:type="dxa"/>
            <w:vAlign w:val="bottom"/>
          </w:tcPr>
          <w:p>
            <w:pPr>
              <w:spacing w:after="0"/>
              <w:rPr>
                <w:sz w:val="18"/>
                <w:szCs w:val="18"/>
                <w:color w:val="auto"/>
              </w:rPr>
            </w:pPr>
          </w:p>
        </w:tc>
        <w:tc>
          <w:tcPr>
            <w:tcW w:w="8820" w:type="dxa"/>
            <w:vAlign w:val="bottom"/>
            <w:gridSpan w:val="21"/>
          </w:tcPr>
          <w:p>
            <w:pPr>
              <w:spacing w:after="0" w:line="209" w:lineRule="exact"/>
              <w:rPr>
                <w:rFonts w:ascii="Arial" w:cs="Arial" w:eastAsia="Arial" w:hAnsi="Arial"/>
                <w:sz w:val="20"/>
                <w:szCs w:val="20"/>
                <w:color w:val="0000EE"/>
              </w:rPr>
            </w:pPr>
            <w:hyperlink w:anchor="page40">
              <w:r>
                <w:rPr>
                  <w:rFonts w:ascii="Arial" w:cs="Arial" w:eastAsia="Arial" w:hAnsi="Arial"/>
                  <w:sz w:val="20"/>
                  <w:szCs w:val="20"/>
                  <w:color w:val="0000EE"/>
                </w:rPr>
                <w:t>Other Information</w:t>
              </w:r>
            </w:hyperlink>
          </w:p>
        </w:tc>
        <w:tc>
          <w:tcPr>
            <w:tcW w:w="164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61</w:t>
            </w:r>
          </w:p>
        </w:tc>
      </w:tr>
      <w:tr>
        <w:trPr>
          <w:trHeight w:val="439"/>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Borders>
              <w:bottom w:val="single" w:sz="8" w:color="0000EE"/>
            </w:tcBorders>
            <w:gridSpan w:val="5"/>
          </w:tcPr>
          <w:p>
            <w:pPr>
              <w:spacing w:after="0"/>
              <w:rPr>
                <w:rFonts w:ascii="Arial" w:cs="Arial" w:eastAsia="Arial" w:hAnsi="Arial"/>
                <w:sz w:val="20"/>
                <w:szCs w:val="20"/>
                <w:b w:val="1"/>
                <w:bCs w:val="1"/>
                <w:color w:val="0000EE"/>
              </w:rPr>
            </w:pPr>
            <w:hyperlink w:anchor="page40">
              <w:r>
                <w:rPr>
                  <w:rFonts w:ascii="Arial" w:cs="Arial" w:eastAsia="Arial" w:hAnsi="Arial"/>
                  <w:sz w:val="20"/>
                  <w:szCs w:val="20"/>
                  <w:b w:val="1"/>
                  <w:bCs w:val="1"/>
                  <w:color w:val="0000EE"/>
                </w:rPr>
                <w:t>PART III</w:t>
              </w:r>
            </w:hyperlink>
          </w:p>
        </w:tc>
        <w:tc>
          <w:tcPr>
            <w:tcW w:w="4020" w:type="dxa"/>
            <w:vAlign w:val="bottom"/>
            <w:gridSpan w:val="5"/>
          </w:tcPr>
          <w:p>
            <w:pPr>
              <w:spacing w:after="0"/>
              <w:rPr>
                <w:sz w:val="24"/>
                <w:szCs w:val="24"/>
                <w:color w:val="auto"/>
              </w:rPr>
            </w:pPr>
          </w:p>
        </w:tc>
        <w:tc>
          <w:tcPr>
            <w:tcW w:w="1640" w:type="dxa"/>
            <w:vAlign w:val="bottom"/>
          </w:tcPr>
          <w:p>
            <w:pPr>
              <w:spacing w:after="0"/>
              <w:rPr>
                <w:sz w:val="24"/>
                <w:szCs w:val="24"/>
                <w:color w:val="auto"/>
              </w:rPr>
            </w:pPr>
          </w:p>
        </w:tc>
      </w:tr>
      <w:tr>
        <w:trPr>
          <w:trHeight w:val="439"/>
        </w:trPr>
        <w:tc>
          <w:tcPr>
            <w:tcW w:w="440" w:type="dxa"/>
            <w:vAlign w:val="bottom"/>
            <w:gridSpan w:val="3"/>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20"/>
                <w:szCs w:val="20"/>
                <w:color w:val="0000EE"/>
                <w:w w:val="86"/>
              </w:rPr>
            </w:pPr>
            <w:hyperlink w:anchor="page40">
              <w:r>
                <w:rPr>
                  <w:rFonts w:ascii="Arial" w:cs="Arial" w:eastAsia="Arial" w:hAnsi="Arial"/>
                  <w:sz w:val="20"/>
                  <w:szCs w:val="20"/>
                  <w:color w:val="0000EE"/>
                  <w:w w:val="86"/>
                </w:rPr>
                <w:t>10.</w:t>
              </w:r>
            </w:hyperlink>
          </w:p>
        </w:tc>
        <w:tc>
          <w:tcPr>
            <w:tcW w:w="280" w:type="dxa"/>
            <w:vAlign w:val="bottom"/>
          </w:tcPr>
          <w:p>
            <w:pPr>
              <w:spacing w:after="0"/>
              <w:rPr>
                <w:sz w:val="24"/>
                <w:szCs w:val="24"/>
                <w:color w:val="auto"/>
              </w:rPr>
            </w:pPr>
          </w:p>
        </w:tc>
        <w:tc>
          <w:tcPr>
            <w:tcW w:w="4500" w:type="dxa"/>
            <w:vAlign w:val="bottom"/>
            <w:tcBorders>
              <w:bottom w:val="single" w:sz="8" w:color="0000EE"/>
            </w:tcBorders>
            <w:gridSpan w:val="13"/>
          </w:tcPr>
          <w:p>
            <w:pPr>
              <w:spacing w:after="0"/>
              <w:rPr>
                <w:rFonts w:ascii="Arial" w:cs="Arial" w:eastAsia="Arial" w:hAnsi="Arial"/>
                <w:sz w:val="20"/>
                <w:szCs w:val="20"/>
                <w:color w:val="0000EE"/>
                <w:w w:val="89"/>
              </w:rPr>
            </w:pPr>
            <w:hyperlink w:anchor="page40">
              <w:r>
                <w:rPr>
                  <w:rFonts w:ascii="Arial" w:cs="Arial" w:eastAsia="Arial" w:hAnsi="Arial"/>
                  <w:sz w:val="20"/>
                  <w:szCs w:val="20"/>
                  <w:color w:val="0000EE"/>
                  <w:w w:val="89"/>
                </w:rPr>
                <w:t>Directors, Executive Officers and Corporate Governance</w:t>
              </w:r>
            </w:hyperlink>
          </w:p>
        </w:tc>
        <w:tc>
          <w:tcPr>
            <w:tcW w:w="4320" w:type="dxa"/>
            <w:vAlign w:val="bottom"/>
            <w:gridSpan w:val="8"/>
          </w:tcPr>
          <w:p>
            <w:pPr>
              <w:spacing w:after="0"/>
              <w:rPr>
                <w:sz w:val="24"/>
                <w:szCs w:val="24"/>
                <w:color w:val="auto"/>
              </w:rPr>
            </w:pPr>
          </w:p>
        </w:tc>
        <w:tc>
          <w:tcPr>
            <w:tcW w:w="1640" w:type="dxa"/>
            <w:vAlign w:val="bottom"/>
          </w:tcPr>
          <w:p>
            <w:pPr>
              <w:jc w:val="right"/>
              <w:ind w:right="541"/>
              <w:spacing w:after="0"/>
              <w:rPr>
                <w:sz w:val="20"/>
                <w:szCs w:val="20"/>
                <w:color w:val="auto"/>
              </w:rPr>
            </w:pPr>
            <w:r>
              <w:rPr>
                <w:rFonts w:ascii="Arial" w:cs="Arial" w:eastAsia="Arial" w:hAnsi="Arial"/>
                <w:sz w:val="20"/>
                <w:szCs w:val="20"/>
                <w:color w:val="auto"/>
              </w:rPr>
              <w:t>61</w:t>
            </w:r>
          </w:p>
        </w:tc>
      </w:tr>
      <w:tr>
        <w:trPr>
          <w:trHeight w:val="210"/>
        </w:trPr>
        <w:tc>
          <w:tcPr>
            <w:tcW w:w="720" w:type="dxa"/>
            <w:vAlign w:val="bottom"/>
            <w:gridSpan w:val="6"/>
          </w:tcPr>
          <w:p>
            <w:pPr>
              <w:jc w:val="right"/>
              <w:spacing w:after="0" w:line="209" w:lineRule="exact"/>
              <w:rPr>
                <w:rFonts w:ascii="Arial" w:cs="Arial" w:eastAsia="Arial" w:hAnsi="Arial"/>
                <w:sz w:val="20"/>
                <w:szCs w:val="20"/>
                <w:color w:val="0000EE"/>
              </w:rPr>
            </w:pPr>
            <w:hyperlink w:anchor="page40">
              <w:r>
                <w:rPr>
                  <w:rFonts w:ascii="Arial" w:cs="Arial" w:eastAsia="Arial" w:hAnsi="Arial"/>
                  <w:sz w:val="20"/>
                  <w:szCs w:val="20"/>
                  <w:color w:val="0000EE"/>
                </w:rPr>
                <w:t>11.</w:t>
              </w:r>
            </w:hyperlink>
          </w:p>
        </w:tc>
        <w:tc>
          <w:tcPr>
            <w:tcW w:w="280" w:type="dxa"/>
            <w:vAlign w:val="bottom"/>
          </w:tcPr>
          <w:p>
            <w:pPr>
              <w:spacing w:after="0"/>
              <w:rPr>
                <w:sz w:val="18"/>
                <w:szCs w:val="18"/>
                <w:color w:val="auto"/>
              </w:rPr>
            </w:pPr>
          </w:p>
        </w:tc>
        <w:tc>
          <w:tcPr>
            <w:tcW w:w="1980" w:type="dxa"/>
            <w:vAlign w:val="bottom"/>
            <w:tcBorders>
              <w:bottom w:val="single" w:sz="8" w:color="0000EE"/>
            </w:tcBorders>
            <w:gridSpan w:val="7"/>
          </w:tcPr>
          <w:p>
            <w:pPr>
              <w:spacing w:after="0" w:line="209" w:lineRule="exact"/>
              <w:rPr>
                <w:rFonts w:ascii="Arial" w:cs="Arial" w:eastAsia="Arial" w:hAnsi="Arial"/>
                <w:sz w:val="20"/>
                <w:szCs w:val="20"/>
                <w:color w:val="0000EE"/>
                <w:w w:val="88"/>
              </w:rPr>
            </w:pPr>
            <w:hyperlink w:anchor="page40">
              <w:r>
                <w:rPr>
                  <w:rFonts w:ascii="Arial" w:cs="Arial" w:eastAsia="Arial" w:hAnsi="Arial"/>
                  <w:sz w:val="20"/>
                  <w:szCs w:val="20"/>
                  <w:color w:val="0000EE"/>
                  <w:w w:val="88"/>
                </w:rPr>
                <w:t>Executive Compensation</w:t>
              </w:r>
            </w:hyperlink>
          </w:p>
        </w:tc>
        <w:tc>
          <w:tcPr>
            <w:tcW w:w="6840" w:type="dxa"/>
            <w:vAlign w:val="bottom"/>
            <w:gridSpan w:val="14"/>
          </w:tcPr>
          <w:p>
            <w:pPr>
              <w:spacing w:after="0"/>
              <w:rPr>
                <w:sz w:val="18"/>
                <w:szCs w:val="18"/>
                <w:color w:val="auto"/>
              </w:rPr>
            </w:pPr>
          </w:p>
        </w:tc>
        <w:tc>
          <w:tcPr>
            <w:tcW w:w="164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61</w:t>
            </w:r>
          </w:p>
        </w:tc>
      </w:tr>
      <w:tr>
        <w:trPr>
          <w:trHeight w:val="210"/>
        </w:trPr>
        <w:tc>
          <w:tcPr>
            <w:tcW w:w="720" w:type="dxa"/>
            <w:vAlign w:val="bottom"/>
            <w:gridSpan w:val="6"/>
          </w:tcPr>
          <w:p>
            <w:pPr>
              <w:jc w:val="right"/>
              <w:spacing w:after="0" w:line="209" w:lineRule="exact"/>
              <w:rPr>
                <w:rFonts w:ascii="Arial" w:cs="Arial" w:eastAsia="Arial" w:hAnsi="Arial"/>
                <w:sz w:val="20"/>
                <w:szCs w:val="20"/>
                <w:color w:val="0000EE"/>
              </w:rPr>
            </w:pPr>
            <w:hyperlink w:anchor="page40">
              <w:r>
                <w:rPr>
                  <w:rFonts w:ascii="Arial" w:cs="Arial" w:eastAsia="Arial" w:hAnsi="Arial"/>
                  <w:sz w:val="20"/>
                  <w:szCs w:val="20"/>
                  <w:color w:val="0000EE"/>
                </w:rPr>
                <w:t>12.</w:t>
              </w:r>
            </w:hyperlink>
          </w:p>
        </w:tc>
        <w:tc>
          <w:tcPr>
            <w:tcW w:w="280" w:type="dxa"/>
            <w:vAlign w:val="bottom"/>
          </w:tcPr>
          <w:p>
            <w:pPr>
              <w:spacing w:after="0"/>
              <w:rPr>
                <w:sz w:val="18"/>
                <w:szCs w:val="18"/>
                <w:color w:val="auto"/>
              </w:rPr>
            </w:pPr>
          </w:p>
        </w:tc>
        <w:tc>
          <w:tcPr>
            <w:tcW w:w="8020" w:type="dxa"/>
            <w:vAlign w:val="bottom"/>
            <w:tcBorders>
              <w:bottom w:val="single" w:sz="8" w:color="0000EE"/>
            </w:tcBorders>
            <w:gridSpan w:val="20"/>
          </w:tcPr>
          <w:p>
            <w:pPr>
              <w:spacing w:after="0" w:line="209" w:lineRule="exact"/>
              <w:rPr>
                <w:rFonts w:ascii="Arial" w:cs="Arial" w:eastAsia="Arial" w:hAnsi="Arial"/>
                <w:sz w:val="20"/>
                <w:szCs w:val="20"/>
                <w:color w:val="0000EE"/>
                <w:w w:val="89"/>
              </w:rPr>
            </w:pPr>
            <w:hyperlink w:anchor="page40">
              <w:r>
                <w:rPr>
                  <w:rFonts w:ascii="Arial" w:cs="Arial" w:eastAsia="Arial" w:hAnsi="Arial"/>
                  <w:sz w:val="20"/>
                  <w:szCs w:val="20"/>
                  <w:color w:val="0000EE"/>
                  <w:w w:val="89"/>
                </w:rPr>
                <w:t>Security Ownership of Certain Beneficial Owners and Management and Related Stockholder Matters</w:t>
              </w:r>
            </w:hyperlink>
          </w:p>
        </w:tc>
        <w:tc>
          <w:tcPr>
            <w:tcW w:w="800" w:type="dxa"/>
            <w:vAlign w:val="bottom"/>
          </w:tcPr>
          <w:p>
            <w:pPr>
              <w:spacing w:after="0"/>
              <w:rPr>
                <w:sz w:val="18"/>
                <w:szCs w:val="18"/>
                <w:color w:val="auto"/>
              </w:rPr>
            </w:pPr>
          </w:p>
        </w:tc>
        <w:tc>
          <w:tcPr>
            <w:tcW w:w="164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61</w:t>
            </w:r>
          </w:p>
        </w:tc>
      </w:tr>
      <w:tr>
        <w:trPr>
          <w:trHeight w:val="210"/>
        </w:trPr>
        <w:tc>
          <w:tcPr>
            <w:tcW w:w="720" w:type="dxa"/>
            <w:vAlign w:val="bottom"/>
            <w:gridSpan w:val="6"/>
          </w:tcPr>
          <w:p>
            <w:pPr>
              <w:jc w:val="right"/>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13.</w:t>
              </w:r>
            </w:hyperlink>
          </w:p>
        </w:tc>
        <w:tc>
          <w:tcPr>
            <w:tcW w:w="280" w:type="dxa"/>
            <w:vAlign w:val="bottom"/>
          </w:tcPr>
          <w:p>
            <w:pPr>
              <w:spacing w:after="0"/>
              <w:rPr>
                <w:sz w:val="18"/>
                <w:szCs w:val="18"/>
                <w:color w:val="auto"/>
              </w:rPr>
            </w:pPr>
          </w:p>
        </w:tc>
        <w:tc>
          <w:tcPr>
            <w:tcW w:w="8820" w:type="dxa"/>
            <w:vAlign w:val="bottom"/>
            <w:gridSpan w:val="21"/>
          </w:tcPr>
          <w:p>
            <w:pPr>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Certain Relationships and Related Transactions, and Director Independence</w:t>
              </w:r>
            </w:hyperlink>
          </w:p>
        </w:tc>
        <w:tc>
          <w:tcPr>
            <w:tcW w:w="164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62</w:t>
            </w:r>
          </w:p>
        </w:tc>
      </w:tr>
      <w:tr>
        <w:trPr>
          <w:trHeight w:val="210"/>
        </w:trPr>
        <w:tc>
          <w:tcPr>
            <w:tcW w:w="720" w:type="dxa"/>
            <w:vAlign w:val="bottom"/>
            <w:gridSpan w:val="6"/>
          </w:tcPr>
          <w:p>
            <w:pPr>
              <w:jc w:val="right"/>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14.</w:t>
              </w:r>
            </w:hyperlink>
          </w:p>
        </w:tc>
        <w:tc>
          <w:tcPr>
            <w:tcW w:w="280" w:type="dxa"/>
            <w:vAlign w:val="bottom"/>
          </w:tcPr>
          <w:p>
            <w:pPr>
              <w:spacing w:after="0"/>
              <w:rPr>
                <w:sz w:val="18"/>
                <w:szCs w:val="18"/>
                <w:color w:val="auto"/>
              </w:rPr>
            </w:pPr>
          </w:p>
        </w:tc>
        <w:tc>
          <w:tcPr>
            <w:tcW w:w="5980" w:type="dxa"/>
            <w:vAlign w:val="bottom"/>
            <w:tcBorders>
              <w:top w:val="single" w:sz="8" w:color="0000EE"/>
            </w:tcBorders>
            <w:gridSpan w:val="17"/>
          </w:tcPr>
          <w:p>
            <w:pPr>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Principal Accounting Fees and Services</w:t>
              </w:r>
            </w:hyperlink>
          </w:p>
        </w:tc>
        <w:tc>
          <w:tcPr>
            <w:tcW w:w="2840" w:type="dxa"/>
            <w:vAlign w:val="bottom"/>
            <w:gridSpan w:val="4"/>
          </w:tcPr>
          <w:p>
            <w:pPr>
              <w:spacing w:after="0"/>
              <w:rPr>
                <w:sz w:val="18"/>
                <w:szCs w:val="18"/>
                <w:color w:val="auto"/>
              </w:rPr>
            </w:pPr>
          </w:p>
        </w:tc>
        <w:tc>
          <w:tcPr>
            <w:tcW w:w="164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62</w:t>
            </w:r>
          </w:p>
        </w:tc>
      </w:tr>
      <w:tr>
        <w:trPr>
          <w:trHeight w:val="439"/>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20" w:type="dxa"/>
            <w:vAlign w:val="bottom"/>
            <w:gridSpan w:val="10"/>
          </w:tcPr>
          <w:p>
            <w:pPr>
              <w:spacing w:after="0"/>
              <w:rPr>
                <w:rFonts w:ascii="Arial" w:cs="Arial" w:eastAsia="Arial" w:hAnsi="Arial"/>
                <w:sz w:val="20"/>
                <w:szCs w:val="20"/>
                <w:b w:val="1"/>
                <w:bCs w:val="1"/>
                <w:color w:val="0000EE"/>
              </w:rPr>
            </w:pPr>
            <w:hyperlink w:anchor="page41">
              <w:r>
                <w:rPr>
                  <w:rFonts w:ascii="Arial" w:cs="Arial" w:eastAsia="Arial" w:hAnsi="Arial"/>
                  <w:sz w:val="20"/>
                  <w:szCs w:val="20"/>
                  <w:b w:val="1"/>
                  <w:bCs w:val="1"/>
                  <w:color w:val="0000EE"/>
                </w:rPr>
                <w:t>PART IV</w:t>
              </w:r>
            </w:hyperlink>
          </w:p>
        </w:tc>
        <w:tc>
          <w:tcPr>
            <w:tcW w:w="1640" w:type="dxa"/>
            <w:vAlign w:val="bottom"/>
          </w:tcPr>
          <w:p>
            <w:pPr>
              <w:spacing w:after="0"/>
              <w:rPr>
                <w:sz w:val="24"/>
                <w:szCs w:val="24"/>
                <w:color w:val="auto"/>
              </w:rPr>
            </w:pPr>
          </w:p>
        </w:tc>
      </w:tr>
      <w:tr>
        <w:trPr>
          <w:trHeight w:val="439"/>
        </w:trPr>
        <w:tc>
          <w:tcPr>
            <w:tcW w:w="440" w:type="dxa"/>
            <w:vAlign w:val="bottom"/>
            <w:gridSpan w:val="3"/>
          </w:tcPr>
          <w:p>
            <w:pPr>
              <w:spacing w:after="0"/>
              <w:rPr>
                <w:sz w:val="24"/>
                <w:szCs w:val="24"/>
                <w:color w:val="auto"/>
              </w:rPr>
            </w:pPr>
          </w:p>
        </w:tc>
        <w:tc>
          <w:tcPr>
            <w:tcW w:w="280" w:type="dxa"/>
            <w:vAlign w:val="bottom"/>
            <w:gridSpan w:val="3"/>
          </w:tcPr>
          <w:p>
            <w:pPr>
              <w:jc w:val="right"/>
              <w:spacing w:after="0"/>
              <w:rPr>
                <w:rFonts w:ascii="Arial" w:cs="Arial" w:eastAsia="Arial" w:hAnsi="Arial"/>
                <w:sz w:val="20"/>
                <w:szCs w:val="20"/>
                <w:color w:val="0000EE"/>
                <w:w w:val="86"/>
              </w:rPr>
            </w:pPr>
            <w:hyperlink w:anchor="page41">
              <w:r>
                <w:rPr>
                  <w:rFonts w:ascii="Arial" w:cs="Arial" w:eastAsia="Arial" w:hAnsi="Arial"/>
                  <w:sz w:val="20"/>
                  <w:szCs w:val="20"/>
                  <w:color w:val="0000EE"/>
                  <w:w w:val="86"/>
                </w:rPr>
                <w:t>15.</w:t>
              </w:r>
            </w:hyperlink>
          </w:p>
        </w:tc>
        <w:tc>
          <w:tcPr>
            <w:tcW w:w="280" w:type="dxa"/>
            <w:vAlign w:val="bottom"/>
          </w:tcPr>
          <w:p>
            <w:pPr>
              <w:spacing w:after="0"/>
              <w:rPr>
                <w:sz w:val="24"/>
                <w:szCs w:val="24"/>
                <w:color w:val="auto"/>
              </w:rPr>
            </w:pPr>
          </w:p>
        </w:tc>
        <w:tc>
          <w:tcPr>
            <w:tcW w:w="4020" w:type="dxa"/>
            <w:vAlign w:val="bottom"/>
            <w:gridSpan w:val="12"/>
          </w:tcPr>
          <w:p>
            <w:pPr>
              <w:spacing w:after="0"/>
              <w:rPr>
                <w:rFonts w:ascii="Arial" w:cs="Arial" w:eastAsia="Arial" w:hAnsi="Arial"/>
                <w:sz w:val="20"/>
                <w:szCs w:val="20"/>
                <w:color w:val="0000EE"/>
              </w:rPr>
            </w:pPr>
            <w:hyperlink w:anchor="page41">
              <w:r>
                <w:rPr>
                  <w:rFonts w:ascii="Arial" w:cs="Arial" w:eastAsia="Arial" w:hAnsi="Arial"/>
                  <w:sz w:val="20"/>
                  <w:szCs w:val="20"/>
                  <w:color w:val="0000EE"/>
                </w:rPr>
                <w:t>Exhibits and Financial Statement Schedules</w:t>
              </w:r>
            </w:hyperlink>
          </w:p>
        </w:tc>
        <w:tc>
          <w:tcPr>
            <w:tcW w:w="760" w:type="dxa"/>
            <w:vAlign w:val="bottom"/>
            <w:tcBorders>
              <w:top w:val="single" w:sz="8" w:color="0000EE"/>
            </w:tcBorders>
            <w:gridSpan w:val="3"/>
          </w:tcPr>
          <w:p>
            <w:pPr>
              <w:spacing w:after="0"/>
              <w:rPr>
                <w:sz w:val="24"/>
                <w:szCs w:val="24"/>
                <w:color w:val="auto"/>
              </w:rPr>
            </w:pPr>
          </w:p>
        </w:tc>
        <w:tc>
          <w:tcPr>
            <w:tcW w:w="4040" w:type="dxa"/>
            <w:vAlign w:val="bottom"/>
            <w:gridSpan w:val="6"/>
          </w:tcPr>
          <w:p>
            <w:pPr>
              <w:spacing w:after="0"/>
              <w:rPr>
                <w:sz w:val="24"/>
                <w:szCs w:val="24"/>
                <w:color w:val="auto"/>
              </w:rPr>
            </w:pPr>
          </w:p>
        </w:tc>
        <w:tc>
          <w:tcPr>
            <w:tcW w:w="1640" w:type="dxa"/>
            <w:vAlign w:val="bottom"/>
          </w:tcPr>
          <w:p>
            <w:pPr>
              <w:jc w:val="right"/>
              <w:ind w:right="541"/>
              <w:spacing w:after="0"/>
              <w:rPr>
                <w:sz w:val="20"/>
                <w:szCs w:val="20"/>
                <w:color w:val="auto"/>
              </w:rPr>
            </w:pPr>
            <w:r>
              <w:rPr>
                <w:rFonts w:ascii="Arial" w:cs="Arial" w:eastAsia="Arial" w:hAnsi="Arial"/>
                <w:sz w:val="20"/>
                <w:szCs w:val="20"/>
                <w:color w:val="auto"/>
              </w:rPr>
              <w:t>62</w:t>
            </w:r>
          </w:p>
        </w:tc>
      </w:tr>
      <w:tr>
        <w:trPr>
          <w:trHeight w:val="439"/>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460" w:type="dxa"/>
            <w:vAlign w:val="bottom"/>
            <w:tcBorders>
              <w:top w:val="single" w:sz="8" w:color="0000EE"/>
            </w:tcBorders>
            <w:gridSpan w:val="9"/>
          </w:tcPr>
          <w:p>
            <w:pPr>
              <w:spacing w:after="0"/>
              <w:rPr>
                <w:rFonts w:ascii="Arial" w:cs="Arial" w:eastAsia="Arial" w:hAnsi="Arial"/>
                <w:sz w:val="20"/>
                <w:szCs w:val="20"/>
                <w:color w:val="0000EE"/>
              </w:rPr>
            </w:pPr>
            <w:hyperlink w:anchor="page41">
              <w:r>
                <w:rPr>
                  <w:rFonts w:ascii="Arial" w:cs="Arial" w:eastAsia="Arial" w:hAnsi="Arial"/>
                  <w:sz w:val="20"/>
                  <w:szCs w:val="20"/>
                  <w:color w:val="0000EE"/>
                </w:rPr>
                <w:t>Signatures</w:t>
              </w:r>
            </w:hyperlink>
          </w:p>
        </w:tc>
        <w:tc>
          <w:tcPr>
            <w:tcW w:w="5360" w:type="dxa"/>
            <w:vAlign w:val="bottom"/>
            <w:gridSpan w:val="12"/>
          </w:tcPr>
          <w:p>
            <w:pPr>
              <w:spacing w:after="0"/>
              <w:rPr>
                <w:sz w:val="24"/>
                <w:szCs w:val="24"/>
                <w:color w:val="auto"/>
              </w:rPr>
            </w:pPr>
          </w:p>
        </w:tc>
        <w:tc>
          <w:tcPr>
            <w:tcW w:w="1640" w:type="dxa"/>
            <w:vAlign w:val="bottom"/>
          </w:tcPr>
          <w:p>
            <w:pPr>
              <w:jc w:val="right"/>
              <w:ind w:right="541"/>
              <w:spacing w:after="0"/>
              <w:rPr>
                <w:sz w:val="20"/>
                <w:szCs w:val="20"/>
                <w:color w:val="auto"/>
              </w:rPr>
            </w:pPr>
            <w:r>
              <w:rPr>
                <w:rFonts w:ascii="Arial" w:cs="Arial" w:eastAsia="Arial" w:hAnsi="Arial"/>
                <w:sz w:val="20"/>
                <w:szCs w:val="20"/>
                <w:color w:val="auto"/>
              </w:rPr>
              <w:t>63</w:t>
            </w:r>
          </w:p>
        </w:tc>
      </w:tr>
      <w:tr>
        <w:trPr>
          <w:trHeight w:val="433"/>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Borders>
              <w:top w:val="single" w:sz="8" w:color="0000EE"/>
            </w:tcBorders>
            <w:gridSpan w:val="2"/>
          </w:tcPr>
          <w:p>
            <w:pPr>
              <w:spacing w:after="0"/>
              <w:rPr>
                <w:sz w:val="24"/>
                <w:szCs w:val="24"/>
                <w:color w:val="auto"/>
              </w:rPr>
            </w:pPr>
          </w:p>
        </w:tc>
        <w:tc>
          <w:tcPr>
            <w:tcW w:w="3960" w:type="dxa"/>
            <w:vAlign w:val="bottom"/>
            <w:gridSpan w:val="13"/>
          </w:tcPr>
          <w:p>
            <w:pPr>
              <w:jc w:val="right"/>
              <w:ind w:right="20"/>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38"/>
        </w:trPr>
        <w:tc>
          <w:tcPr>
            <w:tcW w:w="4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PART I</w:t>
      </w:r>
    </w:p>
    <w:p>
      <w:pPr>
        <w:spacing w:after="0" w:line="229"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8"/>
          <w:szCs w:val="18"/>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20"/>
          <w:szCs w:val="20"/>
          <w:color w:val="auto"/>
        </w:rPr>
        <w:t>Monster Beverage Corporation was incorporated in Delaware on April 25, 1990. Our principal place of business is located at 1 Monster Way, Corona, California 92879 and our telephone number is (951) 739-6200. When this report uses the words “Monster Energy Company”, “Monster”, “Hansen”, “Hansen Natural Corporation”, “Hansen Beverage Company”, “the Company”, “we”, “us”, and “our”, these words refer to Monster Beverage Corporation and its subsidiaries, unless the context otherwise requires. We are a holding company and conduct no operating business except through our consolidated subsidiaries.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 names: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560" w:type="dxa"/>
            <w:vAlign w:val="bottom"/>
          </w:tcPr>
          <w:p>
            <w:pPr>
              <w:ind w:left="180"/>
              <w:spacing w:after="0"/>
              <w:rPr>
                <w:sz w:val="20"/>
                <w:szCs w:val="20"/>
                <w:color w:val="auto"/>
              </w:rPr>
            </w:pPr>
            <w:r>
              <w:rPr>
                <w:rFonts w:ascii="Arial" w:cs="Arial" w:eastAsia="Arial" w:hAnsi="Arial"/>
                <w:sz w:val="19"/>
                <w:szCs w:val="19"/>
                <w:color w:val="auto"/>
              </w:rPr>
              <w:t>Monster Energy®</w:t>
            </w:r>
          </w:p>
        </w:tc>
        <w:tc>
          <w:tcPr>
            <w:tcW w:w="152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2480" w:type="dxa"/>
            <w:vAlign w:val="bottom"/>
          </w:tcPr>
          <w:p>
            <w:pPr>
              <w:ind w:left="160"/>
              <w:spacing w:after="0"/>
              <w:rPr>
                <w:sz w:val="20"/>
                <w:szCs w:val="20"/>
                <w:color w:val="auto"/>
              </w:rPr>
            </w:pPr>
            <w:r>
              <w:rPr>
                <w:rFonts w:ascii="Arial" w:cs="Arial" w:eastAsia="Arial" w:hAnsi="Arial"/>
                <w:sz w:val="19"/>
                <w:szCs w:val="19"/>
                <w:color w:val="auto"/>
              </w:rPr>
              <w:t>Hansen’s®</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560" w:type="dxa"/>
            <w:vAlign w:val="bottom"/>
          </w:tcPr>
          <w:p>
            <w:pPr>
              <w:ind w:left="180"/>
              <w:spacing w:after="0" w:line="216" w:lineRule="exact"/>
              <w:rPr>
                <w:sz w:val="20"/>
                <w:szCs w:val="20"/>
                <w:color w:val="auto"/>
              </w:rPr>
            </w:pPr>
            <w:r>
              <w:rPr>
                <w:rFonts w:ascii="Arial" w:cs="Arial" w:eastAsia="Arial" w:hAnsi="Arial"/>
                <w:sz w:val="19"/>
                <w:szCs w:val="19"/>
                <w:color w:val="auto"/>
              </w:rPr>
              <w:t>Monster Rehab®</w:t>
            </w:r>
          </w:p>
        </w:tc>
        <w:tc>
          <w:tcPr>
            <w:tcW w:w="1520" w:type="dxa"/>
            <w:vAlign w:val="bottom"/>
          </w:tcPr>
          <w:p>
            <w:pPr>
              <w:jc w:val="right"/>
              <w:ind w:right="65"/>
              <w:spacing w:after="0" w:line="216" w:lineRule="exact"/>
              <w:rPr>
                <w:sz w:val="20"/>
                <w:szCs w:val="20"/>
                <w:color w:val="auto"/>
              </w:rPr>
            </w:pPr>
            <w:r>
              <w:rPr>
                <w:rFonts w:ascii="Arial" w:cs="Arial" w:eastAsia="Arial" w:hAnsi="Arial"/>
                <w:sz w:val="19"/>
                <w:szCs w:val="19"/>
                <w:color w:val="auto"/>
              </w:rPr>
              <w:t>·</w:t>
            </w:r>
          </w:p>
        </w:tc>
        <w:tc>
          <w:tcPr>
            <w:tcW w:w="2480" w:type="dxa"/>
            <w:vAlign w:val="bottom"/>
          </w:tcPr>
          <w:p>
            <w:pPr>
              <w:ind w:left="160"/>
              <w:spacing w:after="0" w:line="216" w:lineRule="exact"/>
              <w:rPr>
                <w:sz w:val="20"/>
                <w:szCs w:val="20"/>
                <w:color w:val="auto"/>
              </w:rPr>
            </w:pPr>
            <w:r>
              <w:rPr>
                <w:rFonts w:ascii="Arial" w:cs="Arial" w:eastAsia="Arial" w:hAnsi="Arial"/>
                <w:sz w:val="19"/>
                <w:szCs w:val="19"/>
                <w:color w:val="auto"/>
                <w:w w:val="88"/>
              </w:rPr>
              <w:t>Hansen’s Natural Cane Soda®</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560" w:type="dxa"/>
            <w:vAlign w:val="bottom"/>
          </w:tcPr>
          <w:p>
            <w:pPr>
              <w:ind w:left="180"/>
              <w:spacing w:after="0" w:line="216" w:lineRule="exact"/>
              <w:rPr>
                <w:sz w:val="20"/>
                <w:szCs w:val="20"/>
                <w:color w:val="auto"/>
              </w:rPr>
            </w:pPr>
            <w:r>
              <w:rPr>
                <w:rFonts w:ascii="Arial" w:cs="Arial" w:eastAsia="Arial" w:hAnsi="Arial"/>
                <w:sz w:val="19"/>
                <w:szCs w:val="19"/>
                <w:color w:val="auto"/>
              </w:rPr>
              <w:t>Monster Energy Extra Strength Nitrous Technology®</w:t>
            </w:r>
          </w:p>
        </w:tc>
        <w:tc>
          <w:tcPr>
            <w:tcW w:w="1520" w:type="dxa"/>
            <w:vAlign w:val="bottom"/>
          </w:tcPr>
          <w:p>
            <w:pPr>
              <w:jc w:val="right"/>
              <w:ind w:right="65"/>
              <w:spacing w:after="0" w:line="216" w:lineRule="exact"/>
              <w:rPr>
                <w:sz w:val="20"/>
                <w:szCs w:val="20"/>
                <w:color w:val="auto"/>
              </w:rPr>
            </w:pPr>
            <w:r>
              <w:rPr>
                <w:rFonts w:ascii="Arial" w:cs="Arial" w:eastAsia="Arial" w:hAnsi="Arial"/>
                <w:sz w:val="19"/>
                <w:szCs w:val="19"/>
                <w:color w:val="auto"/>
              </w:rPr>
              <w:t>·</w:t>
            </w:r>
          </w:p>
        </w:tc>
        <w:tc>
          <w:tcPr>
            <w:tcW w:w="2480" w:type="dxa"/>
            <w:vAlign w:val="bottom"/>
          </w:tcPr>
          <w:p>
            <w:pPr>
              <w:ind w:left="160"/>
              <w:spacing w:after="0" w:line="216" w:lineRule="exact"/>
              <w:rPr>
                <w:sz w:val="20"/>
                <w:szCs w:val="20"/>
                <w:color w:val="auto"/>
              </w:rPr>
            </w:pPr>
            <w:r>
              <w:rPr>
                <w:rFonts w:ascii="Arial" w:cs="Arial" w:eastAsia="Arial" w:hAnsi="Arial"/>
                <w:sz w:val="19"/>
                <w:szCs w:val="19"/>
                <w:color w:val="auto"/>
              </w:rPr>
              <w:t>Junior Juice®</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560" w:type="dxa"/>
            <w:vAlign w:val="bottom"/>
          </w:tcPr>
          <w:p>
            <w:pPr>
              <w:ind w:left="180"/>
              <w:spacing w:after="0" w:line="216" w:lineRule="exact"/>
              <w:rPr>
                <w:sz w:val="20"/>
                <w:szCs w:val="20"/>
                <w:color w:val="auto"/>
              </w:rPr>
            </w:pPr>
            <w:r>
              <w:rPr>
                <w:rFonts w:ascii="Arial" w:cs="Arial" w:eastAsia="Arial" w:hAnsi="Arial"/>
                <w:sz w:val="19"/>
                <w:szCs w:val="19"/>
                <w:color w:val="auto"/>
              </w:rPr>
              <w:t>Java Monster®</w:t>
            </w:r>
          </w:p>
        </w:tc>
        <w:tc>
          <w:tcPr>
            <w:tcW w:w="1520" w:type="dxa"/>
            <w:vAlign w:val="bottom"/>
          </w:tcPr>
          <w:p>
            <w:pPr>
              <w:jc w:val="right"/>
              <w:ind w:right="65"/>
              <w:spacing w:after="0" w:line="216" w:lineRule="exact"/>
              <w:rPr>
                <w:sz w:val="20"/>
                <w:szCs w:val="20"/>
                <w:color w:val="auto"/>
              </w:rPr>
            </w:pPr>
            <w:r>
              <w:rPr>
                <w:rFonts w:ascii="Arial" w:cs="Arial" w:eastAsia="Arial" w:hAnsi="Arial"/>
                <w:sz w:val="19"/>
                <w:szCs w:val="19"/>
                <w:color w:val="auto"/>
              </w:rPr>
              <w:t>·</w:t>
            </w:r>
          </w:p>
        </w:tc>
        <w:tc>
          <w:tcPr>
            <w:tcW w:w="2480" w:type="dxa"/>
            <w:vAlign w:val="bottom"/>
          </w:tcPr>
          <w:p>
            <w:pPr>
              <w:ind w:left="160"/>
              <w:spacing w:after="0" w:line="216" w:lineRule="exact"/>
              <w:rPr>
                <w:sz w:val="20"/>
                <w:szCs w:val="20"/>
                <w:color w:val="auto"/>
              </w:rPr>
            </w:pPr>
            <w:r>
              <w:rPr>
                <w:rFonts w:ascii="Arial" w:cs="Arial" w:eastAsia="Arial" w:hAnsi="Arial"/>
                <w:sz w:val="19"/>
                <w:szCs w:val="19"/>
                <w:color w:val="auto"/>
              </w:rPr>
              <w:t>Blue Sky®</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560" w:type="dxa"/>
            <w:vAlign w:val="bottom"/>
          </w:tcPr>
          <w:p>
            <w:pPr>
              <w:ind w:left="180"/>
              <w:spacing w:after="0" w:line="216" w:lineRule="exact"/>
              <w:rPr>
                <w:sz w:val="20"/>
                <w:szCs w:val="20"/>
                <w:color w:val="auto"/>
              </w:rPr>
            </w:pPr>
            <w:r>
              <w:rPr>
                <w:rFonts w:ascii="Arial" w:cs="Arial" w:eastAsia="Arial" w:hAnsi="Arial"/>
                <w:sz w:val="19"/>
                <w:szCs w:val="19"/>
                <w:color w:val="auto"/>
              </w:rPr>
              <w:t>X-Presso Monster®</w:t>
            </w:r>
          </w:p>
        </w:tc>
        <w:tc>
          <w:tcPr>
            <w:tcW w:w="1520" w:type="dxa"/>
            <w:vAlign w:val="bottom"/>
          </w:tcPr>
          <w:p>
            <w:pPr>
              <w:jc w:val="right"/>
              <w:ind w:right="65"/>
              <w:spacing w:after="0" w:line="216" w:lineRule="exact"/>
              <w:rPr>
                <w:sz w:val="20"/>
                <w:szCs w:val="20"/>
                <w:color w:val="auto"/>
              </w:rPr>
            </w:pPr>
            <w:r>
              <w:rPr>
                <w:rFonts w:ascii="Arial" w:cs="Arial" w:eastAsia="Arial" w:hAnsi="Arial"/>
                <w:sz w:val="19"/>
                <w:szCs w:val="19"/>
                <w:color w:val="auto"/>
              </w:rPr>
              <w:t>·</w:t>
            </w:r>
          </w:p>
        </w:tc>
        <w:tc>
          <w:tcPr>
            <w:tcW w:w="2480" w:type="dxa"/>
            <w:vAlign w:val="bottom"/>
          </w:tcPr>
          <w:p>
            <w:pPr>
              <w:ind w:left="160"/>
              <w:spacing w:after="0" w:line="216" w:lineRule="exact"/>
              <w:rPr>
                <w:sz w:val="20"/>
                <w:szCs w:val="20"/>
                <w:color w:val="auto"/>
              </w:rPr>
            </w:pPr>
            <w:r>
              <w:rPr>
                <w:rFonts w:ascii="Arial" w:cs="Arial" w:eastAsia="Arial" w:hAnsi="Arial"/>
                <w:sz w:val="19"/>
                <w:szCs w:val="19"/>
                <w:color w:val="auto"/>
              </w:rPr>
              <w:t>Hubert’s®</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560" w:type="dxa"/>
            <w:vAlign w:val="bottom"/>
          </w:tcPr>
          <w:p>
            <w:pPr>
              <w:ind w:left="180"/>
              <w:spacing w:after="0" w:line="216" w:lineRule="exact"/>
              <w:rPr>
                <w:sz w:val="20"/>
                <w:szCs w:val="20"/>
                <w:color w:val="auto"/>
              </w:rPr>
            </w:pPr>
            <w:r>
              <w:rPr>
                <w:rFonts w:ascii="Arial" w:cs="Arial" w:eastAsia="Arial" w:hAnsi="Arial"/>
                <w:sz w:val="19"/>
                <w:szCs w:val="19"/>
                <w:color w:val="auto"/>
              </w:rPr>
              <w:t>Muscle Monster®</w:t>
            </w:r>
          </w:p>
        </w:tc>
        <w:tc>
          <w:tcPr>
            <w:tcW w:w="1520" w:type="dxa"/>
            <w:vAlign w:val="bottom"/>
          </w:tcPr>
          <w:p>
            <w:pPr>
              <w:jc w:val="right"/>
              <w:ind w:right="65"/>
              <w:spacing w:after="0" w:line="216" w:lineRule="exact"/>
              <w:rPr>
                <w:sz w:val="20"/>
                <w:szCs w:val="20"/>
                <w:color w:val="auto"/>
              </w:rPr>
            </w:pPr>
            <w:r>
              <w:rPr>
                <w:rFonts w:ascii="Arial" w:cs="Arial" w:eastAsia="Arial" w:hAnsi="Arial"/>
                <w:sz w:val="19"/>
                <w:szCs w:val="19"/>
                <w:color w:val="auto"/>
              </w:rPr>
              <w:t>·</w:t>
            </w:r>
          </w:p>
        </w:tc>
        <w:tc>
          <w:tcPr>
            <w:tcW w:w="2480" w:type="dxa"/>
            <w:vAlign w:val="bottom"/>
          </w:tcPr>
          <w:p>
            <w:pPr>
              <w:ind w:left="160"/>
              <w:spacing w:after="0" w:line="216" w:lineRule="exact"/>
              <w:rPr>
                <w:sz w:val="20"/>
                <w:szCs w:val="20"/>
                <w:color w:val="auto"/>
              </w:rPr>
            </w:pPr>
            <w:r>
              <w:rPr>
                <w:rFonts w:ascii="Arial" w:cs="Arial" w:eastAsia="Arial" w:hAnsi="Arial"/>
                <w:sz w:val="19"/>
                <w:szCs w:val="19"/>
                <w:color w:val="auto"/>
              </w:rPr>
              <w:t>Worx Energy®</w:t>
            </w:r>
          </w:p>
        </w:tc>
      </w:tr>
      <w:tr>
        <w:trPr>
          <w:trHeight w:val="240"/>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560" w:type="dxa"/>
            <w:vAlign w:val="bottom"/>
          </w:tcPr>
          <w:p>
            <w:pPr>
              <w:ind w:left="180"/>
              <w:spacing w:after="0"/>
              <w:rPr>
                <w:sz w:val="20"/>
                <w:szCs w:val="20"/>
                <w:color w:val="auto"/>
              </w:rPr>
            </w:pPr>
            <w:r>
              <w:rPr>
                <w:rFonts w:ascii="Arial" w:cs="Arial" w:eastAsia="Arial" w:hAnsi="Arial"/>
                <w:sz w:val="19"/>
                <w:szCs w:val="19"/>
                <w:color w:val="auto"/>
              </w:rPr>
              <w:t>Punch Monster™</w:t>
            </w:r>
          </w:p>
        </w:tc>
        <w:tc>
          <w:tcPr>
            <w:tcW w:w="152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2480" w:type="dxa"/>
            <w:vAlign w:val="bottom"/>
          </w:tcPr>
          <w:p>
            <w:pPr>
              <w:ind w:left="160"/>
              <w:spacing w:after="0"/>
              <w:rPr>
                <w:sz w:val="20"/>
                <w:szCs w:val="20"/>
                <w:color w:val="auto"/>
              </w:rPr>
            </w:pPr>
            <w:r>
              <w:rPr>
                <w:rFonts w:ascii="Arial" w:cs="Arial" w:eastAsia="Arial" w:hAnsi="Arial"/>
                <w:sz w:val="19"/>
                <w:szCs w:val="19"/>
                <w:color w:val="auto"/>
              </w:rPr>
              <w:t>Peace Tea®</w:t>
            </w:r>
          </w:p>
        </w:tc>
      </w:tr>
    </w:tbl>
    <w:p>
      <w:pPr>
        <w:spacing w:after="0" w:line="2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Our Monster Energy® brand energy drinks, which represented 92.5%, 92.3% and 91.2% of our net sales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2013, 2012 and 2011, respectively, include the following:</w:t>
      </w:r>
    </w:p>
    <w:p>
      <w:pPr>
        <w:sectPr>
          <w:pgSz w:w="11900" w:h="16838" w:orient="portrait"/>
          <w:cols w:equalWidth="0" w:num="1">
            <w:col w:w="11460"/>
          </w:cols>
          <w:pgMar w:left="240" w:top="346"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8"/>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rPr>
                <w:sz w:val="20"/>
                <w:szCs w:val="20"/>
                <w:color w:val="auto"/>
              </w:rPr>
            </w:pPr>
            <w:r>
              <w:rPr>
                <w:rFonts w:ascii="Arial" w:cs="Arial" w:eastAsia="Arial" w:hAnsi="Arial"/>
                <w:sz w:val="19"/>
                <w:szCs w:val="19"/>
                <w:color w:val="auto"/>
              </w:rPr>
              <w:t>Monster Energy®</w:t>
            </w:r>
          </w:p>
        </w:tc>
        <w:tc>
          <w:tcPr>
            <w:tcW w:w="6280" w:type="dxa"/>
            <w:vAlign w:val="bottom"/>
            <w:gridSpan w:val="2"/>
          </w:tcPr>
          <w:p>
            <w:pPr>
              <w:ind w:left="1580"/>
              <w:spacing w:after="0"/>
              <w:rPr>
                <w:sz w:val="20"/>
                <w:szCs w:val="20"/>
                <w:color w:val="auto"/>
              </w:rPr>
            </w:pPr>
            <w:r>
              <w:rPr>
                <w:rFonts w:ascii="Arial" w:cs="Arial" w:eastAsia="Arial" w:hAnsi="Arial"/>
                <w:sz w:val="19"/>
                <w:szCs w:val="19"/>
                <w:color w:val="auto"/>
              </w:rPr>
              <w:t>·   Java Monster® Kona Blend</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Lo-Carb Monster Energy®</w:t>
            </w:r>
          </w:p>
        </w:tc>
        <w:tc>
          <w:tcPr>
            <w:tcW w:w="6280" w:type="dxa"/>
            <w:vAlign w:val="bottom"/>
            <w:gridSpan w:val="2"/>
          </w:tcPr>
          <w:p>
            <w:pPr>
              <w:ind w:left="1580"/>
              <w:spacing w:after="0" w:line="216" w:lineRule="exact"/>
              <w:rPr>
                <w:sz w:val="20"/>
                <w:szCs w:val="20"/>
                <w:color w:val="auto"/>
              </w:rPr>
            </w:pPr>
            <w:r>
              <w:rPr>
                <w:rFonts w:ascii="Arial" w:cs="Arial" w:eastAsia="Arial" w:hAnsi="Arial"/>
                <w:sz w:val="19"/>
                <w:szCs w:val="19"/>
                <w:color w:val="auto"/>
              </w:rPr>
              <w:t>·   Java Monster® Loca Moca®</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Monster Assault®</w:t>
            </w:r>
          </w:p>
        </w:tc>
        <w:tc>
          <w:tcPr>
            <w:tcW w:w="6280" w:type="dxa"/>
            <w:vAlign w:val="bottom"/>
            <w:gridSpan w:val="2"/>
          </w:tcPr>
          <w:p>
            <w:pPr>
              <w:ind w:left="1580"/>
              <w:spacing w:after="0" w:line="216" w:lineRule="exact"/>
              <w:rPr>
                <w:sz w:val="20"/>
                <w:szCs w:val="20"/>
                <w:color w:val="auto"/>
              </w:rPr>
            </w:pPr>
            <w:r>
              <w:rPr>
                <w:rFonts w:ascii="Arial" w:cs="Arial" w:eastAsia="Arial" w:hAnsi="Arial"/>
                <w:sz w:val="19"/>
                <w:szCs w:val="19"/>
                <w:color w:val="auto"/>
              </w:rPr>
              <w:t>·   Java Monster® Mean Bean®</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Monster Khaos®</w:t>
            </w:r>
          </w:p>
        </w:tc>
        <w:tc>
          <w:tcPr>
            <w:tcW w:w="6280" w:type="dxa"/>
            <w:vAlign w:val="bottom"/>
            <w:gridSpan w:val="2"/>
          </w:tcPr>
          <w:p>
            <w:pPr>
              <w:ind w:left="1580"/>
              <w:spacing w:after="0" w:line="216" w:lineRule="exact"/>
              <w:rPr>
                <w:sz w:val="20"/>
                <w:szCs w:val="20"/>
                <w:color w:val="auto"/>
              </w:rPr>
            </w:pPr>
            <w:r>
              <w:rPr>
                <w:rFonts w:ascii="Arial" w:cs="Arial" w:eastAsia="Arial" w:hAnsi="Arial"/>
                <w:sz w:val="19"/>
                <w:szCs w:val="19"/>
                <w:color w:val="auto"/>
              </w:rPr>
              <w:t>·   Java Monster® Vanilla Light</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Monster M-80® (named Ripper® in certain countries)</w:t>
            </w:r>
          </w:p>
        </w:tc>
        <w:tc>
          <w:tcPr>
            <w:tcW w:w="6280" w:type="dxa"/>
            <w:vAlign w:val="bottom"/>
            <w:gridSpan w:val="2"/>
          </w:tcPr>
          <w:p>
            <w:pPr>
              <w:ind w:left="1580"/>
              <w:spacing w:after="0" w:line="216" w:lineRule="exact"/>
              <w:rPr>
                <w:sz w:val="20"/>
                <w:szCs w:val="20"/>
                <w:color w:val="auto"/>
              </w:rPr>
            </w:pPr>
            <w:r>
              <w:rPr>
                <w:rFonts w:ascii="Arial" w:cs="Arial" w:eastAsia="Arial" w:hAnsi="Arial"/>
                <w:sz w:val="19"/>
                <w:szCs w:val="19"/>
                <w:color w:val="auto"/>
              </w:rPr>
              <w:t>·   Java Monster® Irish Blend®</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Monster Energy® Absolutely Zero</w:t>
            </w:r>
          </w:p>
        </w:tc>
        <w:tc>
          <w:tcPr>
            <w:tcW w:w="1780" w:type="dxa"/>
            <w:vAlign w:val="bottom"/>
          </w:tcPr>
          <w:p>
            <w:pPr>
              <w:ind w:left="1580"/>
              <w:spacing w:after="0" w:line="216" w:lineRule="exact"/>
              <w:rPr>
                <w:sz w:val="20"/>
                <w:szCs w:val="20"/>
                <w:color w:val="auto"/>
              </w:rPr>
            </w:pPr>
            <w:r>
              <w:rPr>
                <w:rFonts w:ascii="Arial" w:cs="Arial" w:eastAsia="Arial" w:hAnsi="Arial"/>
                <w:sz w:val="19"/>
                <w:szCs w:val="19"/>
                <w:color w:val="auto"/>
              </w:rPr>
              <w:t>·</w:t>
            </w:r>
          </w:p>
        </w:tc>
        <w:tc>
          <w:tcPr>
            <w:tcW w:w="4500" w:type="dxa"/>
            <w:vAlign w:val="bottom"/>
          </w:tcPr>
          <w:p>
            <w:pPr>
              <w:ind w:left="160"/>
              <w:spacing w:after="0" w:line="216" w:lineRule="exact"/>
              <w:rPr>
                <w:sz w:val="20"/>
                <w:szCs w:val="20"/>
                <w:color w:val="auto"/>
              </w:rPr>
            </w:pPr>
            <w:r>
              <w:rPr>
                <w:rFonts w:ascii="Arial" w:cs="Arial" w:eastAsia="Arial" w:hAnsi="Arial"/>
                <w:sz w:val="19"/>
                <w:szCs w:val="19"/>
                <w:color w:val="auto"/>
              </w:rPr>
              <w:t>Java Monster® Toffee</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Monster Energy® Import</w:t>
            </w:r>
          </w:p>
        </w:tc>
        <w:tc>
          <w:tcPr>
            <w:tcW w:w="6280" w:type="dxa"/>
            <w:vAlign w:val="bottom"/>
            <w:gridSpan w:val="2"/>
          </w:tcPr>
          <w:p>
            <w:pPr>
              <w:ind w:left="1580"/>
              <w:spacing w:after="0" w:line="216" w:lineRule="exact"/>
              <w:rPr>
                <w:sz w:val="20"/>
                <w:szCs w:val="20"/>
                <w:color w:val="auto"/>
              </w:rPr>
            </w:pPr>
            <w:r>
              <w:rPr>
                <w:rFonts w:ascii="Arial" w:cs="Arial" w:eastAsia="Arial" w:hAnsi="Arial"/>
                <w:sz w:val="19"/>
                <w:szCs w:val="19"/>
                <w:color w:val="auto"/>
              </w:rPr>
              <w:t>·   Java Monster® Kona Cappuccino™</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Monster Energy® Import Light</w:t>
            </w:r>
          </w:p>
        </w:tc>
        <w:tc>
          <w:tcPr>
            <w:tcW w:w="6280" w:type="dxa"/>
            <w:vAlign w:val="bottom"/>
            <w:gridSpan w:val="2"/>
          </w:tcPr>
          <w:p>
            <w:pPr>
              <w:ind w:left="1580"/>
              <w:spacing w:after="0" w:line="216" w:lineRule="exact"/>
              <w:rPr>
                <w:sz w:val="20"/>
                <w:szCs w:val="20"/>
                <w:color w:val="auto"/>
              </w:rPr>
            </w:pPr>
            <w:r>
              <w:rPr>
                <w:rFonts w:ascii="Arial" w:cs="Arial" w:eastAsia="Arial" w:hAnsi="Arial"/>
                <w:sz w:val="19"/>
                <w:szCs w:val="19"/>
                <w:color w:val="auto"/>
              </w:rPr>
              <w:t>·   Monster Energy Extra Strength Nitrous</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Punch Monster™ Baller’s Blend (formerly Dub Edition)</w:t>
            </w:r>
          </w:p>
        </w:tc>
        <w:tc>
          <w:tcPr>
            <w:tcW w:w="1780" w:type="dxa"/>
            <w:vAlign w:val="bottom"/>
          </w:tcPr>
          <w:p>
            <w:pPr>
              <w:spacing w:after="0"/>
              <w:rPr>
                <w:sz w:val="18"/>
                <w:szCs w:val="18"/>
                <w:color w:val="auto"/>
              </w:rPr>
            </w:pPr>
          </w:p>
        </w:tc>
        <w:tc>
          <w:tcPr>
            <w:tcW w:w="4500" w:type="dxa"/>
            <w:vAlign w:val="bottom"/>
          </w:tcPr>
          <w:p>
            <w:pPr>
              <w:ind w:left="160"/>
              <w:spacing w:after="0" w:line="216" w:lineRule="exact"/>
              <w:rPr>
                <w:sz w:val="20"/>
                <w:szCs w:val="20"/>
                <w:color w:val="auto"/>
              </w:rPr>
            </w:pPr>
            <w:r>
              <w:rPr>
                <w:rFonts w:ascii="Arial" w:cs="Arial" w:eastAsia="Arial" w:hAnsi="Arial"/>
                <w:sz w:val="19"/>
                <w:szCs w:val="19"/>
                <w:color w:val="auto"/>
              </w:rPr>
              <w:t>Technology® Super Dry™</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Punch Monster™ Mad Dog (formerly Dub Edition)</w:t>
            </w:r>
          </w:p>
        </w:tc>
        <w:tc>
          <w:tcPr>
            <w:tcW w:w="6280" w:type="dxa"/>
            <w:vAlign w:val="bottom"/>
            <w:gridSpan w:val="2"/>
          </w:tcPr>
          <w:p>
            <w:pPr>
              <w:ind w:left="1580"/>
              <w:spacing w:after="0" w:line="216" w:lineRule="exact"/>
              <w:rPr>
                <w:sz w:val="20"/>
                <w:szCs w:val="20"/>
                <w:color w:val="auto"/>
              </w:rPr>
            </w:pPr>
            <w:r>
              <w:rPr>
                <w:rFonts w:ascii="Arial" w:cs="Arial" w:eastAsia="Arial" w:hAnsi="Arial"/>
                <w:sz w:val="19"/>
                <w:szCs w:val="19"/>
                <w:color w:val="auto"/>
              </w:rPr>
              <w:t>·   Monster Energy Extra Strength Nitrous</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Monster Rehab® Tea + Lemonade + Energy</w:t>
            </w:r>
          </w:p>
        </w:tc>
        <w:tc>
          <w:tcPr>
            <w:tcW w:w="1780" w:type="dxa"/>
            <w:vAlign w:val="bottom"/>
          </w:tcPr>
          <w:p>
            <w:pPr>
              <w:spacing w:after="0"/>
              <w:rPr>
                <w:sz w:val="18"/>
                <w:szCs w:val="18"/>
                <w:color w:val="auto"/>
              </w:rPr>
            </w:pPr>
          </w:p>
        </w:tc>
        <w:tc>
          <w:tcPr>
            <w:tcW w:w="4500" w:type="dxa"/>
            <w:vAlign w:val="bottom"/>
          </w:tcPr>
          <w:p>
            <w:pPr>
              <w:ind w:left="160"/>
              <w:spacing w:after="0" w:line="216" w:lineRule="exact"/>
              <w:rPr>
                <w:sz w:val="20"/>
                <w:szCs w:val="20"/>
                <w:color w:val="auto"/>
              </w:rPr>
            </w:pPr>
            <w:r>
              <w:rPr>
                <w:rFonts w:ascii="Arial" w:cs="Arial" w:eastAsia="Arial" w:hAnsi="Arial"/>
                <w:sz w:val="19"/>
                <w:szCs w:val="19"/>
                <w:color w:val="auto"/>
              </w:rPr>
              <w:t>Technology® Anti-Gravity®</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Monster Rehab® Rojo Tea + Energy</w:t>
            </w:r>
          </w:p>
        </w:tc>
        <w:tc>
          <w:tcPr>
            <w:tcW w:w="6280" w:type="dxa"/>
            <w:vAlign w:val="bottom"/>
            <w:gridSpan w:val="2"/>
          </w:tcPr>
          <w:p>
            <w:pPr>
              <w:ind w:left="1580"/>
              <w:spacing w:after="0" w:line="216" w:lineRule="exact"/>
              <w:rPr>
                <w:sz w:val="20"/>
                <w:szCs w:val="20"/>
                <w:color w:val="auto"/>
              </w:rPr>
            </w:pPr>
            <w:r>
              <w:rPr>
                <w:rFonts w:ascii="Arial" w:cs="Arial" w:eastAsia="Arial" w:hAnsi="Arial"/>
                <w:sz w:val="19"/>
                <w:szCs w:val="19"/>
                <w:color w:val="auto"/>
              </w:rPr>
              <w:t>·   Monster Energy Extra Strength Nitrous</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Monster Rehab® Green Tea + Energy</w:t>
            </w:r>
          </w:p>
        </w:tc>
        <w:tc>
          <w:tcPr>
            <w:tcW w:w="1780" w:type="dxa"/>
            <w:vAlign w:val="bottom"/>
          </w:tcPr>
          <w:p>
            <w:pPr>
              <w:spacing w:after="0"/>
              <w:rPr>
                <w:sz w:val="18"/>
                <w:szCs w:val="18"/>
                <w:color w:val="auto"/>
              </w:rPr>
            </w:pPr>
          </w:p>
        </w:tc>
        <w:tc>
          <w:tcPr>
            <w:tcW w:w="4500" w:type="dxa"/>
            <w:vAlign w:val="bottom"/>
          </w:tcPr>
          <w:p>
            <w:pPr>
              <w:ind w:left="160"/>
              <w:spacing w:after="0" w:line="216" w:lineRule="exact"/>
              <w:rPr>
                <w:sz w:val="20"/>
                <w:szCs w:val="20"/>
                <w:color w:val="auto"/>
              </w:rPr>
            </w:pPr>
            <w:r>
              <w:rPr>
                <w:rFonts w:ascii="Arial" w:cs="Arial" w:eastAsia="Arial" w:hAnsi="Arial"/>
                <w:sz w:val="19"/>
                <w:szCs w:val="19"/>
                <w:color w:val="auto"/>
              </w:rPr>
              <w:t>Technology® Black Ice™</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Monster Rehab® Protean + Energy</w:t>
            </w:r>
          </w:p>
        </w:tc>
        <w:tc>
          <w:tcPr>
            <w:tcW w:w="1780" w:type="dxa"/>
            <w:vAlign w:val="bottom"/>
          </w:tcPr>
          <w:p>
            <w:pPr>
              <w:ind w:left="1580"/>
              <w:spacing w:after="0" w:line="216" w:lineRule="exact"/>
              <w:rPr>
                <w:sz w:val="20"/>
                <w:szCs w:val="20"/>
                <w:color w:val="auto"/>
              </w:rPr>
            </w:pPr>
            <w:r>
              <w:rPr>
                <w:rFonts w:ascii="Arial" w:cs="Arial" w:eastAsia="Arial" w:hAnsi="Arial"/>
                <w:sz w:val="19"/>
                <w:szCs w:val="19"/>
                <w:color w:val="auto"/>
              </w:rPr>
              <w:t>·</w:t>
            </w:r>
          </w:p>
        </w:tc>
        <w:tc>
          <w:tcPr>
            <w:tcW w:w="4500" w:type="dxa"/>
            <w:vAlign w:val="bottom"/>
          </w:tcPr>
          <w:p>
            <w:pPr>
              <w:ind w:left="160"/>
              <w:spacing w:after="0" w:line="216" w:lineRule="exact"/>
              <w:rPr>
                <w:sz w:val="20"/>
                <w:szCs w:val="20"/>
                <w:color w:val="auto"/>
              </w:rPr>
            </w:pPr>
            <w:r>
              <w:rPr>
                <w:rFonts w:ascii="Arial" w:cs="Arial" w:eastAsia="Arial" w:hAnsi="Arial"/>
                <w:sz w:val="19"/>
                <w:szCs w:val="19"/>
                <w:color w:val="auto"/>
              </w:rPr>
              <w:t>X-Presso Monster® Hammer</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Monster Rehab® Tea + Orangeade + Energy</w:t>
            </w:r>
          </w:p>
        </w:tc>
        <w:tc>
          <w:tcPr>
            <w:tcW w:w="1780" w:type="dxa"/>
            <w:vAlign w:val="bottom"/>
          </w:tcPr>
          <w:p>
            <w:pPr>
              <w:ind w:left="1580"/>
              <w:spacing w:after="0" w:line="216" w:lineRule="exact"/>
              <w:rPr>
                <w:sz w:val="20"/>
                <w:szCs w:val="20"/>
                <w:color w:val="auto"/>
              </w:rPr>
            </w:pPr>
            <w:r>
              <w:rPr>
                <w:rFonts w:ascii="Arial" w:cs="Arial" w:eastAsia="Arial" w:hAnsi="Arial"/>
                <w:sz w:val="19"/>
                <w:szCs w:val="19"/>
                <w:color w:val="auto"/>
              </w:rPr>
              <w:t>·</w:t>
            </w:r>
          </w:p>
        </w:tc>
        <w:tc>
          <w:tcPr>
            <w:tcW w:w="4500" w:type="dxa"/>
            <w:vAlign w:val="bottom"/>
          </w:tcPr>
          <w:p>
            <w:pPr>
              <w:ind w:left="160"/>
              <w:spacing w:after="0" w:line="216" w:lineRule="exact"/>
              <w:rPr>
                <w:sz w:val="20"/>
                <w:szCs w:val="20"/>
                <w:color w:val="auto"/>
              </w:rPr>
            </w:pPr>
            <w:r>
              <w:rPr>
                <w:rFonts w:ascii="Arial" w:cs="Arial" w:eastAsia="Arial" w:hAnsi="Arial"/>
                <w:sz w:val="19"/>
                <w:szCs w:val="19"/>
                <w:color w:val="auto"/>
              </w:rPr>
              <w:t>X-Presso Monster® Midnite</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Monster Rehab® Tea + Pink Lemonade + Energy</w:t>
            </w:r>
          </w:p>
        </w:tc>
        <w:tc>
          <w:tcPr>
            <w:tcW w:w="1780" w:type="dxa"/>
            <w:vAlign w:val="bottom"/>
          </w:tcPr>
          <w:p>
            <w:pPr>
              <w:ind w:left="1580"/>
              <w:spacing w:after="0" w:line="216" w:lineRule="exact"/>
              <w:rPr>
                <w:sz w:val="20"/>
                <w:szCs w:val="20"/>
                <w:color w:val="auto"/>
              </w:rPr>
            </w:pPr>
            <w:r>
              <w:rPr>
                <w:rFonts w:ascii="Arial" w:cs="Arial" w:eastAsia="Arial" w:hAnsi="Arial"/>
                <w:sz w:val="19"/>
                <w:szCs w:val="19"/>
                <w:color w:val="auto"/>
              </w:rPr>
              <w:t>·</w:t>
            </w:r>
          </w:p>
        </w:tc>
        <w:tc>
          <w:tcPr>
            <w:tcW w:w="4500" w:type="dxa"/>
            <w:vAlign w:val="bottom"/>
          </w:tcPr>
          <w:p>
            <w:pPr>
              <w:ind w:left="160"/>
              <w:spacing w:after="0" w:line="216" w:lineRule="exact"/>
              <w:rPr>
                <w:sz w:val="20"/>
                <w:szCs w:val="20"/>
                <w:color w:val="auto"/>
              </w:rPr>
            </w:pPr>
            <w:r>
              <w:rPr>
                <w:rFonts w:ascii="Arial" w:cs="Arial" w:eastAsia="Arial" w:hAnsi="Arial"/>
                <w:sz w:val="19"/>
                <w:szCs w:val="19"/>
                <w:color w:val="auto"/>
              </w:rPr>
              <w:t>Monster Cuba-Lima®</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Muscle Monster® Vanilla</w:t>
            </w:r>
          </w:p>
        </w:tc>
        <w:tc>
          <w:tcPr>
            <w:tcW w:w="6280" w:type="dxa"/>
            <w:vAlign w:val="bottom"/>
            <w:gridSpan w:val="2"/>
          </w:tcPr>
          <w:p>
            <w:pPr>
              <w:ind w:left="1580"/>
              <w:spacing w:after="0" w:line="216" w:lineRule="exact"/>
              <w:rPr>
                <w:sz w:val="20"/>
                <w:szCs w:val="20"/>
                <w:color w:val="auto"/>
              </w:rPr>
            </w:pPr>
            <w:r>
              <w:rPr>
                <w:rFonts w:ascii="Arial" w:cs="Arial" w:eastAsia="Arial" w:hAnsi="Arial"/>
                <w:sz w:val="19"/>
                <w:szCs w:val="19"/>
                <w:color w:val="auto"/>
              </w:rPr>
              <w:t>·   Monster Energy® Zero Ultra</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Muscle Monster® Chocolate</w:t>
            </w:r>
          </w:p>
        </w:tc>
        <w:tc>
          <w:tcPr>
            <w:tcW w:w="6280" w:type="dxa"/>
            <w:vAlign w:val="bottom"/>
            <w:gridSpan w:val="2"/>
          </w:tcPr>
          <w:p>
            <w:pPr>
              <w:ind w:left="1580"/>
              <w:spacing w:after="0" w:line="216" w:lineRule="exact"/>
              <w:rPr>
                <w:sz w:val="20"/>
                <w:szCs w:val="20"/>
                <w:color w:val="auto"/>
              </w:rPr>
            </w:pPr>
            <w:r>
              <w:rPr>
                <w:rFonts w:ascii="Arial" w:cs="Arial" w:eastAsia="Arial" w:hAnsi="Arial"/>
                <w:sz w:val="19"/>
                <w:szCs w:val="19"/>
                <w:color w:val="auto"/>
              </w:rPr>
              <w:t>·   Monster Energy® Ultra Blue</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Muscle Monster® Coffee</w:t>
            </w:r>
          </w:p>
        </w:tc>
        <w:tc>
          <w:tcPr>
            <w:tcW w:w="6280" w:type="dxa"/>
            <w:vAlign w:val="bottom"/>
            <w:gridSpan w:val="2"/>
          </w:tcPr>
          <w:p>
            <w:pPr>
              <w:ind w:left="1580"/>
              <w:spacing w:after="0" w:line="216" w:lineRule="exact"/>
              <w:rPr>
                <w:sz w:val="20"/>
                <w:szCs w:val="20"/>
                <w:color w:val="auto"/>
              </w:rPr>
            </w:pPr>
            <w:r>
              <w:rPr>
                <w:rFonts w:ascii="Arial" w:cs="Arial" w:eastAsia="Arial" w:hAnsi="Arial"/>
                <w:sz w:val="19"/>
                <w:szCs w:val="19"/>
                <w:color w:val="auto"/>
              </w:rPr>
              <w:t>·   Monster Energy® Ultra Red</w:t>
            </w:r>
          </w:p>
        </w:tc>
      </w:tr>
      <w:tr>
        <w:trPr>
          <w:trHeight w:val="216"/>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line="216" w:lineRule="exact"/>
              <w:rPr>
                <w:sz w:val="20"/>
                <w:szCs w:val="20"/>
                <w:color w:val="auto"/>
              </w:rPr>
            </w:pPr>
            <w:r>
              <w:rPr>
                <w:rFonts w:ascii="Arial" w:cs="Arial" w:eastAsia="Arial" w:hAnsi="Arial"/>
                <w:sz w:val="19"/>
                <w:szCs w:val="19"/>
                <w:color w:val="auto"/>
              </w:rPr>
              <w:t>Muscle Monster® Strawberry</w:t>
            </w:r>
          </w:p>
        </w:tc>
        <w:tc>
          <w:tcPr>
            <w:tcW w:w="6280" w:type="dxa"/>
            <w:vAlign w:val="bottom"/>
            <w:gridSpan w:val="2"/>
          </w:tcPr>
          <w:p>
            <w:pPr>
              <w:ind w:left="1580"/>
              <w:spacing w:after="0" w:line="216" w:lineRule="exact"/>
              <w:rPr>
                <w:sz w:val="20"/>
                <w:szCs w:val="20"/>
                <w:color w:val="auto"/>
              </w:rPr>
            </w:pPr>
            <w:r>
              <w:rPr>
                <w:rFonts w:ascii="Arial" w:cs="Arial" w:eastAsia="Arial" w:hAnsi="Arial"/>
                <w:sz w:val="19"/>
                <w:szCs w:val="19"/>
                <w:color w:val="auto"/>
              </w:rPr>
              <w:t>·   M3® Monster Energy® Super Concentrate</w:t>
            </w:r>
          </w:p>
        </w:tc>
      </w:tr>
      <w:tr>
        <w:trPr>
          <w:trHeight w:val="240"/>
        </w:trPr>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180"/>
              <w:spacing w:after="0"/>
              <w:rPr>
                <w:sz w:val="20"/>
                <w:szCs w:val="20"/>
                <w:color w:val="auto"/>
              </w:rPr>
            </w:pPr>
            <w:r>
              <w:rPr>
                <w:rFonts w:ascii="Arial" w:cs="Arial" w:eastAsia="Arial" w:hAnsi="Arial"/>
                <w:sz w:val="19"/>
                <w:szCs w:val="19"/>
                <w:color w:val="auto"/>
              </w:rPr>
              <w:t>Muscle Monster® Peanut Butter Cup</w:t>
            </w:r>
          </w:p>
        </w:tc>
        <w:tc>
          <w:tcPr>
            <w:tcW w:w="1780" w:type="dxa"/>
            <w:vAlign w:val="bottom"/>
          </w:tcPr>
          <w:p>
            <w:pPr>
              <w:ind w:left="1580"/>
              <w:spacing w:after="0"/>
              <w:rPr>
                <w:sz w:val="20"/>
                <w:szCs w:val="20"/>
                <w:color w:val="auto"/>
              </w:rPr>
            </w:pPr>
            <w:r>
              <w:rPr>
                <w:rFonts w:ascii="Arial" w:cs="Arial" w:eastAsia="Arial" w:hAnsi="Arial"/>
                <w:sz w:val="19"/>
                <w:szCs w:val="19"/>
                <w:color w:val="auto"/>
              </w:rPr>
              <w:t>·</w:t>
            </w:r>
          </w:p>
        </w:tc>
        <w:tc>
          <w:tcPr>
            <w:tcW w:w="4500" w:type="dxa"/>
            <w:vAlign w:val="bottom"/>
          </w:tcPr>
          <w:p>
            <w:pPr>
              <w:ind w:left="160"/>
              <w:spacing w:after="0"/>
              <w:rPr>
                <w:sz w:val="20"/>
                <w:szCs w:val="20"/>
                <w:color w:val="auto"/>
              </w:rPr>
            </w:pPr>
            <w:r>
              <w:rPr>
                <w:rFonts w:ascii="Arial" w:cs="Arial" w:eastAsia="Arial" w:hAnsi="Arial"/>
                <w:sz w:val="19"/>
                <w:szCs w:val="19"/>
                <w:color w:val="auto"/>
              </w:rPr>
              <w:t>Übermonster® Energy Brew</w:t>
            </w:r>
          </w:p>
        </w:tc>
      </w:tr>
      <w:tr>
        <w:trPr>
          <w:trHeight w:val="424"/>
        </w:trPr>
        <w:tc>
          <w:tcPr>
            <w:tcW w:w="2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Arial" w:cs="Arial" w:eastAsia="Arial" w:hAnsi="Arial"/>
                <w:sz w:val="16"/>
                <w:szCs w:val="16"/>
                <w:color w:val="auto"/>
              </w:rPr>
              <w:t>3</w:t>
            </w:r>
          </w:p>
        </w:tc>
        <w:tc>
          <w:tcPr>
            <w:tcW w:w="4500" w:type="dxa"/>
            <w:vAlign w:val="bottom"/>
          </w:tcPr>
          <w:p>
            <w:pPr>
              <w:spacing w:after="0"/>
              <w:rPr>
                <w:sz w:val="24"/>
                <w:szCs w:val="24"/>
                <w:color w:val="auto"/>
              </w:rPr>
            </w:pPr>
          </w:p>
        </w:tc>
      </w:tr>
      <w:tr>
        <w:trPr>
          <w:trHeight w:val="138"/>
        </w:trPr>
        <w:tc>
          <w:tcPr>
            <w:tcW w:w="22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45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Overview</w:t>
      </w:r>
    </w:p>
    <w:p>
      <w:pPr>
        <w:spacing w:after="0" w:line="235"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8"/>
          <w:szCs w:val="18"/>
          <w:color w:val="auto"/>
        </w:rPr>
        <w:t>The “alternative” beverage category combines non-carbonated ready-to-drink iced teas, lemonades, juice cocktails, single-serve juices and fruit beverages, ready-to-drink dairy and coffee drinks, energy drinks, sports drinks, and single-serve still water (flavored, unflavored and enhanced) with “new age” beverages, including sodas that are considered natural, sparkling juices and flavored sparkling beverages. According to Beverage Marketing Corporation, domestic U.S. wholesale sales in 2013 for the “alternative” beverage category of the market are estimated at approximately $37.7 billion, representing an increase of approximately 5.0% over the estimated domestic U.S. wholesale sales in 2012 of approximately $35.9 billion (revised from a previously reported estimate of $31.8 billion).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History</w:t>
      </w:r>
    </w:p>
    <w:p>
      <w:pPr>
        <w:spacing w:after="0" w:line="235"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9"/>
          <w:szCs w:val="19"/>
          <w:color w:val="auto"/>
        </w:rPr>
        <w:t>In the 1930s, Hubert Hansen and his sons started a business to sell fresh non-pasteurized juices in Los Angeles, California. This business eventually became Hansen’s Juices, Inc., which subsequently became known as The Fresh Juice Company of California, Inc. (“FJC”). FJC retained the right to market and sell fresh non-pasteurized juices under the Hansen’s trademark. In 1977, Tim Hansen, one of the grandsons of Hubert Hansen, perceived a demand for shelf stable pasteurized natural juices and juice blends and formed Hansen Foods, Inc. (“HFI”). HFI expanded its product line from juices to include Hansen’s Natural Soda® brand sodas. In 1990, California Co-Packers Corporation (d/b/a Hansen Beverage Company) (“CCC”) acquired certain assets of HFI, including the right to market the Hansen’s® brand name. In 1992, we acquired the Hansen’s® brand natural soda and apple juice business from CCC. Under our ownership, the Hansen beverage business has significantly expanded and includes a wide range of beverages within the growing “alternative” beverage category including, in particular, energy drinks. In 1999, we acquired all of FJC’s rights to manufacture, sell and distribute fresh non-pasteurized juice products under the Hansen’s® trademark together with certain additional rights. In 2012, we changed our name from Hansen Natural Corporation to Monster Beverage Corporation.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Segments</w:t>
      </w:r>
    </w:p>
    <w:p>
      <w:pPr>
        <w:spacing w:after="0" w:line="235" w:lineRule="exact"/>
        <w:rPr>
          <w:sz w:val="20"/>
          <w:szCs w:val="20"/>
          <w:color w:val="auto"/>
        </w:rPr>
      </w:pPr>
    </w:p>
    <w:p>
      <w:pPr>
        <w:jc w:val="both"/>
        <w:ind w:right="40" w:firstLine="648"/>
        <w:spacing w:after="0" w:line="258" w:lineRule="auto"/>
        <w:rPr>
          <w:sz w:val="20"/>
          <w:szCs w:val="20"/>
          <w:color w:val="auto"/>
        </w:rPr>
      </w:pPr>
      <w:r>
        <w:rPr>
          <w:rFonts w:ascii="Arial" w:cs="Arial" w:eastAsia="Arial" w:hAnsi="Arial"/>
          <w:sz w:val="19"/>
          <w:szCs w:val="19"/>
          <w:color w:val="auto"/>
        </w:rPr>
        <w:t>We have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directly to retailers. Corporate and unallocated amounts that do not relate to the DSD or Warehouse segments specifically, have been allocated to “Corporate and Unallocated.” Our DSD segment represented 95.6%, 95.4% and 94.4% of our consolidated net sales for the years ended December 31, 2013, 2012 and 2011, respectively. Our Warehouse segment represented 4.4%, 4.6% and 5.6% of our consolidated net sales for the years ended December 31, 2013, 2012 and 2011, respectively.</w:t>
      </w:r>
    </w:p>
    <w:p>
      <w:pPr>
        <w:spacing w:after="0" w:line="193"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For financial information about our reporting segments and geographic areas, refer to Note 16 of Notes to the Consolidated Financial Statements set forth in “Part II, Item 8 – Financial Statements and Supplementary Data” of this report, incorporated herein by reference. For certain risks with respect to our energy drinks see “Part I, Item 1A – Risk Factors” below.</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2013 Product Introductions</w:t>
      </w:r>
    </w:p>
    <w:p>
      <w:pPr>
        <w:spacing w:after="0" w:line="235"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During 2013, we continued to expand our existing product lines and flavors and further develop our distribution markets. In particular, we continued to focus on developing and marketing beverages that fall within the category generally described as the “alternative” beverage category. During 2013, we introduced a number of new products, including the following:</w:t>
      </w:r>
    </w:p>
    <w:p>
      <w:pPr>
        <w:sectPr>
          <w:pgSz w:w="11900" w:h="16838" w:orient="portrait"/>
          <w:cols w:equalWidth="0" w:num="1">
            <w:col w:w="11460"/>
          </w:cols>
          <w:pgMar w:left="240" w:top="115" w:right="199" w:bottom="182" w:gutter="0" w:footer="0" w:header="0"/>
        </w:sect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15" w:right="199" w:bottom="182" w:gutter="0" w:footer="0" w:header="0"/>
          <w:type w:val="continuous"/>
        </w:sectPr>
      </w:pPr>
    </w:p>
    <w:bookmarkStart w:id="3" w:name="page4"/>
    <w:bookmarkEnd w:id="3"/>
    <w:p>
      <w:pPr>
        <w:spacing w:after="0" w:line="88"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7" w:lineRule="exact"/>
        <w:rPr>
          <w:sz w:val="20"/>
          <w:szCs w:val="20"/>
          <w:color w:val="auto"/>
        </w:rPr>
      </w:pPr>
    </w:p>
    <w:p>
      <w:pPr>
        <w:ind w:left="700" w:hanging="368"/>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Monster Mini’s™, 12-packs in 8-ounce size cans (January 2013).</w:t>
      </w:r>
    </w:p>
    <w:p>
      <w:pPr>
        <w:spacing w:after="0" w:line="15" w:lineRule="exact"/>
        <w:rPr>
          <w:rFonts w:ascii="Arial" w:cs="Arial" w:eastAsia="Arial" w:hAnsi="Arial"/>
          <w:sz w:val="20"/>
          <w:szCs w:val="20"/>
          <w:color w:val="auto"/>
        </w:rPr>
      </w:pPr>
    </w:p>
    <w:p>
      <w:pPr>
        <w:ind w:left="700" w:right="180" w:hanging="368"/>
        <w:spacing w:after="0" w:line="239" w:lineRule="auto"/>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Muscle Monster® Energy Shakes, non-carbonated energy shakes with 25-grams of protein in five flavors: Chocolate, Vanilla, Coffee (March 2013), Strawberry (November 2013) and Peanut Butter Cup (December 2013).</w:t>
      </w:r>
    </w:p>
    <w:p>
      <w:pPr>
        <w:spacing w:after="0" w:line="1" w:lineRule="exact"/>
        <w:rPr>
          <w:rFonts w:ascii="Arial" w:cs="Arial" w:eastAsia="Arial" w:hAnsi="Arial"/>
          <w:sz w:val="20"/>
          <w:szCs w:val="20"/>
          <w:color w:val="auto"/>
        </w:rPr>
      </w:pPr>
    </w:p>
    <w:p>
      <w:pPr>
        <w:ind w:left="700" w:hanging="368"/>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Monster Rehab® Tea + Pink Lemonade + Energy (March 2013).</w:t>
      </w:r>
    </w:p>
    <w:p>
      <w:pPr>
        <w:ind w:left="700" w:hanging="368"/>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Monster Energy® Ultra Blue, a carbonated energy drink which contains zero calories and zero sugar (March 2013).</w:t>
      </w:r>
    </w:p>
    <w:p>
      <w:pPr>
        <w:ind w:left="700" w:hanging="368"/>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Java Monster® Kona Cappuccino™ (March 2013).</w:t>
      </w:r>
    </w:p>
    <w:p>
      <w:pPr>
        <w:ind w:left="700" w:hanging="368"/>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Hansen’s® Sparkling Fruit Beverages, a line of 10-calorie beverages with all natural sweeteners (March 2013).</w:t>
      </w:r>
    </w:p>
    <w:p>
      <w:pPr>
        <w:ind w:left="700" w:hanging="368"/>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Peace Tea® Georgia Peach and Sno-Berry, ready-to-drink iced teas (June 2013).</w:t>
      </w:r>
    </w:p>
    <w:p>
      <w:pPr>
        <w:ind w:left="700" w:hanging="368"/>
        <w:spacing w:after="0"/>
        <w:tabs>
          <w:tab w:leader="none" w:pos="700" w:val="left"/>
        </w:tabs>
        <w:numPr>
          <w:ilvl w:val="0"/>
          <w:numId w:val="4"/>
        </w:numPr>
        <w:rPr>
          <w:rFonts w:ascii="Arial" w:cs="Arial" w:eastAsia="Arial" w:hAnsi="Arial"/>
          <w:sz w:val="19"/>
          <w:szCs w:val="19"/>
          <w:color w:val="auto"/>
        </w:rPr>
      </w:pPr>
      <w:r>
        <w:rPr>
          <w:rFonts w:ascii="Arial" w:cs="Arial" w:eastAsia="Arial" w:hAnsi="Arial"/>
          <w:sz w:val="19"/>
          <w:szCs w:val="19"/>
          <w:color w:val="auto"/>
        </w:rPr>
        <w:t>Hubert’s® Lemonade, Strawberry Lemonade, Blackberry Lemonade and Cherry Limeade in 40-ounce glass bottles (July 2013).</w:t>
      </w:r>
    </w:p>
    <w:p>
      <w:pPr>
        <w:spacing w:after="0" w:line="11" w:lineRule="exact"/>
        <w:rPr>
          <w:rFonts w:ascii="Arial" w:cs="Arial" w:eastAsia="Arial" w:hAnsi="Arial"/>
          <w:sz w:val="19"/>
          <w:szCs w:val="19"/>
          <w:color w:val="auto"/>
        </w:rPr>
      </w:pPr>
    </w:p>
    <w:p>
      <w:pPr>
        <w:ind w:left="700" w:hanging="368"/>
        <w:spacing w:after="0"/>
        <w:tabs>
          <w:tab w:leader="none" w:pos="700" w:val="left"/>
        </w:tabs>
        <w:numPr>
          <w:ilvl w:val="0"/>
          <w:numId w:val="4"/>
        </w:numPr>
        <w:rPr>
          <w:rFonts w:ascii="Arial" w:cs="Arial" w:eastAsia="Arial" w:hAnsi="Arial"/>
          <w:sz w:val="20"/>
          <w:szCs w:val="20"/>
          <w:color w:val="auto"/>
        </w:rPr>
      </w:pPr>
      <w:r>
        <w:rPr>
          <w:rFonts w:ascii="Arial" w:cs="Arial" w:eastAsia="Arial" w:hAnsi="Arial"/>
          <w:sz w:val="20"/>
          <w:szCs w:val="20"/>
          <w:color w:val="auto"/>
        </w:rPr>
        <w:t>Monster Energy® Ultra Red, a carbonated energy drink which contains zero calories and zero sugar (September 2013).</w:t>
      </w:r>
    </w:p>
    <w:p>
      <w:pPr>
        <w:spacing w:after="0" w:line="213"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In the normal course of business we discontinue certain products and/or product lines. Those products or product lines discontinued in 2013, either individually or in aggregate, did not have a material adverse impact on our financial position, results of operations or liquidity.</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Packaging</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We package our products in a variety of different package types and sizes including, but not limited to, aluminum cans, sleek aluminum cans, glass bottles, polyethylene terephthalate (PET) plastic bottles, high density polyethylene plastic bottles, aseptic boxes and stick packs.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DSD Segment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Monster Energy® Brand Energy Drinks: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Monster Energy® Drinks </w:t>
      </w:r>
      <w:r>
        <w:rPr>
          <w:rFonts w:ascii="Arial" w:cs="Arial" w:eastAsia="Arial" w:hAnsi="Arial"/>
          <w:sz w:val="20"/>
          <w:szCs w:val="20"/>
          <w:color w:val="auto"/>
        </w:rPr>
        <w:t>- In 2002, we launched a new carbonated energy drink under the Monster Energy® brand name in 16-ounce</w:t>
      </w:r>
      <w:r>
        <w:rPr>
          <w:rFonts w:ascii="Arial" w:cs="Arial" w:eastAsia="Arial" w:hAnsi="Arial"/>
          <w:sz w:val="20"/>
          <w:szCs w:val="20"/>
          <w:i w:val="1"/>
          <w:iCs w:val="1"/>
          <w:color w:val="auto"/>
        </w:rPr>
        <w:t xml:space="preserve"> </w:t>
      </w:r>
      <w:r>
        <w:rPr>
          <w:rFonts w:ascii="Arial" w:cs="Arial" w:eastAsia="Arial" w:hAnsi="Arial"/>
          <w:sz w:val="20"/>
          <w:szCs w:val="20"/>
          <w:color w:val="auto"/>
        </w:rPr>
        <w:t>cans, which was almost double the size of our original Hansen’s® brand energy drinks (in 8.3-ounce cans) and the vast majority of competitive energy drinks on the market at that time. Our Monster Energy® drinks contain vitamins, minerals, nutrients, herbs and other dietary ingredients (collectively, “dietary ingredients”) and are marketed through our full service distributor network. We offer the following products under the Monster Energy® drink product line: Monster Energy®, Lo-Carb Monster Energy®, Monster Assault®, Monster Khaos®, Monster M-80</w:t>
      </w:r>
      <w:r>
        <w:rPr>
          <w:rFonts w:ascii="Arial" w:cs="Arial" w:eastAsia="Arial" w:hAnsi="Arial"/>
          <w:sz w:val="20"/>
          <w:szCs w:val="20"/>
          <w:b w:val="1"/>
          <w:bCs w:val="1"/>
          <w:color w:val="auto"/>
        </w:rPr>
        <w:t>®</w:t>
      </w:r>
      <w:r>
        <w:rPr>
          <w:rFonts w:ascii="Arial" w:cs="Arial" w:eastAsia="Arial" w:hAnsi="Arial"/>
          <w:sz w:val="20"/>
          <w:szCs w:val="20"/>
          <w:color w:val="auto"/>
        </w:rPr>
        <w:t xml:space="preserve"> (named Ripper® in certain countries), Monster Energy® Absolutely Zero, Monster Energy® Import and Import Light, Punch Monster™ Baller’s Blend (formerly Dub Edition), Punch Monster™ Mad Dog (formerly Dub Edition), M3® Monster Energy® Super Concentrate energy drinks, Übermonster® Energy Brew, Monster Energy® Zero Ultra, Monster Energy® Ultra Blue, Monster Energy® Ultra Red and Monster Cuba-Lima®.</w:t>
      </w:r>
    </w:p>
    <w:p>
      <w:pPr>
        <w:spacing w:after="0" w:line="20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Java Monster</w:t>
      </w:r>
      <w:r>
        <w:rPr>
          <w:rFonts w:ascii="Arial" w:cs="Arial" w:eastAsia="Arial" w:hAnsi="Arial"/>
          <w:sz w:val="19"/>
          <w:szCs w:val="19"/>
          <w:color w:val="auto"/>
        </w:rPr>
        <w:t>®</w:t>
      </w:r>
      <w:r>
        <w:rPr>
          <w:rFonts w:ascii="Arial" w:cs="Arial" w:eastAsia="Arial" w:hAnsi="Arial"/>
          <w:sz w:val="19"/>
          <w:szCs w:val="19"/>
          <w:i w:val="1"/>
          <w:iCs w:val="1"/>
          <w:color w:val="auto"/>
        </w:rPr>
        <w:t xml:space="preserve"> Coffee + Energy Drinks </w:t>
      </w:r>
      <w:r>
        <w:rPr>
          <w:rFonts w:ascii="Arial" w:cs="Arial" w:eastAsia="Arial" w:hAnsi="Arial"/>
          <w:sz w:val="19"/>
          <w:szCs w:val="19"/>
          <w:color w:val="auto"/>
        </w:rPr>
        <w:t>- A line of non-carbonated dairy based coffee + energy drinks. We offer the following products</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the Java Monster® product line: Java Monster® Kona Blend, Java Monster® Loca Moca®, Java Monster® Mean Bean®, Java Monster® Vanilla Light, Java Monster® Irish Blend®, Java Monster® Toffee and Java Monster® Kona Cappuccino™.</w:t>
      </w:r>
    </w:p>
    <w:p>
      <w:pPr>
        <w:spacing w:after="0" w:line="18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X-Presso Monster® Coffee + Energy Drinks </w:t>
      </w:r>
      <w:r>
        <w:rPr>
          <w:rFonts w:ascii="Arial" w:cs="Arial" w:eastAsia="Arial" w:hAnsi="Arial"/>
          <w:sz w:val="18"/>
          <w:szCs w:val="18"/>
          <w:color w:val="auto"/>
        </w:rPr>
        <w:t>- A line of non-carbonated dairy based coffee + energy drinks. We offer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under the X-Presso Monster® coffee + energy drinks product line: X-Presso Monster® Hammer and X-Presso Monster® Midnite.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Muscle Monster</w:t>
      </w:r>
      <w:r>
        <w:rPr>
          <w:rFonts w:ascii="Arial" w:cs="Arial" w:eastAsia="Arial" w:hAnsi="Arial"/>
          <w:sz w:val="18"/>
          <w:szCs w:val="18"/>
          <w:color w:val="auto"/>
        </w:rPr>
        <w:t>®</w:t>
      </w:r>
      <w:r>
        <w:rPr>
          <w:rFonts w:ascii="Arial" w:cs="Arial" w:eastAsia="Arial" w:hAnsi="Arial"/>
          <w:sz w:val="18"/>
          <w:szCs w:val="18"/>
          <w:i w:val="1"/>
          <w:iCs w:val="1"/>
          <w:color w:val="auto"/>
        </w:rPr>
        <w:t xml:space="preserve"> Energy Shakes </w:t>
      </w:r>
      <w:r>
        <w:rPr>
          <w:rFonts w:ascii="Arial" w:cs="Arial" w:eastAsia="Arial" w:hAnsi="Arial"/>
          <w:sz w:val="18"/>
          <w:szCs w:val="18"/>
          <w:color w:val="auto"/>
        </w:rPr>
        <w:t>– A line of non-carbonated energy shakes containing 25-grams of protein. We offer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under the Muscle Monster® Energy Shake product line: Chocolate, Vanilla, Coffee, Strawberry and Peanut Butter Cup.</w:t>
      </w:r>
    </w:p>
    <w:p>
      <w:pPr>
        <w:spacing w:after="0" w:line="1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Monster Energy Extra Strength Nitrous Technology</w:t>
      </w:r>
      <w:r>
        <w:rPr>
          <w:rFonts w:ascii="Arial" w:cs="Arial" w:eastAsia="Arial" w:hAnsi="Arial"/>
          <w:sz w:val="20"/>
          <w:szCs w:val="20"/>
          <w:color w:val="auto"/>
        </w:rPr>
        <w:t>®</w:t>
      </w:r>
      <w:r>
        <w:rPr>
          <w:rFonts w:ascii="Arial" w:cs="Arial" w:eastAsia="Arial" w:hAnsi="Arial"/>
          <w:sz w:val="20"/>
          <w:szCs w:val="20"/>
          <w:i w:val="1"/>
          <w:iCs w:val="1"/>
          <w:color w:val="auto"/>
        </w:rPr>
        <w:t xml:space="preserve"> Energy Drinks </w:t>
      </w:r>
      <w:r>
        <w:rPr>
          <w:rFonts w:ascii="Arial" w:cs="Arial" w:eastAsia="Arial" w:hAnsi="Arial"/>
          <w:sz w:val="20"/>
          <w:szCs w:val="20"/>
          <w:color w:val="auto"/>
        </w:rPr>
        <w:t>- A line of carbonated energy drinks containing nitrous oxide. We</w:t>
      </w:r>
      <w:r>
        <w:rPr>
          <w:rFonts w:ascii="Arial" w:cs="Arial" w:eastAsia="Arial" w:hAnsi="Arial"/>
          <w:sz w:val="20"/>
          <w:szCs w:val="20"/>
          <w:i w:val="1"/>
          <w:iCs w:val="1"/>
          <w:color w:val="auto"/>
        </w:rPr>
        <w:t xml:space="preserve"> </w:t>
      </w:r>
      <w:r>
        <w:rPr>
          <w:rFonts w:ascii="Arial" w:cs="Arial" w:eastAsia="Arial" w:hAnsi="Arial"/>
          <w:sz w:val="20"/>
          <w:szCs w:val="20"/>
          <w:color w:val="auto"/>
        </w:rPr>
        <w:t>offer the following products under the Monster Energy Extra Strength Nitrous Technology® product line: Super Dry™, Anti Gravity® and Black Ice™.</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Monster Rehab® Tea + Energy Drinks </w:t>
      </w:r>
      <w:r>
        <w:rPr>
          <w:rFonts w:ascii="Arial" w:cs="Arial" w:eastAsia="Arial" w:hAnsi="Arial"/>
          <w:sz w:val="20"/>
          <w:szCs w:val="20"/>
          <w:color w:val="auto"/>
        </w:rPr>
        <w:t>- A line of non-carbonated energy drinks with electrolytes. We offer the following products</w:t>
      </w:r>
      <w:r>
        <w:rPr>
          <w:rFonts w:ascii="Arial" w:cs="Arial" w:eastAsia="Arial" w:hAnsi="Arial"/>
          <w:sz w:val="20"/>
          <w:szCs w:val="20"/>
          <w:i w:val="1"/>
          <w:iCs w:val="1"/>
          <w:color w:val="auto"/>
        </w:rPr>
        <w:t xml:space="preserve"> </w:t>
      </w:r>
      <w:r>
        <w:rPr>
          <w:rFonts w:ascii="Arial" w:cs="Arial" w:eastAsia="Arial" w:hAnsi="Arial"/>
          <w:sz w:val="20"/>
          <w:szCs w:val="20"/>
          <w:color w:val="auto"/>
        </w:rPr>
        <w:t>under the Monster Rehab® drink line: Monster Rehab® Tea + Lemonade + Energy, Monster Rehab® Rojo Tea + Energy, Monster Rehab® Green Tea + Energy, Monster Rehab® Protean + Energy, Monster Rehab® Tea + Orangeade + Energy and Monster Rehab® Tea + Pink Lemonade + Energy.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Worx Energy</w:t>
      </w:r>
      <w:r>
        <w:rPr>
          <w:rFonts w:ascii="Arial" w:cs="Arial" w:eastAsia="Arial" w:hAnsi="Arial"/>
          <w:sz w:val="20"/>
          <w:szCs w:val="20"/>
          <w:color w:val="auto"/>
        </w:rPr>
        <w:t>®</w:t>
      </w:r>
      <w:r>
        <w:rPr>
          <w:rFonts w:ascii="Arial" w:cs="Arial" w:eastAsia="Arial" w:hAnsi="Arial"/>
          <w:sz w:val="20"/>
          <w:szCs w:val="20"/>
          <w:i w:val="1"/>
          <w:iCs w:val="1"/>
          <w:color w:val="auto"/>
        </w:rPr>
        <w:t xml:space="preserve"> Energy Shots </w:t>
      </w:r>
      <w:r>
        <w:rPr>
          <w:rFonts w:ascii="Arial" w:cs="Arial" w:eastAsia="Arial" w:hAnsi="Arial"/>
          <w:sz w:val="20"/>
          <w:szCs w:val="20"/>
          <w:color w:val="auto"/>
        </w:rPr>
        <w:t>- A line of energy supplements which contains zero calories and zero sugar. We offer the following</w:t>
      </w:r>
      <w:r>
        <w:rPr>
          <w:rFonts w:ascii="Arial" w:cs="Arial" w:eastAsia="Arial" w:hAnsi="Arial"/>
          <w:sz w:val="20"/>
          <w:szCs w:val="20"/>
          <w:i w:val="1"/>
          <w:iCs w:val="1"/>
          <w:color w:val="auto"/>
        </w:rPr>
        <w:t xml:space="preserve"> </w:t>
      </w:r>
      <w:r>
        <w:rPr>
          <w:rFonts w:ascii="Arial" w:cs="Arial" w:eastAsia="Arial" w:hAnsi="Arial"/>
          <w:sz w:val="20"/>
          <w:szCs w:val="20"/>
          <w:color w:val="auto"/>
        </w:rPr>
        <w:t>products under the Worx Energy® energy shot product line: Original Formula and Extra Strength.</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Peace Tea® Iced Teas </w:t>
      </w:r>
      <w:r>
        <w:rPr>
          <w:rFonts w:ascii="Arial" w:cs="Arial" w:eastAsia="Arial" w:hAnsi="Arial"/>
          <w:sz w:val="20"/>
          <w:szCs w:val="20"/>
          <w:color w:val="auto"/>
        </w:rPr>
        <w:t>- A line of ready-to-drink iced teas. We offer the following teas under the Peace Tea® product line: Green,</w:t>
      </w:r>
      <w:r>
        <w:rPr>
          <w:rFonts w:ascii="Arial" w:cs="Arial" w:eastAsia="Arial" w:hAnsi="Arial"/>
          <w:sz w:val="20"/>
          <w:szCs w:val="20"/>
          <w:i w:val="1"/>
          <w:iCs w:val="1"/>
          <w:color w:val="auto"/>
        </w:rPr>
        <w:t xml:space="preserve"> </w:t>
      </w:r>
      <w:r>
        <w:rPr>
          <w:rFonts w:ascii="Arial" w:cs="Arial" w:eastAsia="Arial" w:hAnsi="Arial"/>
          <w:sz w:val="20"/>
          <w:szCs w:val="20"/>
          <w:color w:val="auto"/>
        </w:rPr>
        <w:t>imported Ceylon, Sweet Lemon, Razzleberry, Cranberry, Pink Lemonade, Georgia Peach, Sno-Berry, Texas-Style Sweet tea as well as Caddy Shack® tea + lemonade.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Warehouse Segment</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Hansen’s® Brand Sodas - </w:t>
      </w:r>
      <w:r>
        <w:rPr>
          <w:rFonts w:ascii="Arial" w:cs="Arial" w:eastAsia="Arial" w:hAnsi="Arial"/>
          <w:sz w:val="18"/>
          <w:szCs w:val="18"/>
          <w:color w:val="auto"/>
        </w:rPr>
        <w:t>Hansen’s® brand sodas have been a leading natural soda brand on the West Coast of the United States 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30 years and are made with natural flavors. Hansen’s® brand sodas, sweetened with cane sugar, and Hansen’s® Diet Sodas,</w:t>
      </w:r>
    </w:p>
    <w:p>
      <w:pPr>
        <w:sectPr>
          <w:pgSz w:w="11900" w:h="16926" w:orient="portrait"/>
          <w:cols w:equalWidth="0" w:num="1">
            <w:col w:w="11420"/>
          </w:cols>
          <w:pgMar w:left="240" w:top="122" w:right="239" w:bottom="0" w:gutter="0" w:footer="0" w:header="0"/>
        </w:sectPr>
      </w:pPr>
    </w:p>
    <w:bookmarkStart w:id="4" w:name="page5"/>
    <w:bookmarkEnd w:id="4"/>
    <w:p>
      <w:pPr>
        <w:spacing w:after="0" w:line="3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sweetened with Splenda® no calorie sweetener and Acesulfame-K, contain no preservatives, sodium, or caffeine. We offer the following sodas in a variety of flavors under the Hansen’s® brand name: Hansen’s® Sodas, Hansen’s® Diet Sodas and Hansen’s® Natural Mixers. We also offer unsweetened Hansen’s® Sparkling Waters, in a variety of flavors. In March 2013, we added Grape and Orange flavors to the Hansen’s® Sodas and Hansen’s® Diet Sodas product lines.</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In March 2013, we introduced Hansen’s® Sparkling Fruit Beverages, a line of sparkling water beverages available in a variety of fruit flavors. Hansen’s® Sparkling Fruit Beverages have 10 calories per serving and are naturally sweetened with apple juice, stevia leaf extract and monk fruit extract. Hansen’s® Sparkling Fruit Beverages contain no preservatives, artificial sweeteners, or caffeine.</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Blue Sky</w:t>
      </w:r>
      <w:r>
        <w:rPr>
          <w:rFonts w:ascii="Arial" w:cs="Arial" w:eastAsia="Arial" w:hAnsi="Arial"/>
          <w:sz w:val="18"/>
          <w:szCs w:val="18"/>
          <w:color w:val="auto"/>
        </w:rPr>
        <w:t>®</w:t>
      </w:r>
      <w:r>
        <w:rPr>
          <w:rFonts w:ascii="Arial" w:cs="Arial" w:eastAsia="Arial" w:hAnsi="Arial"/>
          <w:sz w:val="18"/>
          <w:szCs w:val="18"/>
          <w:i w:val="1"/>
          <w:iCs w:val="1"/>
          <w:color w:val="auto"/>
        </w:rPr>
        <w:t xml:space="preserve"> Products - </w:t>
      </w:r>
      <w:r>
        <w:rPr>
          <w:rFonts w:ascii="Arial" w:cs="Arial" w:eastAsia="Arial" w:hAnsi="Arial"/>
          <w:sz w:val="18"/>
          <w:szCs w:val="18"/>
          <w:color w:val="auto"/>
        </w:rPr>
        <w:t>Our Blue Sky® products contain no preservatives, artificial sweeteners or caffeine (other than our Blue Sky®</w:t>
      </w:r>
      <w:r>
        <w:rPr>
          <w:rFonts w:ascii="Arial" w:cs="Arial" w:eastAsia="Arial" w:hAnsi="Arial"/>
          <w:sz w:val="18"/>
          <w:szCs w:val="18"/>
          <w:i w:val="1"/>
          <w:iCs w:val="1"/>
          <w:color w:val="auto"/>
        </w:rPr>
        <w:t xml:space="preserve"> </w:t>
      </w:r>
      <w:r>
        <w:rPr>
          <w:rFonts w:ascii="Arial" w:cs="Arial" w:eastAsia="Arial" w:hAnsi="Arial"/>
          <w:sz w:val="18"/>
          <w:szCs w:val="18"/>
          <w:color w:val="auto"/>
        </w:rPr>
        <w:t>energy drinks) and are made with natural flavors. We offer the following products under the Blue Sky® product line: Blue Sky® Natural Soda, Blue Sky® Zero Calorie Sodas (sweetened with Truvia® brand stevia leaf extract), Blue Sky® Organic Natural Sodas, Blue Sky® Seltzer Waters, Blue Sky® Blue Energy® drinks, Blue Sky® Zero Calorie Blue Energy® drinks and Blue Sky® Café Energy drinks.</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i w:val="1"/>
          <w:iCs w:val="1"/>
          <w:color w:val="auto"/>
        </w:rPr>
        <w:t>Hansen’s</w:t>
      </w:r>
      <w:r>
        <w:rPr>
          <w:rFonts w:ascii="Arial" w:cs="Arial" w:eastAsia="Arial" w:hAnsi="Arial"/>
          <w:sz w:val="20"/>
          <w:szCs w:val="20"/>
          <w:color w:val="auto"/>
        </w:rPr>
        <w:t>®</w:t>
      </w:r>
      <w:r>
        <w:rPr>
          <w:rFonts w:ascii="Arial" w:cs="Arial" w:eastAsia="Arial" w:hAnsi="Arial"/>
          <w:sz w:val="20"/>
          <w:szCs w:val="20"/>
          <w:i w:val="1"/>
          <w:iCs w:val="1"/>
          <w:color w:val="auto"/>
        </w:rPr>
        <w:t xml:space="preserve"> Energy Drinks - </w:t>
      </w:r>
      <w:r>
        <w:rPr>
          <w:rFonts w:ascii="Arial" w:cs="Arial" w:eastAsia="Arial" w:hAnsi="Arial"/>
          <w:sz w:val="20"/>
          <w:szCs w:val="20"/>
          <w:color w:val="auto"/>
        </w:rPr>
        <w:t>Our original Hansen’s</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Energy Drinks compete in the “functional” beverage category, namely, beverages</w:t>
      </w:r>
      <w:r>
        <w:rPr>
          <w:rFonts w:ascii="Arial" w:cs="Arial" w:eastAsia="Arial" w:hAnsi="Arial"/>
          <w:sz w:val="20"/>
          <w:szCs w:val="20"/>
          <w:i w:val="1"/>
          <w:iCs w:val="1"/>
          <w:color w:val="auto"/>
        </w:rPr>
        <w:t xml:space="preserve"> </w:t>
      </w:r>
      <w:r>
        <w:rPr>
          <w:rFonts w:ascii="Arial" w:cs="Arial" w:eastAsia="Arial" w:hAnsi="Arial"/>
          <w:sz w:val="20"/>
          <w:szCs w:val="20"/>
          <w:color w:val="auto"/>
        </w:rPr>
        <w:t>that provide a benefit in addition to simply delivering refreshment. We offer the following products under the Hansen’s</w:t>
      </w:r>
      <w:r>
        <w:rPr>
          <w:rFonts w:ascii="Arial" w:cs="Arial" w:eastAsia="Arial" w:hAnsi="Arial"/>
          <w:sz w:val="20"/>
          <w:szCs w:val="20"/>
          <w:b w:val="1"/>
          <w:bCs w:val="1"/>
          <w:color w:val="auto"/>
        </w:rPr>
        <w:t>®</w:t>
      </w:r>
      <w:r>
        <w:rPr>
          <w:rFonts w:ascii="Arial" w:cs="Arial" w:eastAsia="Arial" w:hAnsi="Arial"/>
          <w:sz w:val="20"/>
          <w:szCs w:val="20"/>
          <w:color w:val="auto"/>
        </w:rPr>
        <w:t xml:space="preserve"> Energy Drink product line: Hansen’s® Natural Energy Pro and Hansen’s</w:t>
      </w:r>
      <w:r>
        <w:rPr>
          <w:rFonts w:ascii="Arial" w:cs="Arial" w:eastAsia="Arial" w:hAnsi="Arial"/>
          <w:sz w:val="20"/>
          <w:szCs w:val="20"/>
          <w:b w:val="1"/>
          <w:bCs w:val="1"/>
          <w:color w:val="auto"/>
        </w:rPr>
        <w:t>®</w:t>
      </w:r>
      <w:r>
        <w:rPr>
          <w:rFonts w:ascii="Arial" w:cs="Arial" w:eastAsia="Arial" w:hAnsi="Arial"/>
          <w:sz w:val="20"/>
          <w:szCs w:val="20"/>
          <w:color w:val="auto"/>
        </w:rPr>
        <w:t xml:space="preserve"> Energy Diet Red.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Hansen’s® Juice Products - </w:t>
      </w:r>
      <w:r>
        <w:rPr>
          <w:rFonts w:ascii="Arial" w:cs="Arial" w:eastAsia="Arial" w:hAnsi="Arial"/>
          <w:sz w:val="18"/>
          <w:szCs w:val="18"/>
          <w:color w:val="auto"/>
        </w:rPr>
        <w:t>Our fruit juice product line includes Hansen’s® Natural Apple Juice, Grape Juice, White Grape Juice,</w:t>
      </w:r>
      <w:r>
        <w:rPr>
          <w:rFonts w:ascii="Arial" w:cs="Arial" w:eastAsia="Arial" w:hAnsi="Arial"/>
          <w:sz w:val="18"/>
          <w:szCs w:val="18"/>
          <w:i w:val="1"/>
          <w:iCs w:val="1"/>
          <w:color w:val="auto"/>
        </w:rPr>
        <w:t xml:space="preserve"> </w:t>
      </w:r>
      <w:r>
        <w:rPr>
          <w:rFonts w:ascii="Arial" w:cs="Arial" w:eastAsia="Arial" w:hAnsi="Arial"/>
          <w:sz w:val="18"/>
          <w:szCs w:val="18"/>
          <w:color w:val="auto"/>
        </w:rPr>
        <w:t>Pineapple Juice, Apple Grape Juice, Apple Strawberry Juice, Orange Juice, Cranberry Juice, Cranberry-Apple Juice, Cranberry-Grape Juice, Ruby Red Grapefruit Juice, Apple Orange Pineapple Juice and Organic Apple Juice. Our juice product line contains 100% juice and 120% of the United States Recommended Daily Allowances (the “USRDA”) for vitamin C. In August 2013, we added Hansen’s® Natural Apple Cider, which also contains apple puree. We also offer Hansen’s® Natural Lo-Cal juice cocktails, a line of low-calorie cocktails in three flavors. The Lo-Cal juice cocktails are sweetened with Truvia® brand sweetener. Hansen’s® juice products compete in the shelf-stable juice category.</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Hansen’s® Aseptic Juices - </w:t>
      </w:r>
      <w:r>
        <w:rPr>
          <w:rFonts w:ascii="Arial" w:cs="Arial" w:eastAsia="Arial" w:hAnsi="Arial"/>
          <w:sz w:val="20"/>
          <w:szCs w:val="20"/>
          <w:color w:val="auto"/>
        </w:rPr>
        <w:t>We offer a number of aseptically packed boxed juice products, including our dual-branded multi-vitamin</w:t>
      </w:r>
      <w:r>
        <w:rPr>
          <w:rFonts w:ascii="Arial" w:cs="Arial" w:eastAsia="Arial" w:hAnsi="Arial"/>
          <w:sz w:val="20"/>
          <w:szCs w:val="20"/>
          <w:i w:val="1"/>
          <w:iCs w:val="1"/>
          <w:color w:val="auto"/>
        </w:rPr>
        <w:t xml:space="preserve"> </w:t>
      </w:r>
      <w:r>
        <w:rPr>
          <w:rFonts w:ascii="Arial" w:cs="Arial" w:eastAsia="Arial" w:hAnsi="Arial"/>
          <w:sz w:val="20"/>
          <w:szCs w:val="20"/>
          <w:color w:val="auto"/>
        </w:rPr>
        <w:t>100% juice line, which we sell in conjunction with Costco Wholesale Corporation (“Costco”) through Costco stores. We also offer our Hansen’s® Natural line of multi-vitamin 100% juices, containing eleven essential vitamins and six essential minerals, Hansen’s® Natural Organic Apple Juice and Hansen’s® Natural Coconut Water Twist®, a line of fruit and coconut water juices containing 100% of the daily recommended allowance of vitamin C. In December 2013, we added Hansen’s® Natural Organic Fruit Punch and Organic Apple Berry flavors to our boxed juice product line.</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Hansen’s® Junior Juice® product line is a 100% juice line targeted at toddlers and preschoolers. These juices have added calcium and all flavors contain 100% of the daily recommended allowance of vitamin C. We also offer Hansen’s® Organic Junior Juice® as well as Hansen’s® Organic Junior Water®, the latter, a lightly flavored reduced calorie beverage, both of which contain 100% of the daily recommended allowance of vitamin C.</w:t>
      </w:r>
    </w:p>
    <w:p>
      <w:pPr>
        <w:spacing w:after="0" w:line="205" w:lineRule="exact"/>
        <w:rPr>
          <w:sz w:val="20"/>
          <w:szCs w:val="20"/>
          <w:color w:val="auto"/>
        </w:rPr>
      </w:pPr>
    </w:p>
    <w:p>
      <w:pPr>
        <w:jc w:val="both"/>
        <w:ind w:firstLine="702"/>
        <w:spacing w:after="0" w:line="274" w:lineRule="auto"/>
        <w:rPr>
          <w:sz w:val="20"/>
          <w:szCs w:val="20"/>
          <w:color w:val="auto"/>
        </w:rPr>
      </w:pPr>
      <w:r>
        <w:rPr>
          <w:rFonts w:ascii="Arial" w:cs="Arial" w:eastAsia="Arial" w:hAnsi="Arial"/>
          <w:sz w:val="18"/>
          <w:szCs w:val="18"/>
          <w:i w:val="1"/>
          <w:iCs w:val="1"/>
          <w:color w:val="auto"/>
        </w:rPr>
        <w:t xml:space="preserve">Hubert’s® Lemonades - </w:t>
      </w:r>
      <w:r>
        <w:rPr>
          <w:rFonts w:ascii="Arial" w:cs="Arial" w:eastAsia="Arial" w:hAnsi="Arial"/>
          <w:sz w:val="18"/>
          <w:szCs w:val="18"/>
          <w:color w:val="auto"/>
        </w:rPr>
        <w:t>Our Hubert’s</w:t>
      </w:r>
      <w:r>
        <w:rPr>
          <w:rFonts w:ascii="Arial" w:cs="Arial" w:eastAsia="Arial" w:hAnsi="Arial"/>
          <w:sz w:val="18"/>
          <w:szCs w:val="18"/>
          <w:i w:val="1"/>
          <w:iCs w:val="1"/>
          <w:color w:val="auto"/>
        </w:rPr>
        <w:t xml:space="preserve">® </w:t>
      </w:r>
      <w:r>
        <w:rPr>
          <w:rFonts w:ascii="Arial" w:cs="Arial" w:eastAsia="Arial" w:hAnsi="Arial"/>
          <w:sz w:val="18"/>
          <w:szCs w:val="18"/>
          <w:color w:val="auto"/>
        </w:rPr>
        <w:t>Lemonade is a line of premium ready-to-drink lemonades. Hubert’s</w:t>
      </w:r>
      <w:r>
        <w:rPr>
          <w:rFonts w:ascii="Arial" w:cs="Arial" w:eastAsia="Arial" w:hAnsi="Arial"/>
          <w:sz w:val="18"/>
          <w:szCs w:val="18"/>
          <w:i w:val="1"/>
          <w:iCs w:val="1"/>
          <w:color w:val="auto"/>
        </w:rPr>
        <w:t xml:space="preserve">® </w:t>
      </w:r>
      <w:r>
        <w:rPr>
          <w:rFonts w:ascii="Arial" w:cs="Arial" w:eastAsia="Arial" w:hAnsi="Arial"/>
          <w:sz w:val="18"/>
          <w:szCs w:val="18"/>
          <w:color w:val="auto"/>
        </w:rPr>
        <w:t>Lemonade is sweetened</w:t>
      </w:r>
      <w:r>
        <w:rPr>
          <w:rFonts w:ascii="Arial" w:cs="Arial" w:eastAsia="Arial" w:hAnsi="Arial"/>
          <w:sz w:val="18"/>
          <w:szCs w:val="18"/>
          <w:i w:val="1"/>
          <w:iCs w:val="1"/>
          <w:color w:val="auto"/>
        </w:rPr>
        <w:t xml:space="preserve"> </w:t>
      </w:r>
      <w:r>
        <w:rPr>
          <w:rFonts w:ascii="Arial" w:cs="Arial" w:eastAsia="Arial" w:hAnsi="Arial"/>
          <w:sz w:val="18"/>
          <w:szCs w:val="18"/>
          <w:color w:val="auto"/>
        </w:rPr>
        <w:t>with cane sugar and stevia leaf extract. Hubert’s</w:t>
      </w:r>
      <w:r>
        <w:rPr>
          <w:rFonts w:ascii="Arial" w:cs="Arial" w:eastAsia="Arial" w:hAnsi="Arial"/>
          <w:sz w:val="18"/>
          <w:szCs w:val="18"/>
          <w:i w:val="1"/>
          <w:iCs w:val="1"/>
          <w:color w:val="auto"/>
        </w:rPr>
        <w:t>®</w:t>
      </w:r>
      <w:r>
        <w:rPr>
          <w:rFonts w:ascii="Arial" w:cs="Arial" w:eastAsia="Arial" w:hAnsi="Arial"/>
          <w:sz w:val="18"/>
          <w:szCs w:val="18"/>
          <w:color w:val="auto"/>
        </w:rPr>
        <w:t xml:space="preserve"> Lemonade contains no preservatives, artificial sweeteners, artificial flavors or caffeine. We offer the following products under the Hubert’s</w:t>
      </w:r>
      <w:r>
        <w:rPr>
          <w:rFonts w:ascii="Arial" w:cs="Arial" w:eastAsia="Arial" w:hAnsi="Arial"/>
          <w:sz w:val="18"/>
          <w:szCs w:val="18"/>
          <w:i w:val="1"/>
          <w:iCs w:val="1"/>
          <w:color w:val="auto"/>
        </w:rPr>
        <w:t>®</w:t>
      </w:r>
      <w:r>
        <w:rPr>
          <w:rFonts w:ascii="Arial" w:cs="Arial" w:eastAsia="Arial" w:hAnsi="Arial"/>
          <w:sz w:val="18"/>
          <w:szCs w:val="18"/>
          <w:color w:val="auto"/>
        </w:rPr>
        <w:t xml:space="preserve"> Lemonade product line: Original Lemonade, Strawberry Lemonade, Limeade, Mango Lemonade, Raspberry Lemonade, Cherry Limeade and Blackberry Lemonade. In July 2013, we introduced a Diet Lemonade sub-line of select flavors. Hubert’s® Diet Lemonade has 10 calories per a serving and is naturally sweetened with stevia leaf extract, monk fruit extract and cane sugar. We also market Hubert’s® Half &amp; Half, a line of premium ready-to-drink lemonade + tea drinks, in a variety of flavors. Hubert’s® Half &amp; Half is sweetened with cane sugar and stevia leaf extract, and contains no preservatives or artificial sweeteners.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Hansen’s® Natural Fruit Stix</w:t>
      </w:r>
      <w:r>
        <w:rPr>
          <w:rFonts w:ascii="Arial" w:cs="Arial" w:eastAsia="Arial" w:hAnsi="Arial"/>
          <w:sz w:val="20"/>
          <w:szCs w:val="20"/>
          <w:color w:val="auto"/>
        </w:rPr>
        <w:t>®</w:t>
      </w:r>
      <w:r>
        <w:rPr>
          <w:rFonts w:ascii="Arial" w:cs="Arial" w:eastAsia="Arial" w:hAnsi="Arial"/>
          <w:sz w:val="20"/>
          <w:szCs w:val="20"/>
          <w:i w:val="1"/>
          <w:iCs w:val="1"/>
          <w:color w:val="auto"/>
        </w:rPr>
        <w:t xml:space="preserve"> and Tea Stix™ - </w:t>
      </w:r>
      <w:r>
        <w:rPr>
          <w:rFonts w:ascii="Arial" w:cs="Arial" w:eastAsia="Arial" w:hAnsi="Arial"/>
          <w:sz w:val="20"/>
          <w:szCs w:val="20"/>
          <w:color w:val="auto"/>
        </w:rPr>
        <w:t>Our Fruit and Tea Stix™ product line is an all-natural, low-calorie powder drink mix</w:t>
      </w:r>
      <w:r>
        <w:rPr>
          <w:rFonts w:ascii="Arial" w:cs="Arial" w:eastAsia="Arial" w:hAnsi="Arial"/>
          <w:sz w:val="20"/>
          <w:szCs w:val="20"/>
          <w:i w:val="1"/>
          <w:iCs w:val="1"/>
          <w:color w:val="auto"/>
        </w:rPr>
        <w:t xml:space="preserve"> </w:t>
      </w:r>
      <w:r>
        <w:rPr>
          <w:rFonts w:ascii="Arial" w:cs="Arial" w:eastAsia="Arial" w:hAnsi="Arial"/>
          <w:sz w:val="20"/>
          <w:szCs w:val="20"/>
          <w:color w:val="auto"/>
        </w:rPr>
        <w:t>line, sweetened naturally with Truvia® sweetener.</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PRE® Drink Mixes - </w:t>
      </w:r>
      <w:r>
        <w:rPr>
          <w:rFonts w:ascii="Arial" w:cs="Arial" w:eastAsia="Arial" w:hAnsi="Arial"/>
          <w:sz w:val="20"/>
          <w:szCs w:val="20"/>
          <w:color w:val="auto"/>
        </w:rPr>
        <w:t>Our Hansen’s® Natural PRE® Drink Mix is a line of probiotic digestive wellness powder drink mixes containing</w:t>
      </w:r>
      <w:r>
        <w:rPr>
          <w:rFonts w:ascii="Arial" w:cs="Arial" w:eastAsia="Arial" w:hAnsi="Arial"/>
          <w:sz w:val="20"/>
          <w:szCs w:val="20"/>
          <w:i w:val="1"/>
          <w:iCs w:val="1"/>
          <w:color w:val="auto"/>
        </w:rPr>
        <w:t xml:space="preserve"> </w:t>
      </w:r>
      <w:r>
        <w:rPr>
          <w:rFonts w:ascii="Arial" w:cs="Arial" w:eastAsia="Arial" w:hAnsi="Arial"/>
          <w:sz w:val="20"/>
          <w:szCs w:val="20"/>
          <w:color w:val="auto"/>
        </w:rPr>
        <w:t>specially formulated blends by Jarrow Formulas. PRE</w:t>
      </w:r>
      <w:r>
        <w:rPr>
          <w:rFonts w:ascii="Arial" w:cs="Arial" w:eastAsia="Arial" w:hAnsi="Arial"/>
          <w:sz w:val="20"/>
          <w:szCs w:val="20"/>
          <w:i w:val="1"/>
          <w:iCs w:val="1"/>
          <w:color w:val="auto"/>
        </w:rPr>
        <w:t>®</w:t>
      </w:r>
      <w:r>
        <w:rPr>
          <w:rFonts w:ascii="Arial" w:cs="Arial" w:eastAsia="Arial" w:hAnsi="Arial"/>
          <w:sz w:val="20"/>
          <w:szCs w:val="20"/>
          <w:color w:val="auto"/>
        </w:rPr>
        <w:t xml:space="preserve"> probiotic powder drink mix is sweetened with cane sugar and stevia leaf extract and available in a variety of fruit flavors.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Products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continue to evaluate and, where considered appropriate, introduce additional flavors and types of beverages to complement our existing product lines. We may also evaluate, and where considered appropriate, introduce additional types of consumer products we consider are complementary to our existing products and/or to which our brand names are able to add value.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also develop and supply, on a limited exclusive basis, selected beverages in different formats to a limited number of customers, with the objective of solidifying and/or enhancing our relationship with those customers.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Manufacture and Distribution</w:t>
      </w:r>
    </w:p>
    <w:p>
      <w:pPr>
        <w:sectPr>
          <w:pgSz w:w="11900" w:h="16875" w:orient="portrait"/>
          <w:cols w:equalWidth="0" w:num="1">
            <w:col w:w="11420"/>
          </w:cols>
          <w:pgMar w:left="240" w:top="122" w:right="239" w:bottom="0" w:gutter="0" w:footer="0" w:header="0"/>
        </w:sectPr>
      </w:pPr>
    </w:p>
    <w:bookmarkStart w:id="5" w:name="page6"/>
    <w:bookmarkEnd w:id="5"/>
    <w:p>
      <w:pPr>
        <w:jc w:val="both"/>
        <w:ind w:right="20" w:firstLine="648"/>
        <w:spacing w:after="0" w:line="260" w:lineRule="auto"/>
        <w:rPr>
          <w:sz w:val="20"/>
          <w:szCs w:val="20"/>
          <w:color w:val="auto"/>
        </w:rPr>
      </w:pPr>
      <w:r>
        <w:rPr>
          <w:rFonts w:ascii="Arial" w:cs="Arial" w:eastAsia="Arial" w:hAnsi="Arial"/>
          <w:sz w:val="20"/>
          <w:szCs w:val="20"/>
          <w:color w:val="auto"/>
        </w:rPr>
        <w:t>We do not directly manufacture our products, but instead outsource the manufacturing process to third party bottlers and contract packers.</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purchase concentrates, sweeteners, juices, flavors, dietary ingredients, cans, bottles, aseptic boxes, caps, labels, trays, boxes and other ingredients for our beverage products from our suppliers, which are delivered to our various third party bottlers and co-packers. In some cases, certain common supplies may be purchased by our various third party bottlers and co-packers. Depending on the product, the third party bottlers or packers add filtered water and/or other ingredients (including dietary ingredients) for the manufacture and packaging of the finished products into our approved containers in accordance with our formulas. Depending on the beverage, the bottler/packer may also add carbonation to the products as part of the production process.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Co-Packing Arrangements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All of our beverage products are manufactured by various third party bottlers and co-packers situated throughout the United States and abroad, under separate arrangements with each party. The majority of our co-packaging arrangements are generally on a month-to-month basis or are terminable upon request and do not generally obligate us to produce any minimum quantities of products within specified periods.</w:t>
      </w:r>
    </w:p>
    <w:p>
      <w:pPr>
        <w:spacing w:after="0" w:line="165" w:lineRule="exact"/>
        <w:rPr>
          <w:sz w:val="20"/>
          <w:szCs w:val="20"/>
          <w:color w:val="auto"/>
        </w:rPr>
      </w:pPr>
    </w:p>
    <w:p>
      <w:pPr>
        <w:jc w:val="both"/>
        <w:ind w:firstLine="702"/>
        <w:spacing w:after="0" w:line="246" w:lineRule="auto"/>
        <w:rPr>
          <w:sz w:val="20"/>
          <w:szCs w:val="20"/>
          <w:color w:val="auto"/>
        </w:rPr>
      </w:pPr>
      <w:r>
        <w:rPr>
          <w:rFonts w:ascii="Arial" w:cs="Arial" w:eastAsia="Arial" w:hAnsi="Arial"/>
          <w:sz w:val="20"/>
          <w:szCs w:val="20"/>
          <w:color w:val="auto"/>
        </w:rPr>
        <w:t>In some instances subject to agreement, certain equipment may be purchased by us and installed at the facilities of our co-packers to enable them to produce certain of our products. In general, such equipment remains our property and is returned to us upon termination of the packing arrangements with such co-packers, unless we are reimbursed by the co-packer via a per case credit over a pre-determined number of cases that are produced at the facilities concerned.</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are generally responsible for arranging for the purchase and delivery to our third party bottlers and co-packers of the containers in which our beverage products are packaged.</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We pack certain of our products in a number of locations both domestically and internationally, including Australia, Brazil, Canada, Europe, Mexico and the United States, to enable us to produce products closer to the markets where they are sold, with the objective of reducing freight costs as well as transportation-related product damages. As distribution volumes increase in both our domestic and international markets, we will continue to source additional packing arrangements closer to such markets to further reduce freight costs. Our ability to estimate demand for our products is imprecise, particularly with new products, and may be less precise during periods of rapid growth, particularly in new markets. If we materially underestimate demand for our products and/or are unable to secure sufficient ingredients or raw materials including, but not limited to aluminum cans, PET plastic bottles, aseptic boxes, glass, labels, flavors, juice concentrates, dietary ingredients, other ingredients and certain sweeteners, and/or procure adequate packing arrangements and/or obtain adequate or timely shipment of our products, we might not be able to satisfy demand on a short-term basis. (See “Part I, Item 1A – Risk Factors”).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Our production arrangements are generally of short duration or are terminable upon our request. For certain of our products, including our Monster Energy® brand energy drinks, our Peace Tea® products, our Hansen’s® brand energy drinks, our aseptic juice products, our Hubert’s® lemonades, our Java Monster® product line, our Muscle Monster® product line, our Punch Monster™ product line and certain of our other products, there are limited co-packing facilities in our domestic and international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markets with adequate capacity and/or suitable equipment to package our products. We believe a short disruption or delay in production would not significantly affect our revenues; however, as alternative co-packing facilities in our domestic and international markets with adequate long-term capacity may not be available for such products, either at commercially reasonable rates and/or within a reasonably short time period, if at all, a lengthy disruption or delay in production of any of such products could significantly affect our revenues.</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continue to actively seek alternative and/or additional advantageously located co-packing facilities around the world, particularly in Asia, Canada, Central America, Europe, Mexico, the Middle East, South Africa, South America and the United States with adequate capacity and capability for the production of our various products to minimize transportation costs and transportation-related damages as well as to mitigate the risk of a disruption in production and/or importation.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Distribution Agreements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During 2013, we continued to expand distribution of our products in both our domestic and international markets, and our Monster Energy® drinks are now sold in approximately 114 countries and territories around the world. We have entered into agreements with various distributors providing for the distribution of our products during initial terms of up to twenty years, which may be renewed thereafter for additional terms ranging from one to five years. Such agreements remain in effect for their then current term as long as our products are being distributed, but may be terminated by either party upon written notice. We are generally entitled to terminate such agreements at any time without cause upon payment of a termination fee.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Certain of our material distribution agreements, as amended from time to time, are described below:</w:t>
      </w:r>
    </w:p>
    <w:p>
      <w:pPr>
        <w:spacing w:after="0" w:line="229" w:lineRule="exact"/>
        <w:rPr>
          <w:sz w:val="20"/>
          <w:szCs w:val="20"/>
          <w:color w:val="auto"/>
        </w:rPr>
      </w:pPr>
    </w:p>
    <w:p>
      <w:pPr>
        <w:jc w:val="both"/>
        <w:ind w:left="660" w:hanging="328"/>
        <w:spacing w:after="0" w:line="246" w:lineRule="auto"/>
        <w:tabs>
          <w:tab w:leader="none" w:pos="659" w:val="left"/>
        </w:tabs>
        <w:numPr>
          <w:ilvl w:val="0"/>
          <w:numId w:val="5"/>
        </w:numPr>
        <w:rPr>
          <w:rFonts w:ascii="Arial" w:cs="Arial" w:eastAsia="Arial" w:hAnsi="Arial"/>
          <w:sz w:val="20"/>
          <w:szCs w:val="20"/>
          <w:color w:val="auto"/>
        </w:rPr>
      </w:pPr>
      <w:r>
        <w:rPr>
          <w:rFonts w:ascii="Arial" w:cs="Arial" w:eastAsia="Arial" w:hAnsi="Arial"/>
          <w:sz w:val="20"/>
          <w:szCs w:val="20"/>
          <w:color w:val="auto"/>
        </w:rPr>
        <w:t>Monster Beverages Off-Premise Distribution Coordination Agreement and the Allied Products Distribution Coordination Agreement (jointly, the “Off-Premise Agreements”) with Anheuser-Busch, Inc., a Missouri corporation (“AB”), under which select Anheuser-Busch distributors (the “AB Distributors”) distribute and sell, primarily our Monster Energy® drinks, as well as additional products that may be agreed between the parties in various territories within the United States.</w:t>
      </w:r>
    </w:p>
    <w:p>
      <w:pPr>
        <w:sectPr>
          <w:pgSz w:w="11900" w:h="16838" w:orient="portrait"/>
          <w:cols w:equalWidth="0" w:num="1">
            <w:col w:w="11420"/>
          </w:cols>
          <w:pgMar w:left="240" w:top="352" w:right="239" w:bottom="41" w:gutter="0" w:footer="0" w:header="0"/>
        </w:sectPr>
      </w:pPr>
    </w:p>
    <w:bookmarkStart w:id="6" w:name="page7"/>
    <w:bookmarkEnd w:id="6"/>
    <w:p>
      <w:pPr>
        <w:ind w:left="660" w:hanging="328"/>
        <w:spacing w:after="0" w:line="262" w:lineRule="auto"/>
        <w:tabs>
          <w:tab w:leader="none" w:pos="724" w:val="left"/>
        </w:tabs>
        <w:numPr>
          <w:ilvl w:val="0"/>
          <w:numId w:val="6"/>
        </w:numPr>
        <w:rPr>
          <w:rFonts w:ascii="Arial" w:cs="Arial" w:eastAsia="Arial" w:hAnsi="Arial"/>
          <w:sz w:val="20"/>
          <w:szCs w:val="20"/>
          <w:color w:val="auto"/>
        </w:rPr>
      </w:pPr>
      <w:r>
        <w:rPr>
          <w:rFonts w:ascii="Arial" w:cs="Arial" w:eastAsia="Arial" w:hAnsi="Arial"/>
          <w:sz w:val="20"/>
          <w:szCs w:val="20"/>
          <w:color w:val="auto"/>
        </w:rPr>
        <w:t>On-Premise Distribution Coordination Agreement (the “On-Premise Agreement”) with AB, under which select AB Distributors distribute and sell our Monster Energy® drinks to food service on-premise accounts.</w:t>
      </w:r>
    </w:p>
    <w:p>
      <w:pPr>
        <w:spacing w:after="0" w:line="187" w:lineRule="exact"/>
        <w:rPr>
          <w:rFonts w:ascii="Arial" w:cs="Arial" w:eastAsia="Arial" w:hAnsi="Arial"/>
          <w:sz w:val="20"/>
          <w:szCs w:val="20"/>
          <w:color w:val="auto"/>
        </w:rPr>
      </w:pPr>
    </w:p>
    <w:p>
      <w:pPr>
        <w:jc w:val="both"/>
        <w:ind w:left="660" w:hanging="328"/>
        <w:spacing w:after="0" w:line="243" w:lineRule="auto"/>
        <w:tabs>
          <w:tab w:leader="none" w:pos="659" w:val="left"/>
        </w:tabs>
        <w:numPr>
          <w:ilvl w:val="0"/>
          <w:numId w:val="6"/>
        </w:numPr>
        <w:rPr>
          <w:rFonts w:ascii="Arial" w:cs="Arial" w:eastAsia="Arial" w:hAnsi="Arial"/>
          <w:sz w:val="20"/>
          <w:szCs w:val="20"/>
          <w:color w:val="auto"/>
        </w:rPr>
      </w:pPr>
      <w:r>
        <w:rPr>
          <w:rFonts w:ascii="Arial" w:cs="Arial" w:eastAsia="Arial" w:hAnsi="Arial"/>
          <w:sz w:val="20"/>
          <w:szCs w:val="20"/>
          <w:color w:val="auto"/>
        </w:rPr>
        <w:t>Monster Energy Distribution Coordination Agreement (the “TCCC North American Coordination Agreement”) with The Coca-Cola Company (“TCCC”), pursuant to which we have designated, and in the future may designate, subject to TCCC’s approval, territories in Canada and the United States in which bottlers from TCCC’s network of wholly or partially-owned and independent bottlers, including Coca-Cola Refreshments USA, Inc. (“CCR”),(formerly known as Coca-Cola Enterprises, Inc. (“CCE”)), Coca-Cola Bottling Company (“CCBC”), CCBCC Operations, LLC (“Consolidated”), United Bottling Contracts Company, LLC (“United”), and other TCCC independent bottlers (collectively, the “TCCC North American Bottlers”) will distribute and sell primarily our Monster Energy® drinks.</w:t>
      </w:r>
    </w:p>
    <w:p>
      <w:pPr>
        <w:spacing w:after="0" w:line="206" w:lineRule="exact"/>
        <w:rPr>
          <w:rFonts w:ascii="Arial" w:cs="Arial" w:eastAsia="Arial" w:hAnsi="Arial"/>
          <w:sz w:val="20"/>
          <w:szCs w:val="20"/>
          <w:color w:val="auto"/>
        </w:rPr>
      </w:pPr>
    </w:p>
    <w:p>
      <w:pPr>
        <w:jc w:val="both"/>
        <w:ind w:left="660" w:hanging="328"/>
        <w:spacing w:after="0" w:line="243" w:lineRule="auto"/>
        <w:tabs>
          <w:tab w:leader="none" w:pos="670" w:val="left"/>
        </w:tabs>
        <w:numPr>
          <w:ilvl w:val="0"/>
          <w:numId w:val="6"/>
        </w:numPr>
        <w:rPr>
          <w:rFonts w:ascii="Arial" w:cs="Arial" w:eastAsia="Arial" w:hAnsi="Arial"/>
          <w:sz w:val="20"/>
          <w:szCs w:val="20"/>
          <w:color w:val="auto"/>
        </w:rPr>
      </w:pPr>
      <w:r>
        <w:rPr>
          <w:rFonts w:ascii="Arial" w:cs="Arial" w:eastAsia="Arial" w:hAnsi="Arial"/>
          <w:sz w:val="20"/>
          <w:szCs w:val="20"/>
          <w:color w:val="auto"/>
        </w:rPr>
        <w:t>Monster Energy Distribution Agreement with CCR, pursuant to which CCR distributes, directly and through certain sub-distributors, primarily our Monster Energy® drinks in portions of the United States. On October 2, 2010, TCCC completed its acquisition of the North American business operations of CCE (now CCR), through a merger with a wholly owned subsidiary of TCCC. The surviving wholly owned subsidiary was subsequently renamed CCR, and currently distributes our Monster Energy® drinks in those portions of the United States in which CCE previously distributed such drinks. Concurrently with this acquisition, a new entity, which retained the name Coca-Cola Enterprises, Inc. (“New CCE”) was formed, which currently distributes our Monster Energy® drinks in certain European territories (see paragraph (h) below).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ind w:left="660" w:right="20" w:hanging="328"/>
        <w:spacing w:after="0" w:line="260" w:lineRule="auto"/>
        <w:tabs>
          <w:tab w:leader="none" w:pos="686" w:val="left"/>
        </w:tabs>
        <w:numPr>
          <w:ilvl w:val="0"/>
          <w:numId w:val="7"/>
        </w:numPr>
        <w:rPr>
          <w:rFonts w:ascii="Arial" w:cs="Arial" w:eastAsia="Arial" w:hAnsi="Arial"/>
          <w:sz w:val="20"/>
          <w:szCs w:val="20"/>
          <w:color w:val="auto"/>
        </w:rPr>
      </w:pPr>
      <w:r>
        <w:rPr>
          <w:rFonts w:ascii="Arial" w:cs="Arial" w:eastAsia="Arial" w:hAnsi="Arial"/>
          <w:sz w:val="20"/>
          <w:szCs w:val="20"/>
          <w:color w:val="auto"/>
        </w:rPr>
        <w:t>Distribution agreements with Consolidated, United and other TCCC North American Bottlers for the distribution of our Monster Energy® drinks in various territories within the United States.</w:t>
      </w:r>
    </w:p>
    <w:p>
      <w:pPr>
        <w:spacing w:after="0" w:line="190" w:lineRule="exact"/>
        <w:rPr>
          <w:rFonts w:ascii="Arial" w:cs="Arial" w:eastAsia="Arial" w:hAnsi="Arial"/>
          <w:sz w:val="20"/>
          <w:szCs w:val="20"/>
          <w:color w:val="auto"/>
        </w:rPr>
      </w:pPr>
    </w:p>
    <w:p>
      <w:pPr>
        <w:jc w:val="both"/>
        <w:ind w:left="660" w:hanging="328"/>
        <w:spacing w:after="0" w:line="250" w:lineRule="auto"/>
        <w:tabs>
          <w:tab w:leader="none" w:pos="689" w:val="left"/>
        </w:tabs>
        <w:numPr>
          <w:ilvl w:val="0"/>
          <w:numId w:val="7"/>
        </w:numPr>
        <w:rPr>
          <w:rFonts w:ascii="Arial" w:cs="Arial" w:eastAsia="Arial" w:hAnsi="Arial"/>
          <w:sz w:val="20"/>
          <w:szCs w:val="20"/>
          <w:color w:val="auto"/>
        </w:rPr>
      </w:pPr>
      <w:r>
        <w:rPr>
          <w:rFonts w:ascii="Arial" w:cs="Arial" w:eastAsia="Arial" w:hAnsi="Arial"/>
          <w:sz w:val="20"/>
          <w:szCs w:val="20"/>
          <w:color w:val="auto"/>
        </w:rPr>
        <w:t>Monster Energy Canadian Distribution Agreement with CCBC (now Coca-Cola Refreshments Canada, Ltd. (“CCRC”)), pursuant to which CCBC was appointed to distribute and sell, directly and through certain sub-distributors, our Monster Energy® drinks in Canada.</w:t>
      </w:r>
    </w:p>
    <w:p>
      <w:pPr>
        <w:spacing w:after="0" w:line="199" w:lineRule="exact"/>
        <w:rPr>
          <w:rFonts w:ascii="Arial" w:cs="Arial" w:eastAsia="Arial" w:hAnsi="Arial"/>
          <w:sz w:val="20"/>
          <w:szCs w:val="20"/>
          <w:color w:val="auto"/>
        </w:rPr>
      </w:pPr>
    </w:p>
    <w:p>
      <w:pPr>
        <w:jc w:val="both"/>
        <w:ind w:left="660" w:hanging="328"/>
        <w:spacing w:after="0" w:line="250" w:lineRule="auto"/>
        <w:tabs>
          <w:tab w:leader="none" w:pos="670" w:val="left"/>
        </w:tabs>
        <w:numPr>
          <w:ilvl w:val="0"/>
          <w:numId w:val="7"/>
        </w:numPr>
        <w:rPr>
          <w:rFonts w:ascii="Arial" w:cs="Arial" w:eastAsia="Arial" w:hAnsi="Arial"/>
          <w:sz w:val="20"/>
          <w:szCs w:val="20"/>
          <w:color w:val="auto"/>
        </w:rPr>
      </w:pPr>
      <w:r>
        <w:rPr>
          <w:rFonts w:ascii="Arial" w:cs="Arial" w:eastAsia="Arial" w:hAnsi="Arial"/>
          <w:sz w:val="20"/>
          <w:szCs w:val="20"/>
          <w:color w:val="auto"/>
        </w:rPr>
        <w:t>Monster Energy International Coordination Agreement (the “TCCC International Coordination Agreement”) with TCCC, pursuant to which we have designated, and in the future may designate, countries in which we wish to appoint TCCC distributors to distribute and sell our Monster Energy® drinks, subject to TCCC’s approval.</w:t>
      </w:r>
    </w:p>
    <w:p>
      <w:pPr>
        <w:spacing w:after="0" w:line="199" w:lineRule="exact"/>
        <w:rPr>
          <w:rFonts w:ascii="Arial" w:cs="Arial" w:eastAsia="Arial" w:hAnsi="Arial"/>
          <w:sz w:val="20"/>
          <w:szCs w:val="20"/>
          <w:color w:val="auto"/>
        </w:rPr>
      </w:pPr>
    </w:p>
    <w:p>
      <w:pPr>
        <w:jc w:val="both"/>
        <w:ind w:left="660" w:hanging="328"/>
        <w:spacing w:after="0" w:line="250" w:lineRule="auto"/>
        <w:tabs>
          <w:tab w:leader="none" w:pos="657" w:val="left"/>
        </w:tabs>
        <w:numPr>
          <w:ilvl w:val="0"/>
          <w:numId w:val="7"/>
        </w:numPr>
        <w:rPr>
          <w:rFonts w:ascii="Arial" w:cs="Arial" w:eastAsia="Arial" w:hAnsi="Arial"/>
          <w:sz w:val="20"/>
          <w:szCs w:val="20"/>
          <w:color w:val="auto"/>
        </w:rPr>
      </w:pPr>
      <w:r>
        <w:rPr>
          <w:rFonts w:ascii="Arial" w:cs="Arial" w:eastAsia="Arial" w:hAnsi="Arial"/>
          <w:sz w:val="20"/>
          <w:szCs w:val="20"/>
          <w:color w:val="auto"/>
        </w:rPr>
        <w:t>Monster Energy International Distribution Agreement and Monster Energy Belgium Distribution Agreement with New CCE, pursuant to which New CCE was appointed to distribute directly, and through certain sub-distributors, our Monster Energy® drinks in Great Britain, France, Belgium, the Netherlands, Luxembourg, Monaco and Sweden.</w:t>
      </w:r>
    </w:p>
    <w:p>
      <w:pPr>
        <w:spacing w:after="0" w:line="199" w:lineRule="exact"/>
        <w:rPr>
          <w:rFonts w:ascii="Arial" w:cs="Arial" w:eastAsia="Arial" w:hAnsi="Arial"/>
          <w:sz w:val="20"/>
          <w:szCs w:val="20"/>
          <w:color w:val="auto"/>
        </w:rPr>
      </w:pPr>
    </w:p>
    <w:p>
      <w:pPr>
        <w:jc w:val="both"/>
        <w:ind w:left="660" w:hanging="328"/>
        <w:spacing w:after="0" w:line="250" w:lineRule="auto"/>
        <w:tabs>
          <w:tab w:leader="none" w:pos="691" w:val="left"/>
        </w:tabs>
        <w:numPr>
          <w:ilvl w:val="0"/>
          <w:numId w:val="7"/>
        </w:numPr>
        <w:rPr>
          <w:rFonts w:ascii="Arial" w:cs="Arial" w:eastAsia="Arial" w:hAnsi="Arial"/>
          <w:sz w:val="20"/>
          <w:szCs w:val="20"/>
          <w:color w:val="auto"/>
        </w:rPr>
      </w:pPr>
      <w:r>
        <w:rPr>
          <w:rFonts w:ascii="Arial" w:cs="Arial" w:eastAsia="Arial" w:hAnsi="Arial"/>
          <w:sz w:val="20"/>
          <w:szCs w:val="20"/>
          <w:color w:val="auto"/>
        </w:rPr>
        <w:t>Distribution agreements with bottlers of the Coca-Cola Hellenic group (“Coca-Cola Hellenic”) for the distribution of certain of our Monster Energy® drinks in Austria, Bulgaria, Czech Republic, Hungary, Slovakia, Cyprus, Greece, Latvia, Lithuania, Estonia, Switzerland and Poland.</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Distribution levels vary by product and geographic location. Gross sales outside the United States accounted for $580.6 million, $513.9 million and $381.0 million for the years ended December 31, 2013, 2012 and 2011, respectively.</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continually seek to expand distribution of our products by entering into agreements with other regional bottlers or direct store delivery distributors with established sales, marketing and distribution organizations. Many of our bottlers and distributors are affiliated with and manufacture and/or distribute other beverage products. In many cases, such products compete directly with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Raw Materials and Suppliers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principal raw materials used in the manufacturing of our products are aluminum cans, PET plastic bottles as well as flavors, juice concentrates, sugar, sucralose, milk, cream, protein, dietary ingredients and other packaging materials, the costs of which are subject to fluctuations.</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purchase beverage flavors, concentrates, juices, dietary ingredients, cane sugar, sucrose, sucralose and other sweeteners as well as other ingredients from independent suppliers located in the United States and abroad.</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Generally, raw materials utilized by us in our business are readily available from numerous sources. However, certain raw materials are manufactured by only one company. We purchase certain flavors, vitamin blends and herbs, certain other dietary ingredients and sucralose, as well as certain other ingredients, from single manufacturers. Additionally, certain of our containers and flavors are only manufactured by single companies.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With regard to our Java Monster® and Muscle Monster® product lines, the dairy and protein industries are subject to shortages and increased demand from time to time, which may result in higher prices.</w:t>
      </w:r>
    </w:p>
    <w:p>
      <w:pPr>
        <w:sectPr>
          <w:pgSz w:w="11900" w:h="16838" w:orient="portrait"/>
          <w:cols w:equalWidth="0" w:num="1">
            <w:col w:w="11420"/>
          </w:cols>
          <w:pgMar w:left="240" w:top="121" w:right="239" w:bottom="0" w:gutter="0" w:footer="0" w:header="0"/>
        </w:sectPr>
      </w:pPr>
    </w:p>
    <w:bookmarkStart w:id="7" w:name="page8"/>
    <w:bookmarkEnd w:id="7"/>
    <w:p>
      <w:pPr>
        <w:jc w:val="both"/>
        <w:ind w:firstLine="648"/>
        <w:spacing w:after="0" w:line="262" w:lineRule="auto"/>
        <w:rPr>
          <w:sz w:val="20"/>
          <w:szCs w:val="20"/>
          <w:color w:val="auto"/>
        </w:rPr>
      </w:pPr>
      <w:r>
        <w:rPr>
          <w:rFonts w:ascii="Arial" w:cs="Arial" w:eastAsia="Arial" w:hAnsi="Arial"/>
          <w:sz w:val="20"/>
          <w:szCs w:val="20"/>
          <w:color w:val="auto"/>
        </w:rPr>
        <w:t>With regard to our fruit juice and juice-drink products, the fruit juice industry is subject to variability in demand and weather conditions, which may result in higher prices and/or lower consumer demand for juices.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Generally, flavor suppliers own the proprietary rights to their flavor formulas which they make available to customers for specific use in the production of their customers’ products. Consequently, we do not have possession of the list of flavor ingredients or flavor formulas used in the production of our products and certain of our blended concentrates (our “Product Flavor Formulas”) and we may be unable to obtain comparable flavors or concentrates from alternative suppliers on short notice. Our flavor suppliers generally do not make flavors used in our products available to third parties. We have also entered into agreements with certain of our flavor suppliers who have agreed, subject to the terms of such agreements, to maintain our Product Flavor Formulas in confidence, not to use our Product Flavor Formulas in the production of other customers’ products and to provide us with access to our Product Flavor Formulas under certain circumstances, such as the bankruptcy of the flavor supplier. We have identified alternative suppliers for many of the ingredients contained in many of our beverages. However, industry-wide shortages of certain fruits and fruit juices, coffee, tea, dietary ingredients and sweeteners have been, and could from time to time in the future be, encountered, which could interfere with and/or delay production of certain of our products.</w:t>
      </w:r>
    </w:p>
    <w:p>
      <w:pPr>
        <w:spacing w:after="0" w:line="18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continually endeavor to develop back-up sources of supply for certain of our flavors and concentrates as well as to negotiate arrangements with suppliers, which would enable us to obtain access to certain concentrates or our flavor formulas in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manufacturers and/or distributors.</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connection with the development of new products and flavors, independent suppliers bear a large portion of the expense of product development, thereby enabling us to develop new products and flavors at what we consider to be reasonable economic levels. We have historically developed and successfully introduced new products, flavors and packaging for our products and intend to continue to develop and introduce additional new beverages, flavors and innovative packaging.</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beverage industry is highly competitive. The principal areas of competition are pricing, packaging, development of new products and flavors as well as promotional and marketing strategies. Our products compete with a wide range of drinks produced by a relatively large number of companies, many of which have substantially greater financial, marketing and distribution resources than we do.</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Important factors affecting our ability to compete successfully include taste and flavor of products, trade and consumer promotions, rapid and effective development of new, unique cutting edge products, attractive and different packaging, brand exposure and marketing as well as pricing. We also compete for distributors who will give our products more focus than those of our competitors, provide stable and reliable distribution and secure adequate shelf space in retail outlets. Competitive pressures in the “alternative”, energy, coffee and “functional” beverage categories could cause our products to be unable to gain or to lose market share or we could experience price erosion, which could have a material adverse effect on our business and results of operations.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We have experienced and continue to experience competition from new entrants in the energy drink and energy shot categories. A number of companies who market and distribute iced teas, juice cocktails and enhanced waters in larger volume packages, such as 16- and 20-ounce glass and plastic bottles, including Sobe, Sobe Life Water, Vitamin Water, Snapple, Arizona, Fuse, Ocean Spray, Honest Tea, Gold Peak Tea, Activate and Neuro, have added dietary ingredients to their products with a view to marketing their products as “functional” or energy beverages or as having “functional” benefits. We believe that many of those products contain lower levels of dietary ingredients, principally deliver refreshment and are positioned differently from our energy or “functional” drinks. Our Peace Tea® ready-to-drink iced teas are positioned more closely against those products.</w:t>
      </w:r>
    </w:p>
    <w:p>
      <w:pPr>
        <w:spacing w:after="0" w:line="19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We are also subject to increasing levels of regulatory issues particularly in relation to the registration and taxation of our products in certain new international markets, which may put us at a competitive disadvantage. (See “Government Regulation” below for additional information).</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We compete not only for consumer preference, but also for maximum marketing and sales efforts by multi-brand licensed bottlers, brokers and distributors, many of which have a principal affiliation with competing companies and brands. Our products compete with all liquid refreshments and in many cases with products of much larger and substantially better financed competitors, including the products of numerous nationally and internationally known producers such as TCCC, PepsiCo, Inc. (“PepsiCo”), The Dr. Pepper Snapple Group, Inc. (the “DPS Group”), Red Bull Gmbh, Kraft Foods, Inc., Suntory Holdings, Ltd., Nestle Beverage Company, Tree Top Inc. (“Tree Top”) and Ocean Spray Cranberries Inc. (“Ocean Spray”). We also compete with companies that are smaller or primarily local in operation. Our products also compete with private label brands such as those carried by grocery store chains, convenience store chains and club stores.</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Domestically, our energy drinks compete directly with Red Bull, Rockstar, Full Throttle, No Fear, Amp, Adrenaline Rush, NOS, Venom, Redline, Red Devil, Rip It, Xenergy, 5-Hour Energy Shots, MiO Energy, Stacker 2, VPX Redline Energy Shots, and many other brands. TCCC and PepsiCo also market and/or distribute additional products in that market segment such as Pepsi Max, Mountain Dew, Mountain Dew MDX, Mountain Dew Kickstart and Vault. Internationally, our energy drinks compete with Red Bull, Rockstar, Burn, V-Energy, Lucozade, Adrenaline Rush, Relentless and numerous local and private label brands that usually differ from country to country, such as Power Play, Mother, Hell, Shock, Tiger, Boost, TNT, Shark, Hot 6, Nalu, Battery, Bullit, Flash Up, Black, Non-Stop, Bomba, Semtex, Vive 100, Dark Dog, Speed, Guaraná, Ultra and a host of other international brands.</w:t>
      </w:r>
    </w:p>
    <w:p>
      <w:pPr>
        <w:sectPr>
          <w:pgSz w:w="11900" w:h="16838" w:orient="portrait"/>
          <w:cols w:equalWidth="0" w:num="1">
            <w:col w:w="11420"/>
          </w:cols>
          <w:pgMar w:left="240" w:top="121" w:right="239" w:bottom="29" w:gutter="0" w:footer="0" w:header="0"/>
        </w:sectPr>
      </w:pPr>
    </w:p>
    <w:bookmarkStart w:id="8" w:name="page9"/>
    <w:bookmarkEnd w:id="8"/>
    <w:p>
      <w:pPr>
        <w:spacing w:after="0" w:line="4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8"/>
          <w:szCs w:val="18"/>
          <w:color w:val="auto"/>
        </w:rPr>
        <w:t>Our Java Monster® and X-Presso Monster® product lines compete directly with Starbucks Frappuccino, Starbucks Double Shot, Starbucks Double Shot Energy Plus Coffee and other Starbucks coffee drinks, Rockstar Roasted, Seattle’s Best and illy issimo coffee.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Muscle Monster® product line competes directly with Muscle Milk, Core Power, ABB Pure Pro and Gatorade Recover Protein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Shake.</w:t>
      </w:r>
    </w:p>
    <w:p>
      <w:pPr>
        <w:spacing w:after="0" w:line="21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Our Peace Tea® ready-to-drink iced tea product line competes directly with Arizona, Lipton, Snapple, Nestea, Xing Tea, Honest Tea, Gold Peak Tea, Fuze Tea and other tea brands.</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natural sodas compete directly with traditional soda products, including those marketed by TCCC, PepsiCo, the DPS Group, Cott Corporation and National Beverage Corporation, as well as with carbonated beverages marketed by smaller or primarily local companies such as Jones Soda Co., Crystal Geyser, J.M. Smucker Company, Reeds, Inc., Zevia and with private label brands such as those carried by grocery store chains, convenience store chains and club stores.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apple and other juice products compete directly with Tree Top, Mott’s, Martinelli’s, Welch’s, Ocean Spray, Tropicana, Minute Maid, Langers, Apple and Eve, Seneca, Northland, Juicy Juice, Old Orchard and also with other brands of apple juice and juice blends, including store brands.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Hubert’s</w:t>
      </w:r>
      <w:r>
        <w:rPr>
          <w:rFonts w:ascii="Arial" w:cs="Arial" w:eastAsia="Arial" w:hAnsi="Arial"/>
          <w:sz w:val="20"/>
          <w:szCs w:val="20"/>
          <w:i w:val="1"/>
          <w:iCs w:val="1"/>
          <w:color w:val="auto"/>
        </w:rPr>
        <w:t>®</w:t>
      </w:r>
      <w:r>
        <w:rPr>
          <w:rFonts w:ascii="Arial" w:cs="Arial" w:eastAsia="Arial" w:hAnsi="Arial"/>
          <w:sz w:val="20"/>
          <w:szCs w:val="20"/>
          <w:color w:val="auto"/>
        </w:rPr>
        <w:t xml:space="preserve"> Lemonades and Hubert’s® Half &amp; Half lemonade + teas compete directly with Calypso, Simply Lemonade, Minute Maid, Cabana, Tropicana and Newman’s Own.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advertising, in-store promotions and in-store placement of point-of-sale materials, racks, coolers and barrel coolers) to enhance demand from consumers for our products. We also support our brands with prize promotions, price promotions, competitions, endorsements from selected public and sports figures, personality endorsements (including from television and other well-known sports personalities), coupons, sampling and sponsorship of selected causes, events, athletes and teams. In-store posters, outdoor posters, print, radio and television advertising (directly and through our sponsorships and endorsements) and coupons may also be used to promote our brands.</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historically marketed our Monster Energy®, Hansen’s® and Blue Energy® energy drink products as dietary supplements in accordance with the statutory definition of “dietary supplement” set forth in the Federal Food, Drug, and Cosmetic Act (the “FFDC Act”). However, as permitted under the FFDC Act and the U.S. Food and Drug Administration (the “FDA”) regulations, we determined to transition the labeling and marketing of these energy drink products from dietary supplements to conventional foods. In the first quarter of 2013, we began transitioning the labeling of such products. Products marketed under the Worx Energy® brand, which are sold in 2-ounce bottles, will continue to be labeled as dietary supplements. The costs of the labeling changes have not been significant and we do not expect the remaining costs, if any, to be significant.</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 appropriate, we partner with retailers to assist our marketing efforts.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increased expenditures for our sales and marketing programs by approximately 8.8% in 2013 compared to 2012. As of December 31, 2013, we employed 1,571 employees in sales and marketing activities, of which 805 were employed on a full-time basis.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years ended December 31, 2013, 2012 and 2011 are reflected below. Such information includes sales made by us directly to the customer types concerned, which include our full service beverage distributors in the United States. Such full service beverage distributors in turn sell certain of our products to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same customer types listed below. We limit our description of our customer types to include only our sales to such full service distributors without reference to such distributors’ sales to their own customers.</w:t>
      </w:r>
    </w:p>
    <w:p>
      <w:pPr>
        <w:spacing w:after="0" w:line="190" w:lineRule="exact"/>
        <w:rPr>
          <w:sz w:val="20"/>
          <w:szCs w:val="20"/>
          <w:color w:val="auto"/>
        </w:rPr>
      </w:pPr>
    </w:p>
    <w:p>
      <w:pPr>
        <w:ind w:left="6500"/>
        <w:spacing w:after="0"/>
        <w:tabs>
          <w:tab w:leader="none" w:pos="8440" w:val="left"/>
          <w:tab w:leader="none" w:pos="10400" w:val="left"/>
        </w:tabs>
        <w:rPr>
          <w:sz w:val="20"/>
          <w:szCs w:val="20"/>
          <w:color w:val="auto"/>
        </w:rPr>
      </w:pPr>
      <w:r>
        <w:rPr>
          <w:rFonts w:ascii="Arial" w:cs="Arial" w:eastAsia="Arial" w:hAnsi="Arial"/>
          <w:sz w:val="20"/>
          <w:szCs w:val="20"/>
          <w:color w:val="auto"/>
        </w:rPr>
        <w:t>2013</w:t>
      </w:r>
      <w:r>
        <w:rPr>
          <w:sz w:val="20"/>
          <w:szCs w:val="20"/>
          <w:color w:val="auto"/>
        </w:rPr>
        <w:tab/>
      </w:r>
      <w:r>
        <w:rPr>
          <w:rFonts w:ascii="Arial" w:cs="Arial" w:eastAsia="Arial" w:hAnsi="Arial"/>
          <w:sz w:val="20"/>
          <w:szCs w:val="20"/>
          <w:color w:val="auto"/>
        </w:rPr>
        <w:t>2012</w:t>
      </w:r>
      <w:r>
        <w:rPr>
          <w:sz w:val="20"/>
          <w:szCs w:val="20"/>
          <w:color w:val="auto"/>
        </w:rPr>
        <w:tab/>
      </w:r>
      <w:r>
        <w:rPr>
          <w:rFonts w:ascii="Arial" w:cs="Arial" w:eastAsia="Arial" w:hAnsi="Arial"/>
          <w:sz w:val="16"/>
          <w:szCs w:val="16"/>
          <w:color w:val="auto"/>
        </w:rPr>
        <w:t>2011</w:t>
      </w:r>
    </w:p>
    <w:p>
      <w:pPr>
        <w:spacing w:after="0" w:line="20" w:lineRule="exact"/>
        <w:rPr>
          <w:sz w:val="20"/>
          <w:szCs w:val="20"/>
          <w:color w:val="auto"/>
        </w:rPr>
      </w:pPr>
    </w:p>
    <w:p>
      <w:pPr>
        <w:sectPr>
          <w:pgSz w:w="11900" w:h="16881" w:orient="portrait"/>
          <w:cols w:equalWidth="0" w:num="1">
            <w:col w:w="11420"/>
          </w:cols>
          <w:pgMar w:left="240" w:top="121"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1"/>
        </w:trPr>
        <w:tc>
          <w:tcPr>
            <w:tcW w:w="5160" w:type="dxa"/>
            <w:vAlign w:val="bottom"/>
          </w:tcPr>
          <w:p>
            <w:pPr>
              <w:spacing w:after="0"/>
              <w:rPr>
                <w:sz w:val="20"/>
                <w:szCs w:val="20"/>
                <w:color w:val="auto"/>
              </w:rPr>
            </w:pPr>
            <w:r>
              <w:rPr>
                <w:rFonts w:ascii="Arial" w:cs="Arial" w:eastAsia="Arial" w:hAnsi="Arial"/>
                <w:sz w:val="20"/>
                <w:szCs w:val="20"/>
                <w:color w:val="auto"/>
              </w:rPr>
              <w:t>Full service distributors</w:t>
            </w:r>
          </w:p>
        </w:tc>
        <w:tc>
          <w:tcPr>
            <w:tcW w:w="2520" w:type="dxa"/>
            <w:vAlign w:val="bottom"/>
          </w:tcPr>
          <w:p>
            <w:pPr>
              <w:jc w:val="center"/>
              <w:ind w:left="461"/>
              <w:spacing w:after="0"/>
              <w:rPr>
                <w:sz w:val="20"/>
                <w:szCs w:val="20"/>
                <w:color w:val="auto"/>
              </w:rPr>
            </w:pPr>
            <w:r>
              <w:rPr>
                <w:rFonts w:ascii="Arial" w:cs="Arial" w:eastAsia="Arial" w:hAnsi="Arial"/>
                <w:sz w:val="20"/>
                <w:szCs w:val="20"/>
                <w:color w:val="auto"/>
                <w:w w:val="89"/>
              </w:rPr>
              <w:t>63%</w:t>
            </w:r>
          </w:p>
        </w:tc>
        <w:tc>
          <w:tcPr>
            <w:tcW w:w="1960" w:type="dxa"/>
            <w:vAlign w:val="bottom"/>
          </w:tcPr>
          <w:p>
            <w:pPr>
              <w:jc w:val="center"/>
              <w:spacing w:after="0"/>
              <w:rPr>
                <w:sz w:val="20"/>
                <w:szCs w:val="20"/>
                <w:color w:val="auto"/>
              </w:rPr>
            </w:pPr>
            <w:r>
              <w:rPr>
                <w:rFonts w:ascii="Arial" w:cs="Arial" w:eastAsia="Arial" w:hAnsi="Arial"/>
                <w:sz w:val="20"/>
                <w:szCs w:val="20"/>
                <w:color w:val="auto"/>
                <w:w w:val="89"/>
              </w:rPr>
              <w:t>63%</w:t>
            </w:r>
          </w:p>
        </w:tc>
        <w:tc>
          <w:tcPr>
            <w:tcW w:w="1160" w:type="dxa"/>
            <w:vAlign w:val="bottom"/>
          </w:tcPr>
          <w:p>
            <w:pPr>
              <w:jc w:val="center"/>
              <w:ind w:left="701"/>
              <w:spacing w:after="0"/>
              <w:rPr>
                <w:sz w:val="20"/>
                <w:szCs w:val="20"/>
                <w:color w:val="auto"/>
              </w:rPr>
            </w:pPr>
            <w:r>
              <w:rPr>
                <w:rFonts w:ascii="Arial" w:cs="Arial" w:eastAsia="Arial" w:hAnsi="Arial"/>
                <w:sz w:val="20"/>
                <w:szCs w:val="20"/>
                <w:color w:val="auto"/>
                <w:w w:val="89"/>
              </w:rPr>
              <w:t>64%</w:t>
            </w: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2520" w:type="dxa"/>
            <w:vAlign w:val="bottom"/>
          </w:tcPr>
          <w:p>
            <w:pPr>
              <w:jc w:val="center"/>
              <w:ind w:left="481"/>
              <w:spacing w:after="0"/>
              <w:rPr>
                <w:sz w:val="20"/>
                <w:szCs w:val="20"/>
                <w:color w:val="auto"/>
              </w:rPr>
            </w:pPr>
            <w:r>
              <w:rPr>
                <w:rFonts w:ascii="Arial" w:cs="Arial" w:eastAsia="Arial" w:hAnsi="Arial"/>
                <w:sz w:val="20"/>
                <w:szCs w:val="20"/>
                <w:color w:val="auto"/>
                <w:w w:val="89"/>
              </w:rPr>
              <w:t>9%</w:t>
            </w:r>
          </w:p>
        </w:tc>
        <w:tc>
          <w:tcPr>
            <w:tcW w:w="1960" w:type="dxa"/>
            <w:vAlign w:val="bottom"/>
          </w:tcPr>
          <w:p>
            <w:pPr>
              <w:jc w:val="center"/>
              <w:spacing w:after="0"/>
              <w:rPr>
                <w:sz w:val="20"/>
                <w:szCs w:val="20"/>
                <w:color w:val="auto"/>
              </w:rPr>
            </w:pPr>
            <w:r>
              <w:rPr>
                <w:rFonts w:ascii="Arial" w:cs="Arial" w:eastAsia="Arial" w:hAnsi="Arial"/>
                <w:sz w:val="20"/>
                <w:szCs w:val="20"/>
                <w:color w:val="auto"/>
                <w:w w:val="96"/>
              </w:rPr>
              <w:t>9%</w:t>
            </w:r>
          </w:p>
        </w:tc>
        <w:tc>
          <w:tcPr>
            <w:tcW w:w="1160" w:type="dxa"/>
            <w:vAlign w:val="bottom"/>
          </w:tcPr>
          <w:p>
            <w:pPr>
              <w:jc w:val="center"/>
              <w:ind w:left="701"/>
              <w:spacing w:after="0"/>
              <w:rPr>
                <w:sz w:val="20"/>
                <w:szCs w:val="20"/>
                <w:color w:val="auto"/>
              </w:rPr>
            </w:pPr>
            <w:r>
              <w:rPr>
                <w:rFonts w:ascii="Arial" w:cs="Arial" w:eastAsia="Arial" w:hAnsi="Arial"/>
                <w:sz w:val="20"/>
                <w:szCs w:val="20"/>
                <w:color w:val="auto"/>
                <w:w w:val="89"/>
              </w:rPr>
              <w:t>10%</w:t>
            </w: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Outside the U.S.</w:t>
            </w:r>
          </w:p>
        </w:tc>
        <w:tc>
          <w:tcPr>
            <w:tcW w:w="2520" w:type="dxa"/>
            <w:vAlign w:val="bottom"/>
          </w:tcPr>
          <w:p>
            <w:pPr>
              <w:jc w:val="center"/>
              <w:ind w:left="461"/>
              <w:spacing w:after="0"/>
              <w:rPr>
                <w:sz w:val="20"/>
                <w:szCs w:val="20"/>
                <w:color w:val="auto"/>
              </w:rPr>
            </w:pPr>
            <w:r>
              <w:rPr>
                <w:rFonts w:ascii="Arial" w:cs="Arial" w:eastAsia="Arial" w:hAnsi="Arial"/>
                <w:sz w:val="20"/>
                <w:szCs w:val="20"/>
                <w:color w:val="auto"/>
                <w:w w:val="89"/>
              </w:rPr>
              <w:t>23%</w:t>
            </w:r>
          </w:p>
        </w:tc>
        <w:tc>
          <w:tcPr>
            <w:tcW w:w="1960" w:type="dxa"/>
            <w:vAlign w:val="bottom"/>
          </w:tcPr>
          <w:p>
            <w:pPr>
              <w:jc w:val="center"/>
              <w:spacing w:after="0"/>
              <w:rPr>
                <w:sz w:val="20"/>
                <w:szCs w:val="20"/>
                <w:color w:val="auto"/>
              </w:rPr>
            </w:pPr>
            <w:r>
              <w:rPr>
                <w:rFonts w:ascii="Arial" w:cs="Arial" w:eastAsia="Arial" w:hAnsi="Arial"/>
                <w:sz w:val="20"/>
                <w:szCs w:val="20"/>
                <w:color w:val="auto"/>
                <w:w w:val="89"/>
              </w:rPr>
              <w:t>22%</w:t>
            </w:r>
          </w:p>
        </w:tc>
        <w:tc>
          <w:tcPr>
            <w:tcW w:w="1160" w:type="dxa"/>
            <w:vAlign w:val="bottom"/>
          </w:tcPr>
          <w:p>
            <w:pPr>
              <w:jc w:val="center"/>
              <w:ind w:left="701"/>
              <w:spacing w:after="0"/>
              <w:rPr>
                <w:sz w:val="20"/>
                <w:szCs w:val="20"/>
                <w:color w:val="auto"/>
              </w:rPr>
            </w:pPr>
            <w:r>
              <w:rPr>
                <w:rFonts w:ascii="Arial" w:cs="Arial" w:eastAsia="Arial" w:hAnsi="Arial"/>
                <w:sz w:val="20"/>
                <w:szCs w:val="20"/>
                <w:color w:val="auto"/>
                <w:w w:val="89"/>
              </w:rPr>
              <w:t>20%</w:t>
            </w: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2520" w:type="dxa"/>
            <w:vAlign w:val="bottom"/>
          </w:tcPr>
          <w:p>
            <w:pPr>
              <w:jc w:val="center"/>
              <w:ind w:left="481"/>
              <w:spacing w:after="0"/>
              <w:rPr>
                <w:sz w:val="20"/>
                <w:szCs w:val="20"/>
                <w:color w:val="auto"/>
              </w:rPr>
            </w:pPr>
            <w:r>
              <w:rPr>
                <w:rFonts w:ascii="Arial" w:cs="Arial" w:eastAsia="Arial" w:hAnsi="Arial"/>
                <w:sz w:val="20"/>
                <w:szCs w:val="20"/>
                <w:color w:val="auto"/>
                <w:w w:val="89"/>
              </w:rPr>
              <w:t>3%</w:t>
            </w:r>
          </w:p>
        </w:tc>
        <w:tc>
          <w:tcPr>
            <w:tcW w:w="1960" w:type="dxa"/>
            <w:vAlign w:val="bottom"/>
          </w:tcPr>
          <w:p>
            <w:pPr>
              <w:jc w:val="center"/>
              <w:spacing w:after="0"/>
              <w:rPr>
                <w:sz w:val="20"/>
                <w:szCs w:val="20"/>
                <w:color w:val="auto"/>
              </w:rPr>
            </w:pPr>
            <w:r>
              <w:rPr>
                <w:rFonts w:ascii="Arial" w:cs="Arial" w:eastAsia="Arial" w:hAnsi="Arial"/>
                <w:sz w:val="20"/>
                <w:szCs w:val="20"/>
                <w:color w:val="auto"/>
                <w:w w:val="96"/>
              </w:rPr>
              <w:t>4%</w:t>
            </w:r>
          </w:p>
        </w:tc>
        <w:tc>
          <w:tcPr>
            <w:tcW w:w="1160" w:type="dxa"/>
            <w:vAlign w:val="bottom"/>
          </w:tcPr>
          <w:p>
            <w:pPr>
              <w:jc w:val="center"/>
              <w:ind w:left="681"/>
              <w:spacing w:after="0"/>
              <w:rPr>
                <w:sz w:val="20"/>
                <w:szCs w:val="20"/>
                <w:color w:val="auto"/>
              </w:rPr>
            </w:pPr>
            <w:r>
              <w:rPr>
                <w:rFonts w:ascii="Arial" w:cs="Arial" w:eastAsia="Arial" w:hAnsi="Arial"/>
                <w:sz w:val="20"/>
                <w:szCs w:val="20"/>
                <w:color w:val="auto"/>
                <w:w w:val="89"/>
              </w:rPr>
              <w:t>4%</w:t>
            </w:r>
          </w:p>
        </w:tc>
      </w:tr>
      <w:tr>
        <w:trPr>
          <w:trHeight w:val="250"/>
        </w:trPr>
        <w:tc>
          <w:tcPr>
            <w:tcW w:w="5160" w:type="dxa"/>
            <w:vAlign w:val="bottom"/>
          </w:tcPr>
          <w:p>
            <w:pPr>
              <w:spacing w:after="0"/>
              <w:rPr>
                <w:sz w:val="20"/>
                <w:szCs w:val="20"/>
                <w:color w:val="auto"/>
              </w:rPr>
            </w:pPr>
            <w:r>
              <w:rPr>
                <w:rFonts w:ascii="Arial" w:cs="Arial" w:eastAsia="Arial" w:hAnsi="Arial"/>
                <w:sz w:val="20"/>
                <w:szCs w:val="20"/>
                <w:color w:val="auto"/>
              </w:rPr>
              <w:t>Other</w:t>
            </w:r>
          </w:p>
        </w:tc>
        <w:tc>
          <w:tcPr>
            <w:tcW w:w="2520" w:type="dxa"/>
            <w:vAlign w:val="bottom"/>
          </w:tcPr>
          <w:p>
            <w:pPr>
              <w:jc w:val="center"/>
              <w:ind w:left="481"/>
              <w:spacing w:after="0"/>
              <w:rPr>
                <w:sz w:val="20"/>
                <w:szCs w:val="20"/>
                <w:color w:val="auto"/>
              </w:rPr>
            </w:pPr>
            <w:r>
              <w:rPr>
                <w:rFonts w:ascii="Arial" w:cs="Arial" w:eastAsia="Arial" w:hAnsi="Arial"/>
                <w:sz w:val="20"/>
                <w:szCs w:val="20"/>
                <w:color w:val="auto"/>
                <w:w w:val="89"/>
              </w:rPr>
              <w:t>2%</w:t>
            </w:r>
          </w:p>
        </w:tc>
        <w:tc>
          <w:tcPr>
            <w:tcW w:w="1960" w:type="dxa"/>
            <w:vAlign w:val="bottom"/>
          </w:tcPr>
          <w:p>
            <w:pPr>
              <w:jc w:val="center"/>
              <w:spacing w:after="0"/>
              <w:rPr>
                <w:sz w:val="20"/>
                <w:szCs w:val="20"/>
                <w:color w:val="auto"/>
              </w:rPr>
            </w:pPr>
            <w:r>
              <w:rPr>
                <w:rFonts w:ascii="Arial" w:cs="Arial" w:eastAsia="Arial" w:hAnsi="Arial"/>
                <w:sz w:val="20"/>
                <w:szCs w:val="20"/>
                <w:color w:val="auto"/>
                <w:w w:val="96"/>
              </w:rPr>
              <w:t>2%</w:t>
            </w:r>
          </w:p>
        </w:tc>
        <w:tc>
          <w:tcPr>
            <w:tcW w:w="1160" w:type="dxa"/>
            <w:vAlign w:val="bottom"/>
          </w:tcPr>
          <w:p>
            <w:pPr>
              <w:jc w:val="center"/>
              <w:ind w:left="681"/>
              <w:spacing w:after="0"/>
              <w:rPr>
                <w:sz w:val="20"/>
                <w:szCs w:val="20"/>
                <w:color w:val="auto"/>
              </w:rPr>
            </w:pPr>
            <w:r>
              <w:rPr>
                <w:rFonts w:ascii="Arial" w:cs="Arial" w:eastAsia="Arial" w:hAnsi="Arial"/>
                <w:sz w:val="20"/>
                <w:szCs w:val="20"/>
                <w:color w:val="auto"/>
                <w:w w:val="89"/>
              </w:rPr>
              <w:t>2%</w:t>
            </w: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customers include the TCCC North American Bottlers, Wal-Mart, Inc. (including Sam’s Club), the AB Distributors, New CCE, certain bottlers of Coca-Cola Hellenic, Kalil Bottling Group, Trader Joe’s, Swire Coca-Cola, Costco, The Kroger Co. and Safeway, Inc. CCR accounted for approximately 29%, 28% and 29% of our net sales for the years ended December 31, 2013, 2012 and 2011,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Sales of ready-to-drink beverages are somewhat seasonal, with the second and third calendar quarters accounting for the highest sales volumes. The volume of sales in the beverage business may be affected by weather conditions. However, the energy drink category appears to be less seasonal than traditional beverages. Quarterly fluctuations may also be affected by other factors including the introduction of new products, the opening of new markets, particularly internationally, where temperature fluctuations may be more pronounced, the addition of new bottlers and distributors, changes in the mix of the sales of our finished products and increased or decreased advertising and promotional expenses.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3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We presently have approximately 4,000 registered trademarks and pending applications in various countries worldwide, and we apply for new trademarks on an ongoing basis. We regard our trademarks, service marks, copyrights, domain names, trade dress, and other</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intellectual property as very important to our business. We consider Monster® (registered outside of the United States), Monster Energy®, </w:t>
      </w:r>
      <w:r>
        <w:rPr>
          <w:sz w:val="1"/>
          <w:szCs w:val="1"/>
          <w:color w:val="auto"/>
        </w:rPr>
        <w:drawing>
          <wp:inline distT="0" distB="0" distL="0" distR="0">
            <wp:extent cx="102870" cy="1371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20"/>
          <w:szCs w:val="20"/>
          <w:color w:val="auto"/>
        </w:rPr>
        <w:t xml:space="preserve"> ®, M Monster Energy®, Monster Rehab®, Java Monster®, Muscle Monster®, Punch Monster™, Unleash the Beast®, Monster Energy Extra Strength Nitrous Technology®, X-Presso Monster®, Hansen’s Natural Cane Soda®, Hansen’s®, Peace Tea®, Worx Energy®, Blue Sky®, Hubert’s® and Junior Juice® to be our core trademarks.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protect our trademarks by applying for registrations and registering our trademarks with the United States Patent and Trademark Office and with government agencies in other countries around the world, particularly where our products are distributed and sold. We assert copyright ownership of the statements, graphics and content appearing on the packaging of our products and in our marketing materials. We aggressively pursue individuals and/or entities seeking to profit from the unauthorized use of our trademarks and copyrights, including, without limitation, wholesalers, street vendors, retailers, online auction site sellers and website operators. In addition to initiating civil actions against these individuals and entities, we work with law enforcement officials where appropriate.</w:t>
      </w:r>
    </w:p>
    <w:p>
      <w:pPr>
        <w:spacing w:after="0" w:line="192"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enforce and protect our trademark rights against third parties infringing or disparaging our trademarks by opposing registration of conflicting trademarks, and initiating litigation as necessary.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production, distribution and sale in the United States of many of our products are subject to various U.S. federal and state regulations, including but not limited to: the FFDC Act, including as amended by the Dietary Supplement Health and Education Act of 1994; the Occupational Safety and Health Act; various environmental statutes; and a number of other federal, state and local statutes and regulations applicable to the production, transportation, sale, safety, advertising, labeling and ingredients of such products. Outside the United States, the production, distribution and sale of many of our products are also subject to numerous statutes and regulations.</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also may in the future be affected by other existing, proposed and potential future regulations or regulatory actions, including those described below, any of which could adversely affect our business, financial condition and results of operations. See “Part I, Item 1A – Risk Factors – Changes in government regulation, or failure to comply with existing regulations, could adversely affect our business, financial condition and results of operations” below for additional information.</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Furthermore, legislation may be introduced in the United States and other countries at the federal, state and municipal level in respect of each of the subject areas discussed below. Public health officials and health advocates are increasingly focused on the public health consequences associated with obesity, especially as the disease affects children, and are seeking legislative change to reduce the consumption of sweetened beverages. There also has been an increased focus on caffeine content in beverages, as discussed below.</w:t>
      </w:r>
    </w:p>
    <w:p>
      <w:pPr>
        <w:spacing w:after="0" w:line="175"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20"/>
          <w:szCs w:val="20"/>
          <w:color w:val="auto"/>
        </w:rPr>
        <w:t>In January 2013, we received a letter from Representative Edward J. Markey, Senator Richard J. Durbin and Senator Richard Blumenthal requesting information from us to enable them to better understand a number of issues relating in part to an investigation they said has been launched by the FDA examining energy drinks and potential health risks, particularly for groups of vulnerable individuals, including young people and those with pre-existing cardiac conditions. We provided a response to their letter. The Congressmen subsequently issued a report and recommendations, most of which we had already implemented.</w:t>
      </w:r>
    </w:p>
    <w:p>
      <w:pPr>
        <w:spacing w:after="0" w:line="20" w:lineRule="exact"/>
        <w:rPr>
          <w:sz w:val="20"/>
          <w:szCs w:val="20"/>
          <w:color w:val="auto"/>
        </w:rPr>
      </w:pPr>
    </w:p>
    <w:p>
      <w:pPr>
        <w:sectPr>
          <w:pgSz w:w="11900" w:h="16838" w:orient="portrait"/>
          <w:cols w:equalWidth="0" w:num="1">
            <w:col w:w="11420"/>
          </w:cols>
          <w:pgMar w:left="240" w:top="121" w:right="239" w:bottom="0" w:gutter="0" w:footer="0" w:header="0"/>
        </w:sectPr>
      </w:pPr>
    </w:p>
    <w:bookmarkStart w:id="10" w:name="page11"/>
    <w:bookmarkEnd w:id="10"/>
    <w:p>
      <w:pPr>
        <w:spacing w:after="0" w:line="1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July 2013, we received a letter from Michael M. Landa, director of the FDA’s Center for Food Safety and Applied Nutrition, asking for documents and information about the Company’s judgment that caffeine in its energy drinks is generally recognized as safe (“GRAS”) for this use. We provided a response to this letter.</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August 2013, at the request of the FDA, the Institute of Medicine (“IOM”) conducted a public workshop to review the available science regarding safe levels of caffeine consumption in foods, beverages and dietary supplements and to identify data gaps. The IOM released a report summarizing the workshop proceedings in January 2014.</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Product Labeling and Advertising. </w:t>
      </w:r>
      <w:r>
        <w:rPr>
          <w:rFonts w:ascii="Arial" w:cs="Arial" w:eastAsia="Arial" w:hAnsi="Arial"/>
          <w:sz w:val="20"/>
          <w:szCs w:val="20"/>
          <w:color w:val="auto"/>
        </w:rPr>
        <w:t>We are subject to Proposition 65 in California, a law which requires that a specific warning appear</w:t>
      </w:r>
      <w:r>
        <w:rPr>
          <w:rFonts w:ascii="Arial" w:cs="Arial" w:eastAsia="Arial" w:hAnsi="Arial"/>
          <w:sz w:val="20"/>
          <w:szCs w:val="20"/>
          <w:i w:val="1"/>
          <w:iCs w:val="1"/>
          <w:color w:val="auto"/>
        </w:rPr>
        <w:t xml:space="preserve"> </w:t>
      </w:r>
      <w:r>
        <w:rPr>
          <w:rFonts w:ascii="Arial" w:cs="Arial" w:eastAsia="Arial" w:hAnsi="Arial"/>
          <w:sz w:val="20"/>
          <w:szCs w:val="20"/>
          <w:color w:val="auto"/>
        </w:rPr>
        <w:t>on any product sold in California that contains a substance listed by that state as having been found to cause cancer or birth defects in excess of certain levels. If we were required to add warning labels to any of our products or place warnings in certain locations where our products are sold, it is difficult to predict whether, or to what extent, such a warning would have an impact on sales of our products in those locations or elsewhere.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the FDA is considering revising regulations with respect to serving size information and nutrition labeling on food and beverage products. If adopted, we may incur significant costs to alter our existing packaging materials to comply with new regulations. Additionally, revised serving size information may impact and/or reduce and/or otherwise affect the purchase and consumption of our products by consumers.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July 2012, we received a subpoena from a state attorney general in connection with an investigation relating to the advertising, marketing, promotion, ingredients, usage and sale of our Monster Energy® brand energy drinks. We cannot predict the outcome of this inquiry and what effect, if any, it may have on our business, financial condition or results of operations.</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In October 2012, we received a written request for information from the City Attorney for the City and County of San Francisco concerning the Company’s advertising and marketing of its Monster Energy® brand energy drinks and specifically concerning the safety of its products for consumption by adolescents. See “Part I, Item 3 – Legal Proceedings” below for additional information.</w:t>
      </w:r>
    </w:p>
    <w:p>
      <w:pPr>
        <w:spacing w:after="0" w:line="18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Regulations took effect in Canada on January 11, 2013 that inter alia re-classified energy drinks from “natural health products” to “food.” As a result, energy drinks are required to carry a warning that they are not recommended for children or breast-feeding women and should not be mixed with alcohol.</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the United States, as permitted under the FFDC Act and FDA regulations, we decided to transition the labeling and marketing of our products sold under the Monster Energy®, Hansen’s Energy® and Blue Energy® brands from dietary supplements to conventional foods. New labels for such products as conventional foods were introduced beginning in the first quarter of 2013. Products marketed under the Worx Energy® brand, which are sold in 2-ounce bottles, will continue to be labeled as dietary supplements.</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Age and Other Restrictions on Energy Drink Products. </w:t>
      </w:r>
      <w:r>
        <w:rPr>
          <w:rFonts w:ascii="Arial" w:cs="Arial" w:eastAsia="Arial" w:hAnsi="Arial"/>
          <w:sz w:val="20"/>
          <w:szCs w:val="20"/>
          <w:color w:val="auto"/>
        </w:rPr>
        <w:t>Proposals to limit or restrict the sale of energy drinks to minors and/or persons</w:t>
      </w:r>
      <w:r>
        <w:rPr>
          <w:rFonts w:ascii="Arial" w:cs="Arial" w:eastAsia="Arial" w:hAnsi="Arial"/>
          <w:sz w:val="20"/>
          <w:szCs w:val="20"/>
          <w:i w:val="1"/>
          <w:iCs w:val="1"/>
          <w:color w:val="auto"/>
        </w:rPr>
        <w:t xml:space="preserve"> </w:t>
      </w:r>
      <w:r>
        <w:rPr>
          <w:rFonts w:ascii="Arial" w:cs="Arial" w:eastAsia="Arial" w:hAnsi="Arial"/>
          <w:sz w:val="20"/>
          <w:szCs w:val="20"/>
          <w:color w:val="auto"/>
        </w:rPr>
        <w:t>below a specified age and/or restrict the venues in which energy drinks can be sold and/or to restrict the use of the Supplemental Nutrition Assistance Program (“SNAP”) (formerly food stamps) to purchase energy drinks have been raised and/or enacted in certain U.S. states, counties, municipalities and/or in certain foreign countries.</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January 2013, Chicago Alderman Ed Burke proposed a ban on the sale and distribution of energy drinks to all consumers, not just minors, in Chicago (the “Chicago Proposal”). The Chicago Proposal defined “energy drink” to include “a canned or bottled beverage which has 180 milligrams or more of caffeine per single-serve container and contains Taurine or Guarana”. That proposal has not been enacted to date.</w:t>
      </w:r>
    </w:p>
    <w:p>
      <w:pPr>
        <w:spacing w:after="0" w:line="20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March 2013, a bill was proposed in the Illinois General Assembly to ban the sale of energy drinks (defined as beverages containing one or more of the following ingredients: taurine, guarana, glucuronolactone or ginseng) to anyone younger than 18 years of age. In January 2014, Los Angeles City Councilman Bernard Parks proposed a bill to ban anyone younger than 18 years of age from purchasing energy drinks. In addition, in February 2014, a bill was introduced in the Maryland General Assembly that would prohibit the sale of energy drinks to individuals younger than 18 years of age.</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March 2013, Suffolk County enacted two local laws; one bans the distribution of free samples of energy drinks (which the law characterizes as “stimulant drinks”) to individuals under the age of eighteen in that county, and the second bans the sale or distribution of such drinks in Suffolk County parks.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i w:val="1"/>
          <w:iCs w:val="1"/>
          <w:color w:val="auto"/>
        </w:rPr>
        <w:t xml:space="preserve">Excise Taxes on Energy Drinks. </w:t>
      </w:r>
      <w:r>
        <w:rPr>
          <w:rFonts w:ascii="Arial" w:cs="Arial" w:eastAsia="Arial" w:hAnsi="Arial"/>
          <w:sz w:val="16"/>
          <w:szCs w:val="16"/>
          <w:color w:val="auto"/>
        </w:rPr>
        <w:t>Legislation that would impose an excise tax on sweetened beverages has been proposed in Congress,</w:t>
      </w:r>
      <w:r>
        <w:rPr>
          <w:rFonts w:ascii="Arial" w:cs="Arial" w:eastAsia="Arial" w:hAnsi="Arial"/>
          <w:sz w:val="16"/>
          <w:szCs w:val="16"/>
          <w:i w:val="1"/>
          <w:iCs w:val="1"/>
          <w:color w:val="auto"/>
        </w:rPr>
        <w:t xml:space="preserve"> </w:t>
      </w:r>
      <w:r>
        <w:rPr>
          <w:rFonts w:ascii="Arial" w:cs="Arial" w:eastAsia="Arial" w:hAnsi="Arial"/>
          <w:sz w:val="16"/>
          <w:szCs w:val="16"/>
          <w:color w:val="auto"/>
        </w:rPr>
        <w:t>in some state legislatures, including Connecticut, Hawaii, Massachusetts, Nebraska, Oregon, Rhode Island and Texas, and in some local governments, such as San Francisco and Berkeley, with excise taxes generally ranging between $0.01 and $0.02 per ounce of sweetened beverage. The imposition of such taxes on our products would increase the cost of the products or, to the extent levied directly on consumers, make our products less affordable. Excise taxes on sweetened beverages already are in effect in certain foreign countries where we do</w:t>
      </w:r>
    </w:p>
    <w:p>
      <w:pPr>
        <w:sectPr>
          <w:pgSz w:w="11900" w:h="16963" w:orient="portrait"/>
          <w:cols w:equalWidth="0" w:num="1">
            <w:col w:w="11420"/>
          </w:cols>
          <w:pgMar w:left="240" w:top="352" w:right="239" w:bottom="0" w:gutter="0" w:footer="0" w:header="0"/>
        </w:sectPr>
      </w:pPr>
    </w:p>
    <w:bookmarkStart w:id="11" w:name="page12"/>
    <w:bookmarkEnd w:id="11"/>
    <w:p>
      <w:pPr>
        <w:jc w:val="both"/>
        <w:spacing w:after="0" w:line="244" w:lineRule="auto"/>
        <w:rPr>
          <w:sz w:val="20"/>
          <w:szCs w:val="20"/>
          <w:color w:val="auto"/>
        </w:rPr>
      </w:pPr>
      <w:r>
        <w:rPr>
          <w:rFonts w:ascii="Arial" w:cs="Arial" w:eastAsia="Arial" w:hAnsi="Arial"/>
          <w:sz w:val="20"/>
          <w:szCs w:val="20"/>
          <w:color w:val="auto"/>
        </w:rPr>
        <w:t>business. On January 1, 2011, Mexico instituted a 25% excise tax on certain energy drinks, to which our products are currently not subject; however, in October 2013, Mexico passed a $1 MXN tax per liter on sugar-sweetened beverages, which became effective January 1, 2014. Effective January 1, 2013, Hungary instituted an excise tax of approximately $0.18 (at current exchange rates) per liter on drinks containing more than 15 milligrams of caffeine per 100 milliliters, to which our products are subject. In October 2013, the French Parliament passed legislation taxing energy drinks at a rate of €1 EUR per liter, which was approved by the French Supreme Court in December 2013 and went into effect on January 1, 2014.</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Limits on Caffeine Content</w:t>
      </w:r>
      <w:r>
        <w:rPr>
          <w:rFonts w:ascii="Arial" w:cs="Arial" w:eastAsia="Arial" w:hAnsi="Arial"/>
          <w:sz w:val="19"/>
          <w:szCs w:val="19"/>
          <w:color w:val="auto"/>
        </w:rPr>
        <w:t>. Legislation, including the Chicago Proposal, has been proposed to limit the amount of caffeine that may be</w:t>
      </w:r>
      <w:r>
        <w:rPr>
          <w:rFonts w:ascii="Arial" w:cs="Arial" w:eastAsia="Arial" w:hAnsi="Arial"/>
          <w:sz w:val="19"/>
          <w:szCs w:val="19"/>
          <w:i w:val="1"/>
          <w:iCs w:val="1"/>
          <w:color w:val="auto"/>
        </w:rPr>
        <w:t xml:space="preserve"> </w:t>
      </w:r>
      <w:r>
        <w:rPr>
          <w:rFonts w:ascii="Arial" w:cs="Arial" w:eastAsia="Arial" w:hAnsi="Arial"/>
          <w:sz w:val="19"/>
          <w:szCs w:val="19"/>
          <w:color w:val="auto"/>
        </w:rPr>
        <w:t>contained in beverages, including energy drinks. Some jurisdictions where we do business have prescribed limited caffeine content for beverages. On January 1, 2013, regulations took effect in Canada that limit the amount of caffeine contained in any beverage in a single-serving can or bottle to less than 180 milligrams. We adjusted the caffeine levels in certain of our Monster Energy® products that are sold in Canada to address these regulations, although the majority of our products were unaffected. However, there can be no assurance that we will be able to satisfactorily do so in other jurisdictions that adopt similar legislation.</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Limitations on Container Size. </w:t>
      </w:r>
      <w:r>
        <w:rPr>
          <w:rFonts w:ascii="Arial" w:cs="Arial" w:eastAsia="Arial" w:hAnsi="Arial"/>
          <w:sz w:val="20"/>
          <w:szCs w:val="20"/>
          <w:color w:val="auto"/>
        </w:rPr>
        <w:t>In September 2012, the Board of Health of New York City approved regulations prohibiting the sale, in</w:t>
      </w:r>
      <w:r>
        <w:rPr>
          <w:rFonts w:ascii="Arial" w:cs="Arial" w:eastAsia="Arial" w:hAnsi="Arial"/>
          <w:sz w:val="20"/>
          <w:szCs w:val="20"/>
          <w:i w:val="1"/>
          <w:iCs w:val="1"/>
          <w:color w:val="auto"/>
        </w:rPr>
        <w:t xml:space="preserve"> </w:t>
      </w:r>
      <w:r>
        <w:rPr>
          <w:rFonts w:ascii="Arial" w:cs="Arial" w:eastAsia="Arial" w:hAnsi="Arial"/>
          <w:sz w:val="20"/>
          <w:szCs w:val="20"/>
          <w:color w:val="auto"/>
        </w:rPr>
        <w:t>certain sales channels, mainly food service establishments, of certain sweetened drinks in containers larger than 16 fluid ounces. The regulations were expected to take effect in March 2013, but a New York state court invalidated them as exceeding the Board of Health’s authority, and an appellate court agreed with this ruling. The decision is currently on appeal to the state’s highest court. The mayor of Cambridge, Massachusetts has proposed a similar initiative.</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currently package certain of our Monster Energy® drinks and our Peace Tea® iced teas in aluminum cans larger than 16 fluid ounces. Although the New York City regulations and other current proposals would not extend to beverages sold in our principal sales channels such as convenience stores, grocery stores, mass merchandisers, drug stores and club stores, we cannot predict whether any such sales channel might be added to the New York City regulations or covered by other similar regulatory initiatives.</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Container Deposits. </w:t>
      </w:r>
      <w:r>
        <w:rPr>
          <w:rFonts w:ascii="Arial" w:cs="Arial" w:eastAsia="Arial" w:hAnsi="Arial"/>
          <w:sz w:val="19"/>
          <w:szCs w:val="19"/>
          <w:color w:val="auto"/>
        </w:rPr>
        <w:t>Various municipalities, states and foreign countries require that a deposit be charged for certain non-refillable</w:t>
      </w:r>
      <w:r>
        <w:rPr>
          <w:rFonts w:ascii="Arial" w:cs="Arial" w:eastAsia="Arial" w:hAnsi="Arial"/>
          <w:sz w:val="19"/>
          <w:szCs w:val="19"/>
          <w:i w:val="1"/>
          <w:iCs w:val="1"/>
          <w:color w:val="auto"/>
        </w:rPr>
        <w:t xml:space="preserve"> </w:t>
      </w:r>
      <w:r>
        <w:rPr>
          <w:rFonts w:ascii="Arial" w:cs="Arial" w:eastAsia="Arial" w:hAnsi="Arial"/>
          <w:sz w:val="19"/>
          <w:szCs w:val="19"/>
          <w:color w:val="auto"/>
        </w:rPr>
        <w:t>beverage containers. The precise requirements imposed by these measures vary by jurisdiction. Other deposit, recycling or product stewardship proposals have been introduced in certain U.S. states, counties, municipalities and in certain foreign countries.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Environmental Laws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facilities in the United States are subject to federal, state and local environmental laws and regulations. Our operations in other countries are subject to similar laws and regulations that may be applicable in such countries. Compliance with these provisions has not had, nor do we expect such compliance to have, any material adverse effect upon our capital expenditures, net income or competitive position.</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3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As of December 31, 2013, we employed a total of 2,013 employees of which 1,240 were employed on a full-time basis. Of our 2,013 employees, we employed 442 in administrative and operational capacities and 1,571 persons in sales and marketing capacities.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“SEC”). You may read and copy such material at the SEC’s Public Reference Room located at 100 F Street, N.E., Washington, D.C. 20549. You may obtain information on the operation of the Public Reference Room by calling the SEC at 1-800-SEC-0330. You can also find the Company’s SEC filings at the SEC’s website, which contains reports, proxy and information statements, and other information regarding issuers that file electronically with the SEC, at http://www.sec.gov.</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Our Internet address is </w:t>
      </w:r>
      <w:r>
        <w:rPr>
          <w:rFonts w:ascii="Arial" w:cs="Arial" w:eastAsia="Arial" w:hAnsi="Arial"/>
          <w:sz w:val="19"/>
          <w:szCs w:val="19"/>
          <w:u w:val="single" w:color="auto"/>
          <w:color w:val="auto"/>
        </w:rPr>
        <w:t>www.monsterbevcorp.com</w:t>
      </w:r>
      <w:r>
        <w:rPr>
          <w:rFonts w:ascii="Arial" w:cs="Arial" w:eastAsia="Arial" w:hAnsi="Arial"/>
          <w:sz w:val="19"/>
          <w:szCs w:val="19"/>
          <w:color w:val="auto"/>
        </w:rPr>
        <w:t xml:space="preserve">. Information contained on our website is not part of this annual report on Form 10-K. Our SEC filings (including any amendments) will be made available free of charge on </w:t>
      </w:r>
      <w:r>
        <w:rPr>
          <w:rFonts w:ascii="Arial" w:cs="Arial" w:eastAsia="Arial" w:hAnsi="Arial"/>
          <w:sz w:val="19"/>
          <w:szCs w:val="19"/>
          <w:u w:val="single" w:color="auto"/>
          <w:color w:val="auto"/>
        </w:rPr>
        <w:t>www.monsterbevcorp.com</w:t>
      </w:r>
      <w:r>
        <w:rPr>
          <w:rFonts w:ascii="Arial" w:cs="Arial" w:eastAsia="Arial" w:hAnsi="Arial"/>
          <w:sz w:val="19"/>
          <w:szCs w:val="19"/>
          <w:color w:val="auto"/>
        </w:rPr>
        <w:t>, as soon as reasonably practicable after we electronically file such material with, or furnish it to, the SEC. In addition, you may request a copy of these filings (excluding exhibits) at no cost by writing to, or telephoning us, at the following address or telephone number: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Monster Beverage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 Monster Way</w:t>
      </w:r>
    </w:p>
    <w:p>
      <w:pPr>
        <w:jc w:val="center"/>
        <w:spacing w:after="0"/>
        <w:rPr>
          <w:sz w:val="20"/>
          <w:szCs w:val="20"/>
          <w:color w:val="auto"/>
        </w:rPr>
      </w:pPr>
      <w:r>
        <w:rPr>
          <w:rFonts w:ascii="Arial" w:cs="Arial" w:eastAsia="Arial" w:hAnsi="Arial"/>
          <w:sz w:val="20"/>
          <w:szCs w:val="20"/>
          <w:color w:val="auto"/>
        </w:rPr>
        <w:t>Corona, CA 92879</w:t>
      </w:r>
    </w:p>
    <w:p>
      <w:pPr>
        <w:ind w:left="5600" w:hanging="480"/>
        <w:spacing w:after="0"/>
        <w:tabs>
          <w:tab w:leader="none" w:pos="5600" w:val="left"/>
        </w:tabs>
        <w:numPr>
          <w:ilvl w:val="0"/>
          <w:numId w:val="8"/>
        </w:numPr>
        <w:rPr>
          <w:rFonts w:ascii="Arial" w:cs="Arial" w:eastAsia="Arial" w:hAnsi="Arial"/>
          <w:sz w:val="20"/>
          <w:szCs w:val="20"/>
          <w:color w:val="auto"/>
        </w:rPr>
      </w:pPr>
      <w:r>
        <w:rPr>
          <w:rFonts w:ascii="Arial" w:cs="Arial" w:eastAsia="Arial" w:hAnsi="Arial"/>
          <w:sz w:val="20"/>
          <w:szCs w:val="20"/>
          <w:color w:val="auto"/>
        </w:rPr>
        <w:t>739-6200</w:t>
      </w:r>
    </w:p>
    <w:p>
      <w:pPr>
        <w:ind w:left="5600" w:hanging="480"/>
        <w:spacing w:after="0"/>
        <w:tabs>
          <w:tab w:leader="none" w:pos="5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426-7367</w:t>
      </w:r>
    </w:p>
    <w:p>
      <w:pPr>
        <w:sectPr>
          <w:pgSz w:w="11900" w:h="16838" w:orient="portrait"/>
          <w:cols w:equalWidth="0" w:num="1">
            <w:col w:w="11420"/>
          </w:cols>
          <w:pgMar w:left="240" w:top="121" w:right="239" w:bottom="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21" w:right="239" w:bottom="0" w:gutter="0" w:footer="0" w:header="0"/>
          <w:type w:val="continuous"/>
        </w:sectPr>
      </w:pPr>
    </w:p>
    <w:bookmarkStart w:id="12" w:name="page13"/>
    <w:bookmarkEnd w:id="12"/>
    <w:p>
      <w:pPr>
        <w:spacing w:after="0"/>
        <w:rPr>
          <w:rFonts w:ascii="Arial" w:cs="Arial" w:eastAsia="Arial" w:hAnsi="Arial"/>
          <w:sz w:val="20"/>
          <w:szCs w:val="20"/>
          <w:u w:val="single" w:color="auto"/>
          <w:color w:val="0000EE"/>
        </w:rPr>
      </w:pPr>
      <w:r>
        <w:rPr>
          <w:rFonts w:ascii="Arial" w:cs="Arial" w:eastAsia="Arial" w:hAnsi="Arial"/>
          <w:sz w:val="20"/>
          <w:szCs w:val="20"/>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to the other information in this report, you should carefully consider the following risks. If any of the following risks actually occur, our business, financial condition and/or operating results could be materially adversely affected. The risk factors summarized below are not the only risks we face. Additional risks and uncertainties not currently known to us or that we currently deem to be immaterial also may materially adversely affect our business, financial condition and/or operating results.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Changes in government regulation, or failure to comply with existing regulations, could adversely affect our business, financial condition and results of operations.</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Legislation has been proposed and/or adopted at the U.S. federal, state and/or municipal level and proposed and/or adopted in certain foreign jurisdictions to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 or impose age restrictions for the sale of energy drinks. For a discussion of certain of such legislation, see “Part I, Item 1 – Business – Government Regulation.” Furthermore, additional legislation may be introduced in the United States and other countries at the federal, state, local and municipal level in respect of each of the foregoing subject areas. Public health officials and health advocates are increasingly focused on the public health consequences associated with obesity, especially as the disease affects children, and are seeking legislative change to reduce the consumption of sweetened beverages. There also has been an increased focus on caffeine content in beverages. To the extent any such legislation is enacted in one or more jurisdictions where a significant amount of our products are sold individually or in the aggregate, it could result in a reduction in demand for our energy drinks and adversely affect our business, financial condition and results of operations.</w:t>
      </w:r>
    </w:p>
    <w:p>
      <w:pPr>
        <w:spacing w:after="0" w:line="20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production, distribution and sale in the United States of many of our products are also currently subject to various federal and state regulations, including, but not limited to: the FFDC Act, including as amended by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Outside the United States, the production, distribution and sale of many of our products are also subject to numerous statutes and regulations. If a regulatory authority finds that a current or future product or production run is not in compliance with any of these regulations, we may be fined, or such products may have to be recalled and/or reformulated and/or have the packaging changed, which could adversely affect our business, financial condition and results of operations.</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We cannot predict the effect of inquiries from and/or actions by attorneys general and/or other government agencies and/or quasi-government agencies into the advertising, marketing, promotion, ingredients, usage and/or sale of our energy drink products.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We are subject to the risks of investigations and/or enforcement actions by state attorneys general and/or other government and/or quasi-governmental agencies relating to the advertising, marketing, promotion, ingredients, usage and/or sale of our energy drinks. In July 2012, we received a subpoena from a state attorney general in connection with an investigation relating to the advertising, marketing, promotion, ingredients, usage and sale of our Monster Energy® brand energy drinks. We cannot predict the outcome of this inquiry and what, if any, effect it may have on our business, financial condition or results of operations. If an inquiry by a state attorney general or other government or quasi-government agency finds that our products and/or the advertising, marketing, promotion, ingredients, usage and/or sale of such products are not in compliance with applicable laws or regulations, we may become subject to fines, product reformulations, container changes, changes in the usage or sale of our energy drink products and/or changes in our advertising, marketing and promotion practices, each of which could have an adverse effect on our business, financial condition or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Litigation regarding our products, and related unfavorable media attention, could expose us to significant liabilities and reduce demand for our products.</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2012, we were named as a defendant in a product liability lawsuit, which alleged that the consumption of two 24-ounce cans of Monster Energy® over the course of two days, caused the wrongful death of a fourteen year old girl (Anais Fournier) in December 2011. We do not believe that our products are responsible for the death of Ms. Fournier and intend to continue to vigorously defend the lawsuit. In addition, another product liability lawsuit was filed against us in 2012, which we believe to be without merit and intend to vigorously defend. We have also been named as a defendant in certain other complaints containing similar allegations to those presented in the Fournier lawsuit, each of which we believe is also without merit and would not have a material adverse effect on our financial position or results of operations in the event any damages were awarded.</w:t>
      </w:r>
    </w:p>
    <w:p>
      <w:pPr>
        <w:spacing w:after="0" w:line="20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October 2012, we received a written request for information from the City Attorney for the City and County of San Francisco (the “City Attorney”) concerning our advertising and marketing of our Monster Energy® brand of energy drinks and specifically concerning the safety of our products for consumption by adolescents. In a subsequent letter, the City Attorney threatened to bring suit against us if we did not agree to take certain steps immediately and, on May 6, 2013, the City Attorney filed a complaint against us for declaratory and injunctive relief, civil penalties and restitution for an alleged violation of California’s Unfair Competition Law. We deny that we have violated the Unfair Competition Law or any other law and believe that the City Attorney’s claims and demands are preempted and unconstitutional. We intend to vigorously defend against the lawsuit. At this time, no evaluation of the likelihood of an unfavorable outcome or range of potential loss can be expressed.</w:t>
      </w:r>
    </w:p>
    <w:p>
      <w:pPr>
        <w:sectPr>
          <w:pgSz w:w="11900" w:h="16838" w:orient="portrait"/>
          <w:cols w:equalWidth="0" w:num="1">
            <w:col w:w="11420"/>
          </w:cols>
          <w:pgMar w:left="240" w:top="514" w:right="239" w:bottom="0" w:gutter="0" w:footer="0" w:header="0"/>
        </w:sectPr>
      </w:pPr>
    </w:p>
    <w:bookmarkStart w:id="13" w:name="page14"/>
    <w:bookmarkEnd w:id="13"/>
    <w:p>
      <w:pPr>
        <w:jc w:val="both"/>
        <w:ind w:firstLine="648"/>
        <w:spacing w:after="0" w:line="244" w:lineRule="auto"/>
        <w:rPr>
          <w:sz w:val="20"/>
          <w:szCs w:val="20"/>
          <w:color w:val="auto"/>
        </w:rPr>
      </w:pPr>
      <w:r>
        <w:rPr>
          <w:rFonts w:ascii="Arial" w:cs="Arial" w:eastAsia="Arial" w:hAnsi="Arial"/>
          <w:sz w:val="20"/>
          <w:szCs w:val="20"/>
          <w:color w:val="auto"/>
        </w:rPr>
        <w:t>Several other lawsuits have been filed against us claiming that certain statements made in our advertisements and/or on the labels of our products were false and/or misleading in nature and/or that our products are not safe. Putative class action lawsuits have also recently been filed against certain of our competitors asserting that certain claims in their advertisements amount to false advertising. We do not believe any statements made by us in our promotional materials or set forth on our product labels are false or misleading or that our products are in any way unsafe and intend to vigorously defend these lawsuits.</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 of the foregoing matters or other product-related litigation, the threat thereof, or unfavorable media attention arising from pending or threatened product-related litigation, could consume significant financial and managerial resources, and result in decreased demand for our products, significant monetary awards against us and injury to our reputation.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Criticism of our energy drink products, and/or criticism or a negative perception of energy drinks generally, could adversely affect us.</w:t>
      </w:r>
    </w:p>
    <w:p>
      <w:pPr>
        <w:spacing w:after="0" w:line="24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An unfavorable report on the health effects of caffeine, or criticism or negative publicity regarding the caffeine content in our products or energy drinks generally, could have an adverse effect on our business, financial condition and results of operations. Articles critical of the caffeine content in energy drinks and/or indicating certain health risks of energy drinks have been published in recent years. We believe that the softness in the overall energy drink market in the U.S. that has been experienced may be due in part to the ongoing negative publicity and comments that continue to appear in the media questioning the safety of energy drinks, and suggesting limitations on their ingredients (including caffeine) and/or the levels thereof and/or imposing minimum age restrictions for consumers. If reports, studies or articles critical of caffeine and/or energy drinks continue to be published or are published in the future, they could adversely affect the demand for our products.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Increased competition could hurt our business.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beverage industry is highly competitive. The principal areas of competition are pricing, packaging, development of new products, flavors, product positioning as well as promotion and marketing strategies. Our products compete with a wide range of drinks produced by a relatively large number of manufacturers, many of which have substantially greater financial, marketing and distribution resources than we do.</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Important factors affecting our ability to compete successfully include the taste and flavor of our products, trade and consumer promotions, rapid and effective development of new, unique cutting edge products, attractive and different packaging, branded product advertising and pricing. Our products compete with all liquid refreshments and in many cases with products of much larger and substantially better financed competitors, including the products of numerous nationally and internationally known producers such as TCCC, PepsiCo, Red Bull Gmbh, the DPS Group, Kraft Foods Inc., Suntory Holding, Ltd., Nestle Beverage Company, Tree Top and Ocean Spray. We also compete with companies that are smaller or primarily national or local in operations. Our products also compete with private label brands such as those carried by grocery store chains, convenience store chains, and club stores.</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can be no assurance that we will not encounter difficulties in maintaining our current revenues or market share or position due to competition in the beverage industry. If our revenues decline, our business, financial condition and results of operations could be adversely affected.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Uncertainty in the financial markets and other adverse changes in general economic or political conditions in any of the major countries in which we do business could adversely affect our industry, business and results of operations.</w:t>
      </w:r>
    </w:p>
    <w:p>
      <w:pPr>
        <w:spacing w:after="0" w:line="1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In 2013, the global economy improved as compared to 2012, however uncertainty continues to exist as to the overall rate and stability of the recovery. Global economic uncertainties affect businesses such as ours in a number of ways, making it difficult to accurately forecast and plan our future business activities. There can be no assurance that any of the recent economic improvements will be sustainable, or that they will enhance conditions in markets relevant to us. In addition, we cannot predict the duration and severity of disruptions in any of our markets, or the impact they may have on our customers or business, as our expansion outside of the United States has increased our exposure to any crisis in European and other international markets. If the improved economic conditions are slower than anticipated or if conditions worsen, our industry, business and results of operations could be materially and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consumer preferences may reduce demand for some of our products.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beverage industry is subject to changing consumer preferences and shifts in consumer preferences may adversely affect us. There is increasing awareness of and concern for the health consequences of obesity. This may reduce demand for our non-diet beverages, which could reduce our revenues and adversely affect our results of operations. Recently, concerns have emerged regarding diet sodas and in particular, aspartame, which we do not use in our products.</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Consumers are seeking greater variety in their beverages. Our future success will depend, in part, upon our continued ability to develop and introduce different and innovative beverages that appeal to consumers. In order to retain and expand our market share, we must continue to develop and introduce different and innovative beverages and be competitive in the areas of taste, quality and health, although there can be no assurance of our ability to do so. There is no assurance that consumers will continue to purchase our products in the future. Product lifecycles for some beverage brands and/or products and/or packages may be limited to a few years before consumers’ preferences change. The beverages we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2" w:right="239" w:bottom="105" w:gutter="0" w:footer="0" w:header="0"/>
        </w:sectPr>
      </w:pPr>
    </w:p>
    <w:bookmarkStart w:id="14" w:name="page15"/>
    <w:bookmarkEnd w:id="14"/>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currently market are in varying stages of their product lifecycles and there can be no assurance that such beverages will become or remain profitable for us. We may be unable to achieve volume growth through product and packaging initiatives. We also may be unable to penetrate new markets. If our revenues decline, our business, financial condition and results of operations could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Operations outside the United States expose us to uncertain conditions and other risks in international markets.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Our gross sales to customers outside of the United States were approximately 23%, 22% and 20% of consolidated gross sales for the years ended December 31, 2013, 2012 and 2011, respectively, and our growth strategy includes further expanding our international business. If we are unable to continue to expand distribution of our products outside the United States, our growth rate could be adversely affected. In many international markets, we have limited operating experience and in some areas we have no operating experience. It is costly to establish, develop and maintain international operations and develop and promote our brands in international markets. Our percentage gross profit margins in many international markets are expected to be less than the comparable percentage gross profit margins obtained in the U.S. We face and will continue to face substantial risks associated with having foreign operations, including: economic and/or political instability in our international markets; restrictions on or costs relating to the repatriation of foreign profits to the United States, including possible taxes and/or withholding obligations on any repatriations; and tariffs and/or trade restrictions.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higher product damages, particularly when products are shipped long distances, potentially higher incidence of fraud and/or corruption, credit risk of local customers and distributors and potentially adverse tax consequences.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Global or regional catastrophic events could impact our operations and affect our ability to grow our business.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Because of our increasingly global presence, our business could be affected by unstable political conditions, civil unrest, large-scale terrorist acts, especially those directed against the United States or other major industrialized countries where our products are distributed, the outbreak or escalation of armed hostilities, major natural disasters or widespread outbreaks of infectious diseases. Such events could impact the production and distribution of our products. In addition, such events could disrupt global or regional economic activity, which could affect consumer purchasing power, thereby reducing demand for our products. If we are unable to grow our business internationally as a result of these factors, our growth rate could decline.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Fluctuations in foreign currency exchange rates may adversely affect our operating results.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are exposed to foreign currency exchange rate risk with respect to our sales, expenses, profits, assets and liabilities denominated in currencies other than the U.S. dollar. We have not used instruments to hedge certain foreign currency risks and are not protected against foreign currency fluctuations. As a result, our reported earnings may be affected by changes in foreign currency exchange rates. Moreover, any favorable impacts to profit margins or financial results from fluctuations in foreign currency exchange rates are likely to be unsustainable over time.</w:t>
      </w:r>
    </w:p>
    <w:p>
      <w:pPr>
        <w:spacing w:after="0" w:line="2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We derive a substantial portion of revenues from our energy drinks and competitive pressure in the energy drink category could adversely affect our business and operating results.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 substantial portion of our sales are derived from our energy drinks, including in particular our Monster Energy® brand energy drinks. Our DSD segment, which is comprised primarily of energy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drinks, represented 95.6% of net sales for the year ended December 31, 2013. Any decrease in the sales of our Monster Energy® brand and other energy drinks could significantly adversely affect our future revenues and net income. Historically, we have experienced substantial competition from new entrants in the energy drink category as well as from the more recently emerging energy shot category. Domestically, our energy drinks compete directly with Red Bull, Rockstar, Full Throttle, No Fear, Amp, Adrenaline Rush, NOS, Venom, Redline, Red Devil, Xenergy, MiO Energy, Rip It, Starbucks Double Shot, Starbucks Double Shot Energy Plus Coffee, Rockstar Roasted, 5-Hour Energy Shots, Stacker 2, VPX Redline Energy Shots and many other brands. A number of companies who market and distribute iced teas, juice cocktails and enhanced waters in different packages, such as 16- and 20-ounce glass and plastic bottles, including Sobe, Sobe Life Water, Snapple, Arizona, Fuse, Ocean Spray, Honest Tea, Gold Peak Tea, Activate, Neuro and Vitamin Water, have added dietary ingredients to their products with a view to marketing their products as “functional” or energy beverages or as having “functional” benefits. In addition, certain large companies such as TCCC and PepsiCo, market and/or distribute products in that market segment such as Pepsi Max, Mountain Dew, Mountain Dew MDX, Mountain Dew Kickstart and Vault. Internationally, our energy drinks compete with Red Bull, Rockstar, Burn, V-Energy, Lucozade, Adrenaline Rush, Relentless and numerous local and private label brands that usually differ from country to country, such as Power Play, Mother, Hell, Shock, Tiger, Boost, Speed, TNT, Shark, Hot 6, Shark Energy, Nalu, Battery, Bullit, Flash Up, Black, Non-Stop, Bomba, Semtex, Vive 100, Dark Dog, Speed, Guaraná, Ultra and a host of other international brands. Our Java Monster® product line competes directly with Starbucks Frappuccino, Starbucks Double Shot, Starbucks Double Shot Energy Plus Coffee and other Starbucks coffee drinks, Rockstar Roasted, Seattle’s Best and illy issimo coffee drinks. Our Muscle Monster® product line competes directly with Muscle Milk, Core Power, ABB Pure Pro and Gatorade Recover Protein Shake. Competitive pressures in the energy drink category could impact our revenues and/or we could experience price erosion and/or lower market share, any of which could have a material adverse effect on our business and results of operations.</w:t>
      </w:r>
    </w:p>
    <w:p>
      <w:pPr>
        <w:sectPr>
          <w:pgSz w:w="11900" w:h="16838" w:orient="portrait"/>
          <w:cols w:equalWidth="0" w:num="1">
            <w:col w:w="11420"/>
          </w:cols>
          <w:pgMar w:left="240" w:top="122" w:right="239" w:bottom="20" w:gutter="0" w:footer="0" w:header="0"/>
        </w:sectPr>
      </w:pPr>
    </w:p>
    <w:bookmarkStart w:id="15" w:name="page16"/>
    <w:bookmarkEnd w:id="15"/>
    <w:p>
      <w:pPr>
        <w:jc w:val="both"/>
        <w:ind w:right="20"/>
        <w:spacing w:after="0" w:line="317" w:lineRule="auto"/>
        <w:rPr>
          <w:sz w:val="20"/>
          <w:szCs w:val="20"/>
          <w:color w:val="auto"/>
        </w:rPr>
      </w:pPr>
      <w:r>
        <w:rPr>
          <w:rFonts w:ascii="Arial" w:cs="Arial" w:eastAsia="Arial" w:hAnsi="Arial"/>
          <w:sz w:val="18"/>
          <w:szCs w:val="18"/>
          <w:i w:val="1"/>
          <w:iCs w:val="1"/>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1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We do not directly manufacture our products, but instead outsource such manufacturing to bottlers and other contract packers. In the event of a disruption and/or delay, we may be unable to procure alternative packing facilities at commercially reasonable rates and/or within a reasonably short time period. In addition, there are limited alternative packing facilities in our domestic and international markets with adequate capacity and/or suitable equipment for many of our products, including our Monster Energy® brand energy drinks, our Worx Energy® energy shots, our Peace Tea® product line, our Hansen’s® brand energy drinks, our aseptic juice products, our Hubert’s® Lemonades, our Muscle Monster® product line, our Java Monster® product line and certain of our other products. While we believe a short-term disruption or delay in production would not significantly affect our revenue, a lengthy disruption or delay in the production of any of such products could significantly adversely affect our revenues from such products because alternative co-packing facilities in the United States and abroad with adequate long-term capacity may not be available for such products either at commercially reasonable rates, and/or within a reasonably short time period, if at all.</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We rely on bottlers and distributors to distribute our DSD segment products. If we are unable to maintain good relationships with our existing bottlers and distributors and/or secure such bottlers and distributors, our business could suffer.</w:t>
      </w:r>
    </w:p>
    <w:p>
      <w:pPr>
        <w:spacing w:after="0" w:line="190"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Many of our bottlers and distributors are affiliated with and manufacture and/or distribute other soda, carbonated and non-carbonated brands and other beverage products (both alcoholic and non-alcoholic), including energy drinks. In many cases, such products compete directly with our products.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TCCC North American Bottlers, AB Distributors, New CCE and Coca-Cola Hellenic are our primary domestic and international distributors of our Monster Energy® products. If we are unable to maintain good relationships with the TCCC North American Bottlers and/or the AB Distributors and/or New CCE and/or Coca-Cola Hellenic, or if the TCCC North American Bottlers and/or AB Distributors and/or New CCE and/or Coca-Cola Hellenic do not effectively focus on marketing, promoting, selling and distributing our products, sales of our Monster Energy® products could be adversely affected.</w:t>
      </w:r>
    </w:p>
    <w:p>
      <w:pPr>
        <w:spacing w:after="0" w:line="20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continually seek to expand and/or improve the distribution of our products by entering into agreements with regional bottlers and/or other direct store delivery distributors having established sales, marketing and distribution organizations.</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marketing efforts of our distributors are important for our success. If our DSD segment brands prove to be less attractive to our existing bottlers and distributors and/or if we fail to attract additional bottlers and distributors, and/or our bottlers and/or distributors do not market, promote and distribute our products effectively, our business, financial condition and results of operations could be adversely affected.</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rely upon our ongoing relationships with our key flavor suppliers. If we are unable to source our flavors on acceptable terms from our key suppliers, we could suffer disruptions in our business.</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Generally, flavor suppliers hold the proprietary rights to their flavors. Consequently, we do not have the list of flavor ingredients or formulae for our flavors and certain of our concentrates readily available to us and we may be unable to obtain comparable flavors or concentrates from alternative suppliers on short notice. If we must replace a flavor supplier, we could experience a temporary disruption in our ability to deliver products to our customers and/or a reduction in demand for our products containing replacement flavors, which could have a material adverse effect on our business and results of operations.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Our customers are material to our success. If we are unable to maintain good relationships with our existing customers, our business could suffer.</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Unilateral decisions could be taken by our distributors, convenience chains, grocery chains, specialty chain stores, club stores and other customers to discontinue carrying all or any of our products that they are carrying at any time, which could cause our business to suffer.</w:t>
      </w:r>
    </w:p>
    <w:p>
      <w:pPr>
        <w:spacing w:after="0" w:line="14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CCR accounted for approximately 29% and 28% of our net sales for the years ended December 31, 2013 and 2012, respectively. A decision by CCR, CCRC, New CCE, the AB Distributors, Wal-Mart, Inc. (including Sam’s Club), Coca-Cola Hellenic, or any other large customer to decrease the amount purchased from us or to cease carrying our products could have a material adverse effect on our financial condition and consolidated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Increases in costs and/or shortages of raw materials and/or ingredients and/or fuel and/or costs of co-packing could harm our business.</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principal raw materials used by us are aluminum cans, PET plastic bottles, as well as flavors, juice concentrates, sugar, sucralose, milk, cream, protein, dietary ingredients and other packaging materials; the costs and availability of which are subject to fluctuations. In addition, certain of our co-pack arrangements allow such co-packers to increase their charges based on certain of their own cost increases. We are uncertain whether the prices of any of the above or any other raw materials or ingredients, certain of which have recently risen, will continue to rise or may rise in the future. We are unsure whether we will be able to pass any of such increases on to our customers. We generally do not use hedging agreements or alternative instruments to manage the risks associated with securing sufficient ingredients or raw materials although we do, from time to time, enter into purchase agreements for a significant portion of our annual anticipated requirements for certain raw materials such as aluminum cans, apple juice, sugar and sucralose.</w:t>
      </w:r>
    </w:p>
    <w:p>
      <w:pPr>
        <w:sectPr>
          <w:pgSz w:w="11900" w:h="16838" w:orient="portrait"/>
          <w:cols w:equalWidth="0" w:num="1">
            <w:col w:w="11420"/>
          </w:cols>
          <w:pgMar w:left="240" w:top="122" w:right="239" w:bottom="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16" w:name="page17"/>
    <w:bookmarkEnd w:id="16"/>
    <w:p>
      <w:pPr>
        <w:spacing w:after="0" w:line="106"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some of these raw materials, including certain sizes of cans, are available from a limited number of suppliers.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failure to accurately estimate demand for our products could adversely affect our business and financial results.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may not correctly estimate demand for our products. Our ability to estimate demand for our products is imprecise, particularly with regard to new products, and may be less precise during periods of rapid growth, particularly in new markets. If we materially underestimate demand for our products or are unable to secure sufficient ingredients or raw materials including, but not limited to, aluminum cans, PET plastic bottles, glass bottles, labels, sucralose, flavors, dietary ingredients, juice concentrates, certain sweeteners, coffee, tea, protein, packaging materials or co-packing arrangements, we might not be able to satisfy demand on a short-term basis. Moreover, industry-wide shortages of certain juice concentrates, dietary ingredients and sweeteners have been and could, from time to time in the future, be experienced. We generally do not use hedging agreements or alternative instruments to manage this risk. Such shortages could interfere with and/or delay production of certain of our products and could have a material adverse effect on our business and financial results.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do not maintain sufficient inventory levels and/or if we are unable to deliver our products to our customers in sufficient quantities, and/or if our customers’ or retailers’ inventory levels are too high, our operating results could be adversely affected.</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If we do not accurately anticipate the future demand for a particular product or the time it will take to obtain new inventory, our inventory levels may be inadequate and our results of operations may be negatively impacted. If we fail to meet our shipping schedules, we could damage our relationships with distributors and/or retailers, increase our distribution costs and/or cause sales opportunities to be delayed or lost. In order to be able to deliver our products on a timely basis, we need to maintain adequate inventory levels of the desired products. If the inventory of our products held by our distributors and/or retailers is too high, they will not place orders for additional products, which could unfavorably impact our future sales and adversely affect our operating results.</w:t>
      </w:r>
    </w:p>
    <w:p>
      <w:pPr>
        <w:spacing w:after="0" w:line="19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The costs of packaging supplies are subject to price increases from time to time and we may be unable to pass all or some of such increased costs on to our customers.</w:t>
      </w:r>
    </w:p>
    <w:p>
      <w:pPr>
        <w:spacing w:after="0" w:line="1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Many of our packaging supply contracts allow our suppliers to alter the costs they charge us for packaging supplies based on changes in the costs of the underlying commodities that are used to produce those packaging supplies, such as aluminum for cans, resin for PET plastic bottles, and pulp and paper for cartons and/or trays. These changes in the prices we pay for our packaging supplies occur at certain predetermined times that vary by product and supplier. In some cases, we are able to fix the prices of certain packaging supplies and/or commodities for a reasonable period. In other cases, we bear the risk of increases in the costs of these packaging supplies, including the underlying costs of the commodities that comprise these packaging supplies. We do not use derivative instruments to manage this risk. If the costs of these packaging supplies increase, we may be unable to pass these costs along to our customers through corresponding adjustments to the prices we charge, which could have a material adverse effect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intellectual property rights are critical to our success, and the loss of such rights could materially adversely affect our business.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through registration and enforcement actions. However, there can be no assurance that other third parties will not infringe or misappropriate our trademarks, copyrights and similar proprietary rights. If we lose some or all of our intellectual property rights, our business may be materially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If we are unable to maintain our brand image or product quality, our business may suffer.</w:t>
      </w:r>
    </w:p>
    <w:p>
      <w:pPr>
        <w:spacing w:after="0" w:line="2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Our success depends on our ability to build and maintain the brand image for our existing products, new products and brand extensions. There can be no assurance that our advertising, marketing and promotional programs will have the desired impact on our products’ brand image and on consumer preference and demand. Product quality and/or ingredient content issues, efficacy or lack thereof, real or imagined, or allegations of product contamination, even if false or unfounded, could tarnish the image of the affected brands and may cause consumers to choose other products. Furthermore, our brand image or perceived product quality could be adversely affected by litigation, unfavorable reports in the media, internet or elsewhere, studies in general and regulatory or other governmental inquiries, in each case whether involving our products or those of our competitors, as well as proposed or new legislation affecting our industry.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If we encounter product recalls, our business may suffer and we may incur material losses.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may be required from time to time to recall products entirely or from specific co-packers, markets or batches if such products become contaminated, damaged, mislabeled or otherwise materially not compliant with applicable regulatory requirements. Product recalls could adversely affect our profitability and our brand image. We do not maintain recall insurance.</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are not able to retain the full-time services of senior management there may be an adverse effect on our operations and/or our operating performance until we find suitable replacements.</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Our business is dependent, to a large extent, upon the services of our senior management. We do not maintain key person life insurance on any members of our senior management. The loss of services of either Mr. Sacks, Chairman and Chief Executive Officer,</w:t>
      </w:r>
    </w:p>
    <w:p>
      <w:pPr>
        <w:sectPr>
          <w:pgSz w:w="11900" w:h="16944" w:orient="portrait"/>
          <w:cols w:equalWidth="0" w:num="1">
            <w:col w:w="11420"/>
          </w:cols>
          <w:pgMar w:left="240" w:top="366" w:right="239" w:bottom="0" w:gutter="0" w:footer="0" w:header="0"/>
        </w:sectPr>
      </w:pPr>
    </w:p>
    <w:bookmarkStart w:id="17" w:name="page18"/>
    <w:bookmarkEnd w:id="17"/>
    <w:p>
      <w:pPr>
        <w:spacing w:after="0" w:line="10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Mr. Schlosberg, President and Chief Financial Officer,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Climate change may negatively affect our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There is concern that a gradual increase in global average temperatures could cause significant changes in weather patterns around the globe and an increase in the frequency and severity of natural disasters. While warmer weather has historically been associated with increased sales of our products, changing weather patterns could result in decreased agricultural productivity in certain regions, which may limit availability and/or increase the cost of certain key ingredients, juice concentrates and dietary ingredients used in our products. Increased frequency or duration of extreme weather conditions could also impair production capabilities, disrupt our supply chain including, without limitation, the availability of, and/or result in higher prices for juice concentrates, natural flavors and dietary ingredients or impact demand for our products. In addition, public expectations for reductions in greenhouse gas emissions could result in increased energy, transportation and raw material costs and may require us to make additional investments in facilities and equipment. As a result, the effects of climate change could have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long-term adverse impact on our business and results of operations. Sales of our products may also be influenced to some extent by weather conditions in the markets in which we operate. Weather conditions may influence consumer demand for certain of our beverages, which could have an adverse effect on our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changes in accounting practices and/or taxation may adversely affect our financial results.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 Increases in direct and indirect income tax rates could affect after-tax income. Equally, increases in indirect taxes (including environmental taxes pertaining to the disposal of beverage containers and/or indirect taxes on beverages generally or energy drinks in particular) could affect our products’ affordability and reduce our sales.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Volatility of stock price may restrict sale opportunities.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stock price is affected by a number of factors, including stockholder expectations, financial results, the introduction of new products by us and our competitors, general economic and market conditions estimates and projections by the investment community and public comments by other parties as well as many other factors including litigation, many of which are beyond our control. We do not provide guidance on our future performance, including, but not limited to, our revenues, margins, product mix, operating expenses or net income. We may be unable to achieve analysts’ net revenue and/or earnings forecasts, which may be based on their own projected revenues, sales volumes and sales mix of many product types and/or new products, certain of which are more profitable than others, as well as their own estimates of gross margin and operating expenses. There can be no assurance that we will achieve any projected levels or mixes of product sales and/or revenues and/or gross margins and/or operating profits and/or net income. As a result, our stock price is subject to significant volatility and stockholders may not be able to sell our stock at attractive prices. In addition, periods of volatility in the market price of our stock could result in the initiation of securities class action litigation against us. During the fiscal year ended December 31, 2013, our stock price high was $68.33 and our stock price low was $45.38.</w:t>
      </w:r>
    </w:p>
    <w:p>
      <w:pPr>
        <w:spacing w:after="0" w:line="20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Provisions in our organizational documents and control by insiders may prevent changes in control even if such changes would be beneficial to other stockholders.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Our organizational documents may limit changes in control. Furthermore, as of February 24, 2014, Mr. Sacks and Mr. Schlosberg together may be deemed to beneficially own and/or exercise voting control over approximately 13% of our outstanding common stock. Consequently, Mr. Sacks and Mr. Schlosberg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cash flow may not be sufficient to fund our long term goals.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Although we currently have sufficient cash to support our planned operating activities in the current year, we may be unable to generate sufficient cash flow to support our capital expenditure plans and general operating activities in the future. In addition, the terms and/or availability of our credit facility and/or the activities of our debtors and/or creditors could affect the financing of our future growth.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investments in marketable securities are subject to risks which may cause losses and affect the liquidity of these investments.</w:t>
      </w:r>
    </w:p>
    <w:p>
      <w:pPr>
        <w:spacing w:after="0" w:line="2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At December 31, 2013, we had $211.3 million in cash and cash equivalents, $402.2 million in short-term investments and $9.8 million of long-term investments (comprised entirely of auction rate securities). We have historically invested these amounts in U.S. Treasury bills, certificates of deposit, commercial paper, government agencies and municipal securities (which may have an auction reset feature), corporate</w:t>
      </w:r>
    </w:p>
    <w:p>
      <w:pPr>
        <w:sectPr>
          <w:pgSz w:w="11900" w:h="16945" w:orient="portrait"/>
          <w:cols w:equalWidth="0" w:num="1">
            <w:col w:w="11420"/>
          </w:cols>
          <w:pgMar w:left="240" w:top="122" w:right="239" w:bottom="0" w:gutter="0" w:footer="0" w:header="0"/>
        </w:sectPr>
      </w:pPr>
    </w:p>
    <w:bookmarkStart w:id="18" w:name="page19"/>
    <w:bookmarkEnd w:id="18"/>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notes and bonds, variable rate demand notes and money market funds meeting certain criteria.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fail to maintain effective disclosure controls and procedures and internal control over financial reporting on a consolidated basis, our stock price and investor confidence in our Company could be materially and adversely affected.</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required to maintain both disclosure controls and procedures and internal control over financial reporting that are effective for the purposes described in “Part II, Item 9A – Controls and Procedures.” If we fail to do so, our business, results of operations, financial condition or the value of our stock could be materially harmed.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Litigation, legal proceedings, government and regulatory inquiries and/or proceedings could expose us to significant liabilities and thus negatively affect our financial results.</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are a party, from time to time, to various litigation claims and legal proceedings, government and regulatory inquiries and/or proceedings, including, but not limited to, intellectual property, fraud, unfair business practices, false advertising, product liability, breach of contract claims, securities actions and shareholder derivative actions. Material legal proceedings are described more fully in “Part I, Item 3 – Legal Proceedings” and in “Part II, Item 8, Note 9” to our consolidated financial statements contained in this Form 10-K.</w:t>
      </w:r>
    </w:p>
    <w:p>
      <w:pPr>
        <w:spacing w:after="0" w:line="1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Defending these proceedings can result in significant ongoing expenditures and the diversion of our management’s time and attention from the operation of our business, which could have a negative effect on our business operations. Our failure to successfully defend or settle any litigation or legal proceedings could result in liabilities that, to the extent not covered by our insurance, could have a material adverse effect on our financial condition, revenue and profitability, and could cause the market value of our common stock to decline.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 must continually maintain, protect and/or upgrade our information technology systems.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Information technology helps us operate efficiently, interface with customers, maintain financial accuracy and efficiency, and accurately produce our financial statements. If we do not allocate and effectively manage the resources necessary to build and sustain the proper technology infrastructure, we could be subject to transaction errors, processing inefficiencies, the loss of customers, business disruptions, or the loss of or damage to intellectual property through security breaches, including cybersecurity attacks. Cybersecurity attacks are evolving and include, but are not limited to, malicious software, attempts to gain unauthorized access to data, and other electronic security breaches that could lead to disruptions in systems, unauthorized release of confidential or otherwise protected information and corruption of data. We believe that we have adopted appropriate measures to mitigate potential risks to our technology and our operations from these information technology-related disruptions. However, given the unpredictability of the timing, nature and scope of such disruptions, we could potentially be subject to operational interruption, damage to our brand image and private data exposure. Moreover, if our data management systems, including our SAP enterprise resource planning system, do not effectively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collect, store, process and report relevant data for the operation of our business, whether due to equipment malfunction or constraints, software deficiencies, cybersecurity attack, 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report our internal and external operating results.</w:t>
      </w:r>
    </w:p>
    <w:p>
      <w:pPr>
        <w:spacing w:after="0" w:line="169"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235" w:lineRule="exact"/>
        <w:rPr>
          <w:sz w:val="20"/>
          <w:szCs w:val="20"/>
          <w:color w:val="auto"/>
        </w:rPr>
      </w:pPr>
    </w:p>
    <w:p>
      <w:pPr>
        <w:jc w:val="center"/>
        <w:ind w:right="89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owned corporate office is located at 1 Monster Way, Corona, California 92879, and consists of an approximately 141,000 square-foot, free standing, six-story building. Our main warehouse and distribution space is located in a leased 346,495 square-foot building in Corona, California. In addition, we lease significantly smaller office and warehouse space both domestically and in certain international locations.</w:t>
      </w:r>
    </w:p>
    <w:p>
      <w:pPr>
        <w:spacing w:after="0" w:line="15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On October 17, 2012, Wendy Crossland and Richard Fournier filed a lawsuit in the Superior Court of the State of California, County of Riverside, styled </w:t>
      </w:r>
      <w:r>
        <w:rPr>
          <w:rFonts w:ascii="Arial" w:cs="Arial" w:eastAsia="Arial" w:hAnsi="Arial"/>
          <w:sz w:val="19"/>
          <w:szCs w:val="19"/>
          <w:i w:val="1"/>
          <w:iCs w:val="1"/>
          <w:color w:val="auto"/>
        </w:rPr>
        <w:t>Wendy Crossland and Richard Fournier v. Monster Beverage Corporation</w:t>
      </w:r>
      <w:r>
        <w:rPr>
          <w:rFonts w:ascii="Arial" w:cs="Arial" w:eastAsia="Arial" w:hAnsi="Arial"/>
          <w:sz w:val="19"/>
          <w:szCs w:val="19"/>
          <w:color w:val="auto"/>
        </w:rPr>
        <w:t>,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filed a demurrer and a motion to strike the plaintiffs’ complaint on November 19, 2012, and the plaintiffs filed a first amended complaint on December 19, 2012. The Company filed its answer to the first amended complaint on June 7, 2013. The parties attended a court ordered mediation on January 23, 2014. Discovery has commenced but no trial date has been set.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195"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The Company has also been named as a defendant in other complaints containing similar allegations to those presented in the Fournier lawsuit, each of which the Company believes is also without merit and would not have a material adverse effect on the Company’s financial</w:t>
      </w:r>
    </w:p>
    <w:p>
      <w:pPr>
        <w:sectPr>
          <w:pgSz w:w="11900" w:h="17000" w:orient="portrait"/>
          <w:cols w:equalWidth="0" w:num="1">
            <w:col w:w="11420"/>
          </w:cols>
          <w:pgMar w:left="240" w:top="122" w:right="239" w:bottom="0" w:gutter="0" w:footer="0" w:header="0"/>
        </w:sectPr>
      </w:pPr>
    </w:p>
    <w:bookmarkStart w:id="19" w:name="page20"/>
    <w:bookmarkEnd w:id="19"/>
    <w:p>
      <w:pPr>
        <w:spacing w:after="0"/>
        <w:rPr>
          <w:sz w:val="20"/>
          <w:szCs w:val="20"/>
          <w:color w:val="auto"/>
        </w:rPr>
      </w:pPr>
      <w:r>
        <w:rPr>
          <w:rFonts w:ascii="Arial" w:cs="Arial" w:eastAsia="Arial" w:hAnsi="Arial"/>
          <w:sz w:val="20"/>
          <w:szCs w:val="20"/>
          <w:color w:val="auto"/>
        </w:rPr>
        <w:t>position or results of operations in the event any damages were awarded.</w:t>
      </w:r>
    </w:p>
    <w:p>
      <w:pPr>
        <w:spacing w:after="0" w:line="23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 On September 11, 2008, a federal securities class action complaint styled</w:t>
      </w:r>
      <w:r>
        <w:rPr>
          <w:rFonts w:ascii="Arial" w:cs="Arial" w:eastAsia="Arial" w:hAnsi="Arial"/>
          <w:sz w:val="18"/>
          <w:szCs w:val="18"/>
          <w:i w:val="1"/>
          <w:iCs w:val="1"/>
          <w:color w:val="auto"/>
        </w:rPr>
        <w:t xml:space="preserve"> Cunha v. Hansen Natural Corp., et al. </w:t>
      </w:r>
      <w:r>
        <w:rPr>
          <w:rFonts w:ascii="Arial" w:cs="Arial" w:eastAsia="Arial" w:hAnsi="Arial"/>
          <w:sz w:val="18"/>
          <w:szCs w:val="18"/>
          <w:color w:val="auto"/>
        </w:rPr>
        <w:t xml:space="preserve">was filed in the United States District Court for the Central District of California (the “District Court”). On September 17, 2008, a second federal securities class action complaint styled </w:t>
      </w:r>
      <w:r>
        <w:rPr>
          <w:rFonts w:ascii="Arial" w:cs="Arial" w:eastAsia="Arial" w:hAnsi="Arial"/>
          <w:sz w:val="18"/>
          <w:szCs w:val="18"/>
          <w:i w:val="1"/>
          <w:iCs w:val="1"/>
          <w:color w:val="auto"/>
        </w:rPr>
        <w:t>Brown v. Hansen Natural Corp., et al.</w:t>
      </w:r>
      <w:r>
        <w:rPr>
          <w:rFonts w:ascii="Arial" w:cs="Arial" w:eastAsia="Arial" w:hAnsi="Arial"/>
          <w:sz w:val="18"/>
          <w:szCs w:val="18"/>
          <w:color w:val="auto"/>
        </w:rPr>
        <w:t xml:space="preserve"> was also filed in the District Court. After the District Court consolidated the two actions and appointed the Structural Ironworkers Local Union #1 Pension Fund as lead plaintiff, a Consolidated Complaint for Violations of Federal Securities Laws was filed on August 28, 2009 (the “Consolidated Class Action Complaint”).</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District Court dismissed the Consolidated Class Action Complaint, with leave to amend, on July 12, 2010. Plaintiff thereafter filed a Consolidated Amended Class Action Complaint for Violations of Federal Securities Laws on August 27, 2010 (the “Amended Class Action Complaint”). While similar in many respects to the Consolidated Class Action Complaint, the Amended Class Action Complaint dropped certain of the allegations set forth in the Consolidated Class Action Complaint and made certain new allegations, including that the Company engaged in “channel stuffing” during the Class Period that rendered false or misleading the Company’s reported sales results and certain other statements made by the defendants. In addition, it no longer named Thomas J. Kelly as a defendant.</w:t>
      </w:r>
    </w:p>
    <w:p>
      <w:pPr>
        <w:spacing w:after="0" w:line="1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On September 4, 2012, the District Court dismissed certain of the claims in the Amended Class Action Complaint, including plaintiff’s allegations relating to promotional expenses, but denied defendants’ motion to dismiss with regard to the majority of plaintiff’s claims, including plaintiff’s channel stuffing allegations. Plaintiff filed a motion seeking class certification on December 6, 2012, which the court denied, without prejudice, on January 17, 2014. Fact discovery in the action was stayed pending resolution of the class certification motion.</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Following a mediation conducted by an independent mediator, the parties are currently negotiating the terms of a possible settlement of the action. On February 11, 2014, the District Court entered an Order staying the action to allow the parties time to complete their negotiations and to prepare and file papers seeking approval of any proposed settlement. A status conference is scheduled for March 13, 2014. Management believes that any potential settlement, if completed, will be fully paid by insurance and will not have a material adverse effect on the Company’s financial position or results of operations.</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State Attorney General Inquiry </w:t>
      </w:r>
      <w:r>
        <w:rPr>
          <w:rFonts w:ascii="Arial" w:cs="Arial" w:eastAsia="Arial" w:hAnsi="Arial"/>
          <w:sz w:val="20"/>
          <w:szCs w:val="20"/>
          <w:color w:val="auto"/>
        </w:rPr>
        <w:t>– In July 2012, the Company received a subpoena from a state attorney general in connection with an</w:t>
      </w:r>
      <w:r>
        <w:rPr>
          <w:rFonts w:ascii="Arial" w:cs="Arial" w:eastAsia="Arial" w:hAnsi="Arial"/>
          <w:sz w:val="20"/>
          <w:szCs w:val="20"/>
          <w:i w:val="1"/>
          <w:iCs w:val="1"/>
          <w:color w:val="auto"/>
        </w:rPr>
        <w:t xml:space="preserve"> </w:t>
      </w:r>
      <w:r>
        <w:rPr>
          <w:rFonts w:ascii="Arial" w:cs="Arial" w:eastAsia="Arial" w:hAnsi="Arial"/>
          <w:sz w:val="20"/>
          <w:szCs w:val="20"/>
          <w:color w:val="auto"/>
        </w:rPr>
        <w:t>investigation concerning the Company’s advertising, marketing, promotion, ingredients, usage and sale of its Monster Energy® brand of energy drinks. As the investigation is in an early stage,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San Francisco City Attorney Litigation</w:t>
      </w:r>
      <w:r>
        <w:rPr>
          <w:rFonts w:ascii="Arial" w:cs="Arial" w:eastAsia="Arial" w:hAnsi="Arial"/>
          <w:sz w:val="18"/>
          <w:szCs w:val="18"/>
          <w:color w:val="auto"/>
        </w:rPr>
        <w:t>. On October 31, 2012, the Company received a written request for information from the City</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 for the City and County of San Francisco concerning the Company’s advertising and marketing of its Monster Energy® brand of energy drinks and specifically concerning the safety of its products for consumption by adolescents. In a letter dated March 29, 2013, the San Francisco City Attorney threatened to bring suit against the Company if it did not agree to take the following five steps immediately:</w:t>
      </w:r>
    </w:p>
    <w:p>
      <w:pPr>
        <w:spacing w:after="0" w:line="3" w:lineRule="exact"/>
        <w:rPr>
          <w:sz w:val="20"/>
          <w:szCs w:val="20"/>
          <w:color w:val="auto"/>
        </w:rPr>
      </w:pPr>
    </w:p>
    <w:p>
      <w:pPr>
        <w:ind w:right="20" w:firstLine="8"/>
        <w:spacing w:after="0" w:line="269" w:lineRule="auto"/>
        <w:tabs>
          <w:tab w:leader="none" w:pos="247" w:val="left"/>
        </w:tabs>
        <w:numPr>
          <w:ilvl w:val="0"/>
          <w:numId w:val="10"/>
        </w:numPr>
        <w:rPr>
          <w:rFonts w:ascii="Arial" w:cs="Arial" w:eastAsia="Arial" w:hAnsi="Arial"/>
          <w:sz w:val="19"/>
          <w:szCs w:val="19"/>
          <w:color w:val="auto"/>
        </w:rPr>
      </w:pPr>
      <w:r>
        <w:rPr>
          <w:rFonts w:ascii="Arial" w:cs="Arial" w:eastAsia="Arial" w:hAnsi="Arial"/>
          <w:sz w:val="19"/>
          <w:szCs w:val="19"/>
          <w:color w:val="auto"/>
        </w:rPr>
        <w:t>“Reformulate its product to lower the caffeine content to safe levels”; (ii) “Provide adequate warning labels”; (iii) “Cease promoting over-consumption in marketing”; (iv) “Cease use of alcohol and drug references in marketing”; and (v) “Cease targeting minors.”</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On April 29, 2013, the Company and its wholly owned subsidiary, Monster Energy Company, filed a complaint for declaratory and injunctive relief against the San Francisco City Attorney in United States District Court for the Central District of California (the “Central District Court”), styled </w:t>
      </w:r>
      <w:r>
        <w:rPr>
          <w:rFonts w:ascii="Arial" w:cs="Arial" w:eastAsia="Arial" w:hAnsi="Arial"/>
          <w:sz w:val="18"/>
          <w:szCs w:val="18"/>
          <w:i w:val="1"/>
          <w:iCs w:val="1"/>
          <w:color w:val="auto"/>
        </w:rPr>
        <w:t>Monster Beverage Corp., et al. v. Dennis Herrera.</w:t>
      </w:r>
      <w:r>
        <w:rPr>
          <w:rFonts w:ascii="Arial" w:cs="Arial" w:eastAsia="Arial" w:hAnsi="Arial"/>
          <w:sz w:val="18"/>
          <w:szCs w:val="18"/>
          <w:color w:val="auto"/>
        </w:rPr>
        <w:t xml:space="preserve"> The Company seeks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3, 2013, the City Attorney filed a motion to dismiss the Company’s complaint, arguing in part that the complaint should be dismissed in light of the San Francisco Action (described below) filed on May 6, 2013. On August 22, 2013, the Central District Court granted in part and denied in part the City Attorney’s motion.</w:t>
      </w:r>
    </w:p>
    <w:p>
      <w:pPr>
        <w:sectPr>
          <w:pgSz w:w="11900" w:h="16838" w:orient="portrait"/>
          <w:cols w:equalWidth="0" w:num="1">
            <w:col w:w="11420"/>
          </w:cols>
          <w:pgMar w:left="240" w:top="121" w:right="239" w:bottom="23" w:gutter="0" w:footer="0" w:header="0"/>
        </w:sectPr>
      </w:pPr>
    </w:p>
    <w:bookmarkStart w:id="20" w:name="page21"/>
    <w:bookmarkEnd w:id="20"/>
    <w:p>
      <w:pPr>
        <w:jc w:val="both"/>
        <w:ind w:firstLine="648"/>
        <w:spacing w:after="0" w:line="270" w:lineRule="auto"/>
        <w:rPr>
          <w:sz w:val="20"/>
          <w:szCs w:val="20"/>
          <w:color w:val="auto"/>
        </w:rPr>
      </w:pPr>
      <w:r>
        <w:rPr>
          <w:rFonts w:ascii="Arial" w:cs="Arial" w:eastAsia="Arial" w:hAnsi="Arial"/>
          <w:sz w:val="19"/>
          <w:szCs w:val="19"/>
          <w:color w:val="auto"/>
        </w:rPr>
        <w:t>On October 17, 2013 (after the San Francisco Action described below was remanded to San Francisco Superior Court), the City Attorney filed a renewed motion to dismiss and on December 16, 2013, the Central District Court granted the City Attorney’s renewed motion, dismissing the action. The Company filed a Notice of Appeal to the Ninth Circuit on December 18, 2013.</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On May 6, 2013, the San Francisco City Attorney filed a complaint for declaratory and injunctive relief, civil penalties and restitution for alleged violation of California’s Unfair Competition Law, Business &amp; Professions Code sections 17200, et seq., styled </w:t>
      </w:r>
      <w:r>
        <w:rPr>
          <w:rFonts w:ascii="Arial" w:cs="Arial" w:eastAsia="Arial" w:hAnsi="Arial"/>
          <w:sz w:val="18"/>
          <w:szCs w:val="18"/>
          <w:i w:val="1"/>
          <w:iCs w:val="1"/>
          <w:color w:val="auto"/>
        </w:rPr>
        <w:t>People Of The State</w:t>
      </w:r>
      <w:r>
        <w:rPr>
          <w:rFonts w:ascii="Arial" w:cs="Arial" w:eastAsia="Arial" w:hAnsi="Arial"/>
          <w:sz w:val="18"/>
          <w:szCs w:val="18"/>
          <w:color w:val="auto"/>
        </w:rPr>
        <w:t xml:space="preserve"> </w:t>
      </w:r>
      <w:r>
        <w:rPr>
          <w:rFonts w:ascii="Arial" w:cs="Arial" w:eastAsia="Arial" w:hAnsi="Arial"/>
          <w:sz w:val="18"/>
          <w:szCs w:val="18"/>
          <w:i w:val="1"/>
          <w:iCs w:val="1"/>
          <w:color w:val="auto"/>
        </w:rPr>
        <w:t>Of California ex rel. Dennis Herrera, San Francisco City Attorney v. Monster Beverage Corporation</w:t>
      </w:r>
      <w:r>
        <w:rPr>
          <w:rFonts w:ascii="Arial" w:cs="Arial" w:eastAsia="Arial" w:hAnsi="Arial"/>
          <w:sz w:val="18"/>
          <w:szCs w:val="18"/>
          <w:color w:val="auto"/>
        </w:rPr>
        <w:t>, San Francisco Superior Court (the “San</w:t>
      </w:r>
      <w:r>
        <w:rPr>
          <w:rFonts w:ascii="Arial" w:cs="Arial" w:eastAsia="Arial" w:hAnsi="Arial"/>
          <w:sz w:val="18"/>
          <w:szCs w:val="18"/>
          <w:i w:val="1"/>
          <w:iCs w:val="1"/>
          <w:color w:val="auto"/>
        </w:rPr>
        <w:t xml:space="preserve"> </w:t>
      </w:r>
      <w:r>
        <w:rPr>
          <w:rFonts w:ascii="Arial" w:cs="Arial" w:eastAsia="Arial" w:hAnsi="Arial"/>
          <w:sz w:val="18"/>
          <w:szCs w:val="18"/>
          <w:color w:val="auto"/>
        </w:rPr>
        <w:t>Francisco Action”). The City Attorney alleges that the Company (1) mislabeled its products as a dietary supplement, in violation of California’s Sherman Food, Drug and Cosmetic Law, California Health &amp; Safety Code sections 109875 et. seq.; (2) is selling an “adulterated” product because caffeine is not generally recognized as safe (“GRAS”)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w:t>
      </w:r>
    </w:p>
    <w:p>
      <w:pPr>
        <w:spacing w:after="0" w:line="4" w:lineRule="exact"/>
        <w:rPr>
          <w:sz w:val="20"/>
          <w:szCs w:val="20"/>
          <w:color w:val="auto"/>
        </w:rPr>
      </w:pPr>
    </w:p>
    <w:p>
      <w:pPr>
        <w:jc w:val="both"/>
        <w:ind w:firstLine="8"/>
        <w:spacing w:after="0" w:line="255" w:lineRule="auto"/>
        <w:tabs>
          <w:tab w:leader="none" w:pos="272" w:val="left"/>
        </w:tabs>
        <w:numPr>
          <w:ilvl w:val="0"/>
          <w:numId w:val="11"/>
        </w:numPr>
        <w:rPr>
          <w:rFonts w:ascii="Arial" w:cs="Arial" w:eastAsia="Arial" w:hAnsi="Arial"/>
          <w:sz w:val="19"/>
          <w:szCs w:val="19"/>
          <w:color w:val="auto"/>
        </w:rPr>
      </w:pPr>
      <w:r>
        <w:rPr>
          <w:rFonts w:ascii="Arial" w:cs="Arial" w:eastAsia="Arial" w:hAnsi="Arial"/>
          <w:sz w:val="19"/>
          <w:szCs w:val="19"/>
          <w:color w:val="auto"/>
        </w:rPr>
        <w:t>implicitly promotes mixing of energy drinks with alcohol or drugs; and (d) is deceptive because it includes unsubstantiated claims about the purported special benefits of its “killer” ingredients and “energy blend.” The City Attorney seeks a declaration that the Company has engaged in unfair and unlawful business acts and practices in violation of the Unfair Competition Law; an injunction from performing or proposing to perform any acts in violation of the Unfair Competition Law; restitution; and civil penalties. On June 3, 2013, the Company removed the case to the United States District Court for the Northern District of California (the “Northern District Court”). On July 3, 2013, the City Attorney filed a motion to remand the case back to state court. On September 18, 2013, the Northern District Court granted the City Attorney’s motion to remand the San Francisco Action back to state court.</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On January 15, 2014, the Company filed a demurrer to and motion to strike allegations in the complaint in the San Francisco Action. The demurrer and motion to strike are currently scheduled for a hearing on March 4, 2014. 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and punitive 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 Although it is not possible to predict the outcome of such litigation, based on the facts known to the Company, management believes that such litigation in the aggregate will likely not have a material adverse effect on the Company’s financial position or results of operations.</w:t>
      </w:r>
    </w:p>
    <w:p>
      <w:pPr>
        <w:spacing w:after="0" w:line="20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ITEM 5. MARKET FOR THE REGISTRANT’S COMMON EQUITY, RELATED STOCKHOLDER MATTERS AND ISSUER PURCHASES OF EQUITY SECURITIES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Principal Market</w:t>
      </w:r>
    </w:p>
    <w:p>
      <w:pPr>
        <w:spacing w:after="0" w:line="2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Company’s common stock began trading in the over-the-counter market on November 8, 1990 and was subsequently quoted on the Nasdaq Capital Market under the symbol “HANS”. On July 5, 2007, the Company’s common stock began trading on the Nasdaq Global Select Market under the same symbol, “HANS”. On January 5, 2012, stockholders of the Company approved the Company’s name change from Hansen Natural Corporation to Monster Beverage Corporation. In addition, on January 9, 2012, the Company’s common stock began trading under the symbol “MNST”. As of February 24, 2014, there were 166,877,164 shares of the Company’s common stock outstanding held by approximately 282 holders of record. The holders of record do not include those stockholders whose shares are held of record by banks, brokers and other financial institutions.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Price and Dividend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high and low per share sales price of our common stock for the periods indicated:</w:t>
      </w:r>
    </w:p>
    <w:p>
      <w:pPr>
        <w:sectPr>
          <w:pgSz w:w="11900" w:h="16838" w:orient="portrait"/>
          <w:cols w:equalWidth="0" w:num="1">
            <w:col w:w="11420"/>
          </w:cols>
          <w:pgMar w:left="240" w:top="121" w:right="2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8"/>
        </w:trPr>
        <w:tc>
          <w:tcPr>
            <w:tcW w:w="39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Year Ended December 31, 2013</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High</w:t>
            </w:r>
          </w:p>
        </w:tc>
        <w:tc>
          <w:tcPr>
            <w:tcW w:w="6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Low</w:t>
            </w:r>
          </w:p>
        </w:tc>
      </w:tr>
      <w:tr>
        <w:trPr>
          <w:trHeight w:val="206"/>
        </w:trPr>
        <w:tc>
          <w:tcPr>
            <w:tcW w:w="3900" w:type="dxa"/>
            <w:vAlign w:val="bottom"/>
          </w:tcPr>
          <w:p>
            <w:pPr>
              <w:spacing w:after="0" w:line="207" w:lineRule="exact"/>
              <w:rPr>
                <w:sz w:val="20"/>
                <w:szCs w:val="20"/>
                <w:color w:val="auto"/>
              </w:rPr>
            </w:pPr>
            <w:r>
              <w:rPr>
                <w:rFonts w:ascii="Arial" w:cs="Arial" w:eastAsia="Arial" w:hAnsi="Arial"/>
                <w:sz w:val="20"/>
                <w:szCs w:val="20"/>
                <w:color w:val="auto"/>
              </w:rPr>
              <w:t>First Quarter</w:t>
            </w:r>
          </w:p>
        </w:tc>
        <w:tc>
          <w:tcPr>
            <w:tcW w:w="2240" w:type="dxa"/>
            <w:vAlign w:val="bottom"/>
          </w:tcPr>
          <w:p>
            <w:pPr>
              <w:jc w:val="right"/>
              <w:ind w:right="701"/>
              <w:spacing w:after="0" w:line="207" w:lineRule="exact"/>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line="207" w:lineRule="exact"/>
              <w:rPr>
                <w:sz w:val="20"/>
                <w:szCs w:val="20"/>
                <w:color w:val="auto"/>
              </w:rPr>
            </w:pPr>
            <w:r>
              <w:rPr>
                <w:rFonts w:ascii="Arial" w:cs="Arial" w:eastAsia="Arial" w:hAnsi="Arial"/>
                <w:sz w:val="20"/>
                <w:szCs w:val="20"/>
                <w:color w:val="auto"/>
                <w:w w:val="91"/>
              </w:rPr>
              <w:t>54.34</w:t>
            </w:r>
          </w:p>
        </w:tc>
        <w:tc>
          <w:tcPr>
            <w:tcW w:w="44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line="207" w:lineRule="exact"/>
              <w:rPr>
                <w:sz w:val="20"/>
                <w:szCs w:val="20"/>
                <w:color w:val="auto"/>
              </w:rPr>
            </w:pPr>
            <w:r>
              <w:rPr>
                <w:rFonts w:ascii="Arial" w:cs="Arial" w:eastAsia="Arial" w:hAnsi="Arial"/>
                <w:sz w:val="20"/>
                <w:szCs w:val="20"/>
                <w:color w:val="auto"/>
              </w:rPr>
              <w:t>45.38</w:t>
            </w:r>
          </w:p>
        </w:tc>
      </w:tr>
      <w:tr>
        <w:trPr>
          <w:trHeight w:val="230"/>
        </w:trPr>
        <w:tc>
          <w:tcPr>
            <w:tcW w:w="3900" w:type="dxa"/>
            <w:vAlign w:val="bottom"/>
          </w:tcPr>
          <w:p>
            <w:pPr>
              <w:spacing w:after="0"/>
              <w:rPr>
                <w:sz w:val="20"/>
                <w:szCs w:val="20"/>
                <w:color w:val="auto"/>
              </w:rPr>
            </w:pPr>
            <w:r>
              <w:rPr>
                <w:rFonts w:ascii="Arial" w:cs="Arial" w:eastAsia="Arial" w:hAnsi="Arial"/>
                <w:sz w:val="20"/>
                <w:szCs w:val="20"/>
                <w:color w:val="auto"/>
              </w:rPr>
              <w:t>Second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62.94</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47.16</w:t>
            </w:r>
          </w:p>
        </w:tc>
      </w:tr>
      <w:tr>
        <w:trPr>
          <w:trHeight w:val="230"/>
        </w:trPr>
        <w:tc>
          <w:tcPr>
            <w:tcW w:w="3900" w:type="dxa"/>
            <w:vAlign w:val="bottom"/>
          </w:tcPr>
          <w:p>
            <w:pPr>
              <w:spacing w:after="0"/>
              <w:rPr>
                <w:sz w:val="20"/>
                <w:szCs w:val="20"/>
                <w:color w:val="auto"/>
              </w:rPr>
            </w:pPr>
            <w:r>
              <w:rPr>
                <w:rFonts w:ascii="Arial" w:cs="Arial" w:eastAsia="Arial" w:hAnsi="Arial"/>
                <w:sz w:val="20"/>
                <w:szCs w:val="20"/>
                <w:color w:val="auto"/>
              </w:rPr>
              <w:t>Third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66.12</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51.85</w:t>
            </w:r>
          </w:p>
        </w:tc>
      </w:tr>
      <w:tr>
        <w:trPr>
          <w:trHeight w:val="250"/>
        </w:trPr>
        <w:tc>
          <w:tcPr>
            <w:tcW w:w="3900" w:type="dxa"/>
            <w:vAlign w:val="bottom"/>
          </w:tcPr>
          <w:p>
            <w:pPr>
              <w:spacing w:after="0"/>
              <w:rPr>
                <w:sz w:val="20"/>
                <w:szCs w:val="20"/>
                <w:color w:val="auto"/>
              </w:rPr>
            </w:pPr>
            <w:r>
              <w:rPr>
                <w:rFonts w:ascii="Arial" w:cs="Arial" w:eastAsia="Arial" w:hAnsi="Arial"/>
                <w:sz w:val="20"/>
                <w:szCs w:val="20"/>
                <w:color w:val="auto"/>
              </w:rPr>
              <w:t>Fourth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68.33</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51.15</w:t>
            </w:r>
          </w:p>
        </w:tc>
      </w:tr>
      <w:tr>
        <w:trPr>
          <w:trHeight w:val="455"/>
        </w:trPr>
        <w:tc>
          <w:tcPr>
            <w:tcW w:w="39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Year Ended December 31, 2012</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High</w:t>
            </w: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Low</w:t>
            </w:r>
          </w:p>
        </w:tc>
      </w:tr>
      <w:tr>
        <w:trPr>
          <w:trHeight w:val="206"/>
        </w:trPr>
        <w:tc>
          <w:tcPr>
            <w:tcW w:w="3900" w:type="dxa"/>
            <w:vAlign w:val="bottom"/>
          </w:tcPr>
          <w:p>
            <w:pPr>
              <w:spacing w:after="0" w:line="207" w:lineRule="exact"/>
              <w:rPr>
                <w:sz w:val="20"/>
                <w:szCs w:val="20"/>
                <w:color w:val="auto"/>
              </w:rPr>
            </w:pPr>
            <w:r>
              <w:rPr>
                <w:rFonts w:ascii="Arial" w:cs="Arial" w:eastAsia="Arial" w:hAnsi="Arial"/>
                <w:sz w:val="20"/>
                <w:szCs w:val="20"/>
                <w:color w:val="auto"/>
              </w:rPr>
              <w:t>First Quarter</w:t>
            </w:r>
          </w:p>
        </w:tc>
        <w:tc>
          <w:tcPr>
            <w:tcW w:w="2240" w:type="dxa"/>
            <w:vAlign w:val="bottom"/>
          </w:tcPr>
          <w:p>
            <w:pPr>
              <w:jc w:val="right"/>
              <w:ind w:right="701"/>
              <w:spacing w:after="0" w:line="207" w:lineRule="exact"/>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line="207" w:lineRule="exact"/>
              <w:rPr>
                <w:sz w:val="20"/>
                <w:szCs w:val="20"/>
                <w:color w:val="auto"/>
              </w:rPr>
            </w:pPr>
            <w:r>
              <w:rPr>
                <w:rFonts w:ascii="Arial" w:cs="Arial" w:eastAsia="Arial" w:hAnsi="Arial"/>
                <w:sz w:val="20"/>
                <w:szCs w:val="20"/>
                <w:color w:val="auto"/>
                <w:w w:val="91"/>
              </w:rPr>
              <w:t>63.18</w:t>
            </w:r>
          </w:p>
        </w:tc>
        <w:tc>
          <w:tcPr>
            <w:tcW w:w="44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line="207" w:lineRule="exact"/>
              <w:rPr>
                <w:sz w:val="20"/>
                <w:szCs w:val="20"/>
                <w:color w:val="auto"/>
              </w:rPr>
            </w:pPr>
            <w:r>
              <w:rPr>
                <w:rFonts w:ascii="Arial" w:cs="Arial" w:eastAsia="Arial" w:hAnsi="Arial"/>
                <w:sz w:val="20"/>
                <w:szCs w:val="20"/>
                <w:color w:val="auto"/>
              </w:rPr>
              <w:t>45.57</w:t>
            </w:r>
          </w:p>
        </w:tc>
      </w:tr>
      <w:tr>
        <w:trPr>
          <w:trHeight w:val="230"/>
        </w:trPr>
        <w:tc>
          <w:tcPr>
            <w:tcW w:w="3900" w:type="dxa"/>
            <w:vAlign w:val="bottom"/>
          </w:tcPr>
          <w:p>
            <w:pPr>
              <w:spacing w:after="0"/>
              <w:rPr>
                <w:sz w:val="20"/>
                <w:szCs w:val="20"/>
                <w:color w:val="auto"/>
              </w:rPr>
            </w:pPr>
            <w:r>
              <w:rPr>
                <w:rFonts w:ascii="Arial" w:cs="Arial" w:eastAsia="Arial" w:hAnsi="Arial"/>
                <w:sz w:val="20"/>
                <w:szCs w:val="20"/>
                <w:color w:val="auto"/>
              </w:rPr>
              <w:t>Second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83.96</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60.66</w:t>
            </w:r>
          </w:p>
        </w:tc>
      </w:tr>
      <w:tr>
        <w:trPr>
          <w:trHeight w:val="230"/>
        </w:trPr>
        <w:tc>
          <w:tcPr>
            <w:tcW w:w="3900" w:type="dxa"/>
            <w:vAlign w:val="bottom"/>
          </w:tcPr>
          <w:p>
            <w:pPr>
              <w:spacing w:after="0"/>
              <w:rPr>
                <w:sz w:val="20"/>
                <w:szCs w:val="20"/>
                <w:color w:val="auto"/>
              </w:rPr>
            </w:pPr>
            <w:r>
              <w:rPr>
                <w:rFonts w:ascii="Arial" w:cs="Arial" w:eastAsia="Arial" w:hAnsi="Arial"/>
                <w:sz w:val="20"/>
                <w:szCs w:val="20"/>
                <w:color w:val="auto"/>
              </w:rPr>
              <w:t>Third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75.00</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50.20</w:t>
            </w:r>
          </w:p>
        </w:tc>
      </w:tr>
      <w:tr>
        <w:trPr>
          <w:trHeight w:val="250"/>
        </w:trPr>
        <w:tc>
          <w:tcPr>
            <w:tcW w:w="3900" w:type="dxa"/>
            <w:vAlign w:val="bottom"/>
          </w:tcPr>
          <w:p>
            <w:pPr>
              <w:spacing w:after="0"/>
              <w:rPr>
                <w:sz w:val="20"/>
                <w:szCs w:val="20"/>
                <w:color w:val="auto"/>
              </w:rPr>
            </w:pPr>
            <w:r>
              <w:rPr>
                <w:rFonts w:ascii="Arial" w:cs="Arial" w:eastAsia="Arial" w:hAnsi="Arial"/>
                <w:sz w:val="20"/>
                <w:szCs w:val="20"/>
                <w:color w:val="auto"/>
              </w:rPr>
              <w:t>Fourth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59.07</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39.99</w:t>
            </w: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per share sales prices of our common stock set forth above represent bid quotations between dealers, do not include retail markups, mark-downs or commissions and bid quotations may not necessarily represent actual transactions and “real time” sale prices. The source of the bid information is the NASDAQ Stock Market, Inc.</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not paid cash dividends to our stockholders since our inception and do not anticipate paying cash dividends in the foreseeable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future.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On November 13, 2012, the Company’s Board of Directors authorized a share repurchase program for the repurchase of up to $250.0 million of the Company’s outstanding common stock (the “November 2012 Repurchase Plan”). During the year ended December 31, 2013, the Company purchased 0.257 million shares of common stock at an average purchase price of $51.99 per share for a total amount of $13.4 million (excluding broker commissions), which exhausted the availability under the November 2012 Repurchase Plan.</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April 7, 2013, the Company’s Board of Directors authorized a new share repurchase program for the repurchase of up to $200.0 million of the Company’s outstanding common stock (the “April 2013 Repurchase Plan”). During the year ended December 31, 2013, the Company purchased 0.951 million shares of common stock at an average purchase price of $56.98 per share for a total amount of $54.2 million (excluding broker commissions).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During the year ended December 31, 2013, 0.001 million shares were repurchased from employees in lieu of cash payments for options exercised or withholding taxes due for a total amount of $0.1 million. While such purchases are considered common stock repurchases, they are not counted as purchases against our authorized share repurchase programs, including the April 2013 Repurchase Plan.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tabular summary reflects our repurchase activity during the quarter ended December 31, 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gridSpan w:val="2"/>
          </w:tcPr>
          <w:p>
            <w:pPr>
              <w:jc w:val="center"/>
              <w:spacing w:after="0"/>
              <w:rPr>
                <w:sz w:val="20"/>
                <w:szCs w:val="20"/>
                <w:color w:val="auto"/>
              </w:rPr>
            </w:pPr>
            <w:r>
              <w:rPr>
                <w:rFonts w:ascii="Arial" w:cs="Arial" w:eastAsia="Arial" w:hAnsi="Arial"/>
                <w:sz w:val="20"/>
                <w:szCs w:val="20"/>
                <w:color w:val="auto"/>
                <w:w w:val="93"/>
              </w:rPr>
              <w:t>Maximum Number (or</w:t>
            </w: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center"/>
              <w:ind w:right="121"/>
              <w:spacing w:after="0"/>
              <w:rPr>
                <w:sz w:val="20"/>
                <w:szCs w:val="20"/>
                <w:color w:val="auto"/>
              </w:rPr>
            </w:pPr>
            <w:r>
              <w:rPr>
                <w:rFonts w:ascii="Arial" w:cs="Arial" w:eastAsia="Arial" w:hAnsi="Arial"/>
                <w:sz w:val="20"/>
                <w:szCs w:val="20"/>
                <w:color w:val="auto"/>
                <w:w w:val="94"/>
              </w:rPr>
              <w:t>Approximate Dollar</w:t>
            </w: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20"/>
                <w:szCs w:val="20"/>
                <w:color w:val="auto"/>
                <w:w w:val="92"/>
              </w:rPr>
              <w:t>Total Number of</w:t>
            </w:r>
          </w:p>
        </w:tc>
        <w:tc>
          <w:tcPr>
            <w:tcW w:w="220" w:type="dxa"/>
            <w:vAlign w:val="bottom"/>
          </w:tcPr>
          <w:p>
            <w:pPr>
              <w:spacing w:after="0"/>
              <w:rPr>
                <w:sz w:val="19"/>
                <w:szCs w:val="19"/>
                <w:color w:val="auto"/>
              </w:rPr>
            </w:pPr>
          </w:p>
        </w:tc>
        <w:tc>
          <w:tcPr>
            <w:tcW w:w="1940" w:type="dxa"/>
            <w:vAlign w:val="bottom"/>
          </w:tcPr>
          <w:p>
            <w:pPr>
              <w:jc w:val="center"/>
              <w:ind w:right="141"/>
              <w:spacing w:after="0"/>
              <w:rPr>
                <w:sz w:val="20"/>
                <w:szCs w:val="20"/>
                <w:color w:val="auto"/>
              </w:rPr>
            </w:pPr>
            <w:r>
              <w:rPr>
                <w:rFonts w:ascii="Arial" w:cs="Arial" w:eastAsia="Arial" w:hAnsi="Arial"/>
                <w:sz w:val="20"/>
                <w:szCs w:val="20"/>
                <w:color w:val="auto"/>
                <w:w w:val="88"/>
              </w:rPr>
              <w:t>Value) of Shares that</w:t>
            </w: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20"/>
                <w:szCs w:val="20"/>
                <w:color w:val="auto"/>
                <w:w w:val="85"/>
              </w:rPr>
              <w:t>Shares Purchased</w:t>
            </w:r>
          </w:p>
        </w:tc>
        <w:tc>
          <w:tcPr>
            <w:tcW w:w="2160" w:type="dxa"/>
            <w:vAlign w:val="bottom"/>
            <w:gridSpan w:val="2"/>
          </w:tcPr>
          <w:p>
            <w:pPr>
              <w:jc w:val="center"/>
              <w:spacing w:after="0"/>
              <w:rPr>
                <w:sz w:val="20"/>
                <w:szCs w:val="20"/>
                <w:color w:val="auto"/>
              </w:rPr>
            </w:pPr>
            <w:r>
              <w:rPr>
                <w:rFonts w:ascii="Arial" w:cs="Arial" w:eastAsia="Arial" w:hAnsi="Arial"/>
                <w:sz w:val="20"/>
                <w:szCs w:val="20"/>
                <w:color w:val="auto"/>
                <w:w w:val="88"/>
              </w:rPr>
              <w:t>May Yet Be Purchased</w:t>
            </w: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Total Number</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as Part of Publicly</w:t>
            </w:r>
          </w:p>
        </w:tc>
        <w:tc>
          <w:tcPr>
            <w:tcW w:w="220" w:type="dxa"/>
            <w:vAlign w:val="bottom"/>
          </w:tcPr>
          <w:p>
            <w:pPr>
              <w:spacing w:after="0"/>
              <w:rPr>
                <w:sz w:val="19"/>
                <w:szCs w:val="19"/>
                <w:color w:val="auto"/>
              </w:rPr>
            </w:pPr>
          </w:p>
        </w:tc>
        <w:tc>
          <w:tcPr>
            <w:tcW w:w="1940" w:type="dxa"/>
            <w:vAlign w:val="bottom"/>
          </w:tcPr>
          <w:p>
            <w:pPr>
              <w:jc w:val="center"/>
              <w:ind w:right="121"/>
              <w:spacing w:after="0"/>
              <w:rPr>
                <w:sz w:val="20"/>
                <w:szCs w:val="20"/>
                <w:color w:val="auto"/>
              </w:rPr>
            </w:pPr>
            <w:r>
              <w:rPr>
                <w:rFonts w:ascii="Arial" w:cs="Arial" w:eastAsia="Arial" w:hAnsi="Arial"/>
                <w:sz w:val="20"/>
                <w:szCs w:val="20"/>
                <w:color w:val="auto"/>
                <w:w w:val="88"/>
              </w:rPr>
              <w:t>Under the Plans or</w:t>
            </w: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of Shares</w:t>
            </w:r>
          </w:p>
        </w:tc>
        <w:tc>
          <w:tcPr>
            <w:tcW w:w="1360" w:type="dxa"/>
            <w:vAlign w:val="bottom"/>
            <w:gridSpan w:val="2"/>
          </w:tcPr>
          <w:p>
            <w:pPr>
              <w:ind w:left="120"/>
              <w:spacing w:after="0"/>
              <w:rPr>
                <w:sz w:val="20"/>
                <w:szCs w:val="20"/>
                <w:color w:val="auto"/>
              </w:rPr>
            </w:pPr>
            <w:r>
              <w:rPr>
                <w:rFonts w:ascii="Arial" w:cs="Arial" w:eastAsia="Arial" w:hAnsi="Arial"/>
                <w:sz w:val="20"/>
                <w:szCs w:val="20"/>
                <w:color w:val="auto"/>
                <w:w w:val="97"/>
              </w:rPr>
              <w:t>Average Price</w:t>
            </w:r>
          </w:p>
        </w:tc>
        <w:tc>
          <w:tcPr>
            <w:tcW w:w="280" w:type="dxa"/>
            <w:vAlign w:val="bottom"/>
          </w:tcPr>
          <w:p>
            <w:pPr>
              <w:spacing w:after="0"/>
              <w:rPr>
                <w:sz w:val="19"/>
                <w:szCs w:val="19"/>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Announced Plans</w:t>
            </w:r>
          </w:p>
        </w:tc>
        <w:tc>
          <w:tcPr>
            <w:tcW w:w="220" w:type="dxa"/>
            <w:vAlign w:val="bottom"/>
          </w:tcPr>
          <w:p>
            <w:pPr>
              <w:spacing w:after="0"/>
              <w:rPr>
                <w:sz w:val="19"/>
                <w:szCs w:val="19"/>
                <w:color w:val="auto"/>
              </w:rPr>
            </w:pPr>
          </w:p>
        </w:tc>
        <w:tc>
          <w:tcPr>
            <w:tcW w:w="1940" w:type="dxa"/>
            <w:vAlign w:val="bottom"/>
          </w:tcPr>
          <w:p>
            <w:pPr>
              <w:jc w:val="center"/>
              <w:ind w:right="121"/>
              <w:spacing w:after="0"/>
              <w:rPr>
                <w:sz w:val="20"/>
                <w:szCs w:val="20"/>
                <w:color w:val="auto"/>
              </w:rPr>
            </w:pPr>
            <w:r>
              <w:rPr>
                <w:rFonts w:ascii="Arial" w:cs="Arial" w:eastAsia="Arial" w:hAnsi="Arial"/>
                <w:sz w:val="20"/>
                <w:szCs w:val="20"/>
                <w:color w:val="auto"/>
                <w:w w:val="89"/>
              </w:rPr>
              <w:t>Programs (In</w:t>
            </w:r>
          </w:p>
        </w:tc>
      </w:tr>
      <w:tr>
        <w:trPr>
          <w:trHeight w:val="246"/>
        </w:trPr>
        <w:tc>
          <w:tcPr>
            <w:tcW w:w="3200" w:type="dxa"/>
            <w:vAlign w:val="bottom"/>
            <w:gridSpan w:val="2"/>
          </w:tcPr>
          <w:p>
            <w:pPr>
              <w:spacing w:after="0"/>
              <w:rPr>
                <w:sz w:val="20"/>
                <w:szCs w:val="20"/>
                <w:color w:val="auto"/>
              </w:rPr>
            </w:pPr>
            <w:r>
              <w:rPr>
                <w:rFonts w:ascii="Arial" w:cs="Arial" w:eastAsia="Arial" w:hAnsi="Arial"/>
                <w:sz w:val="20"/>
                <w:szCs w:val="20"/>
                <w:color w:val="auto"/>
              </w:rPr>
              <w:t>2013</w:t>
            </w:r>
          </w:p>
        </w:tc>
        <w:tc>
          <w:tcPr>
            <w:tcW w:w="300" w:type="dxa"/>
            <w:vAlign w:val="bottom"/>
          </w:tcPr>
          <w:p>
            <w:pPr>
              <w:spacing w:after="0"/>
              <w:rPr>
                <w:sz w:val="21"/>
                <w:szCs w:val="21"/>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20"/>
                <w:szCs w:val="20"/>
                <w:color w:val="auto"/>
                <w:w w:val="85"/>
              </w:rPr>
              <w:t>Purchased</w:t>
            </w:r>
          </w:p>
        </w:tc>
        <w:tc>
          <w:tcPr>
            <w:tcW w:w="240" w:type="dxa"/>
            <w:vAlign w:val="bottom"/>
          </w:tcPr>
          <w:p>
            <w:pPr>
              <w:spacing w:after="0"/>
              <w:rPr>
                <w:sz w:val="21"/>
                <w:szCs w:val="21"/>
                <w:color w:val="auto"/>
              </w:rPr>
            </w:pPr>
          </w:p>
        </w:tc>
        <w:tc>
          <w:tcPr>
            <w:tcW w:w="1120" w:type="dxa"/>
            <w:vAlign w:val="bottom"/>
          </w:tcPr>
          <w:p>
            <w:pPr>
              <w:jc w:val="right"/>
              <w:ind w:right="181"/>
              <w:spacing w:after="0"/>
              <w:rPr>
                <w:sz w:val="20"/>
                <w:szCs w:val="20"/>
                <w:color w:val="auto"/>
              </w:rPr>
            </w:pPr>
            <w:r>
              <w:rPr>
                <w:rFonts w:ascii="Arial" w:cs="Arial" w:eastAsia="Arial" w:hAnsi="Arial"/>
                <w:sz w:val="20"/>
                <w:szCs w:val="20"/>
                <w:color w:val="auto"/>
                <w:w w:val="86"/>
              </w:rPr>
              <w:t>per Share¹</w:t>
            </w:r>
          </w:p>
        </w:tc>
        <w:tc>
          <w:tcPr>
            <w:tcW w:w="280" w:type="dxa"/>
            <w:vAlign w:val="bottom"/>
          </w:tcPr>
          <w:p>
            <w:pPr>
              <w:spacing w:after="0"/>
              <w:rPr>
                <w:sz w:val="21"/>
                <w:szCs w:val="21"/>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or Programs</w:t>
            </w:r>
          </w:p>
        </w:tc>
        <w:tc>
          <w:tcPr>
            <w:tcW w:w="220" w:type="dxa"/>
            <w:vAlign w:val="bottom"/>
          </w:tcPr>
          <w:p>
            <w:pPr>
              <w:spacing w:after="0"/>
              <w:rPr>
                <w:sz w:val="21"/>
                <w:szCs w:val="21"/>
                <w:color w:val="auto"/>
              </w:rPr>
            </w:pPr>
          </w:p>
        </w:tc>
        <w:tc>
          <w:tcPr>
            <w:tcW w:w="1940" w:type="dxa"/>
            <w:vAlign w:val="bottom"/>
          </w:tcPr>
          <w:p>
            <w:pPr>
              <w:jc w:val="center"/>
              <w:ind w:right="121"/>
              <w:spacing w:after="0"/>
              <w:rPr>
                <w:sz w:val="20"/>
                <w:szCs w:val="20"/>
                <w:color w:val="auto"/>
              </w:rPr>
            </w:pPr>
            <w:r>
              <w:rPr>
                <w:rFonts w:ascii="Arial" w:cs="Arial" w:eastAsia="Arial" w:hAnsi="Arial"/>
                <w:sz w:val="20"/>
                <w:szCs w:val="20"/>
                <w:color w:val="auto"/>
                <w:w w:val="87"/>
              </w:rPr>
              <w:t>thousands)²</w:t>
            </w:r>
          </w:p>
        </w:tc>
      </w:tr>
      <w:tr>
        <w:trPr>
          <w:trHeight w:val="217"/>
        </w:trPr>
        <w:tc>
          <w:tcPr>
            <w:tcW w:w="20" w:type="dxa"/>
            <w:vAlign w:val="bottom"/>
          </w:tcPr>
          <w:p>
            <w:pPr>
              <w:spacing w:after="0"/>
              <w:rPr>
                <w:sz w:val="18"/>
                <w:szCs w:val="18"/>
                <w:color w:val="auto"/>
              </w:rPr>
            </w:pPr>
          </w:p>
        </w:tc>
        <w:tc>
          <w:tcPr>
            <w:tcW w:w="31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November 1 - November 30</w:t>
            </w:r>
          </w:p>
        </w:tc>
        <w:tc>
          <w:tcPr>
            <w:tcW w:w="3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950,690</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100"/>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56.98</w:t>
            </w:r>
          </w:p>
        </w:tc>
        <w:tc>
          <w:tcPr>
            <w:tcW w:w="280" w:type="dxa"/>
            <w:vAlign w:val="bottom"/>
          </w:tcPr>
          <w:p>
            <w:pPr>
              <w:spacing w:after="0"/>
              <w:rPr>
                <w:sz w:val="18"/>
                <w:szCs w:val="18"/>
                <w:color w:val="auto"/>
              </w:rPr>
            </w:pPr>
          </w:p>
        </w:tc>
        <w:tc>
          <w:tcPr>
            <w:tcW w:w="20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950,690</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94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145,814</w:t>
            </w:r>
          </w:p>
        </w:tc>
      </w:tr>
      <w:tr>
        <w:trPr>
          <w:trHeight w:val="230"/>
        </w:trPr>
        <w:tc>
          <w:tcPr>
            <w:tcW w:w="20" w:type="dxa"/>
            <w:vAlign w:val="bottom"/>
          </w:tcPr>
          <w:p>
            <w:pPr>
              <w:spacing w:after="0"/>
              <w:rPr>
                <w:sz w:val="19"/>
                <w:szCs w:val="19"/>
                <w:color w:val="auto"/>
              </w:rPr>
            </w:pPr>
          </w:p>
        </w:tc>
        <w:tc>
          <w:tcPr>
            <w:tcW w:w="3480" w:type="dxa"/>
            <w:vAlign w:val="bottom"/>
            <w:gridSpan w:val="2"/>
          </w:tcPr>
          <w:p>
            <w:pPr>
              <w:ind w:left="1280"/>
              <w:spacing w:after="0" w:line="220" w:lineRule="exact"/>
              <w:rPr>
                <w:sz w:val="20"/>
                <w:szCs w:val="20"/>
                <w:color w:val="auto"/>
              </w:rPr>
            </w:pPr>
            <w:r>
              <w:rPr>
                <w:rFonts w:ascii="Arial" w:cs="Arial" w:eastAsia="Arial" w:hAnsi="Arial"/>
                <w:sz w:val="20"/>
                <w:szCs w:val="20"/>
                <w:color w:val="auto"/>
              </w:rPr>
              <w:t>Total</w:t>
            </w: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950,690</w:t>
            </w:r>
          </w:p>
        </w:tc>
        <w:tc>
          <w:tcPr>
            <w:tcW w:w="300" w:type="dxa"/>
            <w:vAlign w:val="bottom"/>
          </w:tcPr>
          <w:p>
            <w:pPr>
              <w:spacing w:after="0"/>
              <w:rPr>
                <w:sz w:val="19"/>
                <w:szCs w:val="19"/>
                <w:color w:val="auto"/>
              </w:rPr>
            </w:pP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56.98</w:t>
            </w: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¹Excluding broker commissions paid.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²Net of broker commissions paid.</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35"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The following table sets forth information as of December 31, 2013 with respect to shares of our common stock that may be issued under our equity compensation plans.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remaining available for future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340" w:type="dxa"/>
            <w:vAlign w:val="bottom"/>
          </w:tcPr>
          <w:p>
            <w:pPr>
              <w:jc w:val="center"/>
              <w:ind w:right="90"/>
              <w:spacing w:after="0"/>
              <w:rPr>
                <w:sz w:val="20"/>
                <w:szCs w:val="20"/>
                <w:color w:val="auto"/>
              </w:rPr>
            </w:pPr>
            <w:r>
              <w:rPr>
                <w:rFonts w:ascii="Arial" w:cs="Arial" w:eastAsia="Arial" w:hAnsi="Arial"/>
                <w:sz w:val="18"/>
                <w:szCs w:val="18"/>
                <w:color w:val="auto"/>
                <w:w w:val="90"/>
              </w:rPr>
              <w:t>Number of securities to</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Weighted-average</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issuance under equity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340" w:type="dxa"/>
            <w:vAlign w:val="bottom"/>
          </w:tcPr>
          <w:p>
            <w:pPr>
              <w:jc w:val="center"/>
              <w:ind w:right="90"/>
              <w:spacing w:after="0"/>
              <w:rPr>
                <w:sz w:val="20"/>
                <w:szCs w:val="20"/>
                <w:color w:val="auto"/>
              </w:rPr>
            </w:pPr>
            <w:r>
              <w:rPr>
                <w:rFonts w:ascii="Arial" w:cs="Arial" w:eastAsia="Arial" w:hAnsi="Arial"/>
                <w:sz w:val="18"/>
                <w:szCs w:val="18"/>
                <w:color w:val="auto"/>
                <w:w w:val="88"/>
              </w:rPr>
              <w:t>be issued upon exercise</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exercise price of</w:t>
            </w: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compensation plans (excluding</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340" w:type="dxa"/>
            <w:vAlign w:val="bottom"/>
          </w:tcPr>
          <w:p>
            <w:pPr>
              <w:jc w:val="center"/>
              <w:ind w:right="90"/>
              <w:spacing w:after="0"/>
              <w:rPr>
                <w:sz w:val="20"/>
                <w:szCs w:val="20"/>
                <w:color w:val="auto"/>
              </w:rPr>
            </w:pPr>
            <w:r>
              <w:rPr>
                <w:rFonts w:ascii="Arial" w:cs="Arial" w:eastAsia="Arial" w:hAnsi="Arial"/>
                <w:sz w:val="18"/>
                <w:szCs w:val="18"/>
                <w:color w:val="auto"/>
                <w:w w:val="90"/>
              </w:rPr>
              <w:t>of outstanding options,</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outstanding options,</w:t>
            </w:r>
          </w:p>
        </w:tc>
        <w:tc>
          <w:tcPr>
            <w:tcW w:w="3100" w:type="dxa"/>
            <w:vAlign w:val="bottom"/>
          </w:tcPr>
          <w:p>
            <w:pPr>
              <w:jc w:val="center"/>
              <w:spacing w:after="0"/>
              <w:rPr>
                <w:sz w:val="20"/>
                <w:szCs w:val="20"/>
                <w:color w:val="auto"/>
              </w:rPr>
            </w:pPr>
            <w:r>
              <w:rPr>
                <w:rFonts w:ascii="Arial" w:cs="Arial" w:eastAsia="Arial" w:hAnsi="Arial"/>
                <w:sz w:val="18"/>
                <w:szCs w:val="18"/>
                <w:color w:val="auto"/>
                <w:w w:val="91"/>
              </w:rPr>
              <w:t>securities reflected in column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340" w:type="dxa"/>
            <w:vAlign w:val="bottom"/>
          </w:tcPr>
          <w:p>
            <w:pPr>
              <w:jc w:val="center"/>
              <w:ind w:right="70"/>
              <w:spacing w:after="0"/>
              <w:rPr>
                <w:sz w:val="20"/>
                <w:szCs w:val="20"/>
                <w:color w:val="auto"/>
              </w:rPr>
            </w:pPr>
            <w:r>
              <w:rPr>
                <w:rFonts w:ascii="Arial" w:cs="Arial" w:eastAsia="Arial" w:hAnsi="Arial"/>
                <w:sz w:val="18"/>
                <w:szCs w:val="18"/>
                <w:color w:val="auto"/>
                <w:w w:val="90"/>
              </w:rPr>
              <w:t>warrants and rights</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warrants and rights</w:t>
            </w: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(a))</w:t>
            </w:r>
          </w:p>
        </w:tc>
        <w:tc>
          <w:tcPr>
            <w:tcW w:w="0" w:type="dxa"/>
            <w:vAlign w:val="bottom"/>
          </w:tcPr>
          <w:p>
            <w:pPr>
              <w:spacing w:after="0"/>
              <w:rPr>
                <w:sz w:val="1"/>
                <w:szCs w:val="1"/>
                <w:color w:val="auto"/>
              </w:rPr>
            </w:pPr>
          </w:p>
        </w:tc>
      </w:tr>
      <w:tr>
        <w:trPr>
          <w:trHeight w:val="190"/>
        </w:trPr>
        <w:tc>
          <w:tcPr>
            <w:tcW w:w="10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Plan category</w:t>
            </w:r>
          </w:p>
        </w:tc>
        <w:tc>
          <w:tcPr>
            <w:tcW w:w="2680" w:type="dxa"/>
            <w:vAlign w:val="bottom"/>
          </w:tcPr>
          <w:p>
            <w:pPr>
              <w:spacing w:after="0"/>
              <w:rPr>
                <w:sz w:val="16"/>
                <w:szCs w:val="16"/>
                <w:color w:val="auto"/>
              </w:rPr>
            </w:pPr>
          </w:p>
        </w:tc>
        <w:tc>
          <w:tcPr>
            <w:tcW w:w="2340" w:type="dxa"/>
            <w:vAlign w:val="bottom"/>
          </w:tcPr>
          <w:p>
            <w:pPr>
              <w:jc w:val="center"/>
              <w:ind w:right="90"/>
              <w:spacing w:after="0" w:line="190" w:lineRule="exact"/>
              <w:rPr>
                <w:sz w:val="20"/>
                <w:szCs w:val="20"/>
                <w:color w:val="auto"/>
              </w:rPr>
            </w:pPr>
            <w:r>
              <w:rPr>
                <w:rFonts w:ascii="Arial" w:cs="Arial" w:eastAsia="Arial" w:hAnsi="Arial"/>
                <w:sz w:val="18"/>
                <w:szCs w:val="18"/>
                <w:color w:val="auto"/>
                <w:w w:val="90"/>
              </w:rPr>
              <w:t>(a)</w:t>
            </w:r>
          </w:p>
        </w:tc>
        <w:tc>
          <w:tcPr>
            <w:tcW w:w="2300" w:type="dxa"/>
            <w:vAlign w:val="bottom"/>
          </w:tcPr>
          <w:p>
            <w:pPr>
              <w:jc w:val="center"/>
              <w:spacing w:after="0" w:line="190" w:lineRule="exact"/>
              <w:rPr>
                <w:sz w:val="20"/>
                <w:szCs w:val="20"/>
                <w:color w:val="auto"/>
              </w:rPr>
            </w:pPr>
            <w:r>
              <w:rPr>
                <w:rFonts w:ascii="Arial" w:cs="Arial" w:eastAsia="Arial" w:hAnsi="Arial"/>
                <w:sz w:val="18"/>
                <w:szCs w:val="18"/>
                <w:color w:val="auto"/>
                <w:w w:val="99"/>
              </w:rPr>
              <w:t>(b)</w:t>
            </w:r>
          </w:p>
        </w:tc>
        <w:tc>
          <w:tcPr>
            <w:tcW w:w="3100" w:type="dxa"/>
            <w:vAlign w:val="bottom"/>
          </w:tcPr>
          <w:p>
            <w:pPr>
              <w:jc w:val="center"/>
              <w:spacing w:after="0" w:line="190" w:lineRule="exact"/>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Equity compensation plans approved by</w:t>
            </w:r>
          </w:p>
        </w:tc>
        <w:tc>
          <w:tcPr>
            <w:tcW w:w="23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680" w:type="dxa"/>
            <w:vAlign w:val="bottom"/>
            <w:gridSpan w:val="2"/>
            <w:vMerge w:val="continue"/>
          </w:tcPr>
          <w:p>
            <w:pPr>
              <w:spacing w:after="0"/>
              <w:rPr>
                <w:sz w:val="24"/>
                <w:szCs w:val="24"/>
                <w:color w:val="auto"/>
              </w:rPr>
            </w:pPr>
          </w:p>
        </w:tc>
        <w:tc>
          <w:tcPr>
            <w:tcW w:w="2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stockholders</w:t>
            </w:r>
          </w:p>
        </w:tc>
        <w:tc>
          <w:tcPr>
            <w:tcW w:w="2340" w:type="dxa"/>
            <w:vAlign w:val="bottom"/>
          </w:tcPr>
          <w:p>
            <w:pPr>
              <w:jc w:val="right"/>
              <w:ind w:right="770"/>
              <w:spacing w:after="0"/>
              <w:rPr>
                <w:sz w:val="20"/>
                <w:szCs w:val="20"/>
                <w:color w:val="auto"/>
              </w:rPr>
            </w:pPr>
            <w:r>
              <w:rPr>
                <w:rFonts w:ascii="Arial" w:cs="Arial" w:eastAsia="Arial" w:hAnsi="Arial"/>
                <w:sz w:val="18"/>
                <w:szCs w:val="18"/>
                <w:color w:val="auto"/>
              </w:rPr>
              <w:t>13,346,989</w:t>
            </w:r>
          </w:p>
        </w:tc>
        <w:tc>
          <w:tcPr>
            <w:tcW w:w="2300" w:type="dxa"/>
            <w:vAlign w:val="bottom"/>
          </w:tcPr>
          <w:p>
            <w:pPr>
              <w:jc w:val="right"/>
              <w:ind w:right="830"/>
              <w:spacing w:after="0"/>
              <w:rPr>
                <w:sz w:val="20"/>
                <w:szCs w:val="20"/>
                <w:color w:val="auto"/>
              </w:rPr>
            </w:pPr>
            <w:r>
              <w:rPr>
                <w:rFonts w:ascii="Arial" w:cs="Arial" w:eastAsia="Arial" w:hAnsi="Arial"/>
                <w:sz w:val="18"/>
                <w:szCs w:val="18"/>
                <w:color w:val="auto"/>
              </w:rPr>
              <w:t>$15.71</w:t>
            </w:r>
          </w:p>
        </w:tc>
        <w:tc>
          <w:tcPr>
            <w:tcW w:w="3100" w:type="dxa"/>
            <w:vAlign w:val="bottom"/>
          </w:tcPr>
          <w:p>
            <w:pPr>
              <w:jc w:val="right"/>
              <w:ind w:right="1030"/>
              <w:spacing w:after="0"/>
              <w:rPr>
                <w:sz w:val="20"/>
                <w:szCs w:val="20"/>
                <w:color w:val="auto"/>
              </w:rPr>
            </w:pPr>
            <w:r>
              <w:rPr>
                <w:rFonts w:ascii="Arial" w:cs="Arial" w:eastAsia="Arial" w:hAnsi="Arial"/>
                <w:sz w:val="18"/>
                <w:szCs w:val="18"/>
                <w:color w:val="auto"/>
              </w:rPr>
              <w:t>12,256,906</w:t>
            </w:r>
          </w:p>
        </w:tc>
        <w:tc>
          <w:tcPr>
            <w:tcW w:w="0" w:type="dxa"/>
            <w:vAlign w:val="bottom"/>
          </w:tcPr>
          <w:p>
            <w:pPr>
              <w:spacing w:after="0"/>
              <w:rPr>
                <w:sz w:val="1"/>
                <w:szCs w:val="1"/>
                <w:color w:val="auto"/>
              </w:rPr>
            </w:pPr>
          </w:p>
        </w:tc>
      </w:tr>
      <w:tr>
        <w:trPr>
          <w:trHeight w:val="418"/>
        </w:trPr>
        <w:tc>
          <w:tcPr>
            <w:tcW w:w="36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2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stockholders</w:t>
            </w:r>
          </w:p>
        </w:tc>
        <w:tc>
          <w:tcPr>
            <w:tcW w:w="2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310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22" w:name="page23"/>
    <w:bookmarkEnd w:id="22"/>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2360" w:type="dxa"/>
            <w:vAlign w:val="bottom"/>
          </w:tcPr>
          <w:p>
            <w:pPr>
              <w:jc w:val="right"/>
              <w:ind w:right="790"/>
              <w:spacing w:after="0"/>
              <w:rPr>
                <w:sz w:val="20"/>
                <w:szCs w:val="20"/>
                <w:color w:val="auto"/>
              </w:rPr>
            </w:pPr>
            <w:r>
              <w:rPr>
                <w:rFonts w:ascii="Arial" w:cs="Arial" w:eastAsia="Arial" w:hAnsi="Arial"/>
                <w:sz w:val="18"/>
                <w:szCs w:val="18"/>
                <w:color w:val="auto"/>
              </w:rPr>
              <w:t>13,346,989</w:t>
            </w:r>
          </w:p>
        </w:tc>
        <w:tc>
          <w:tcPr>
            <w:tcW w:w="2400" w:type="dxa"/>
            <w:vAlign w:val="bottom"/>
          </w:tcPr>
          <w:p>
            <w:pPr>
              <w:jc w:val="right"/>
              <w:ind w:right="950"/>
              <w:spacing w:after="0"/>
              <w:rPr>
                <w:sz w:val="20"/>
                <w:szCs w:val="20"/>
                <w:color w:val="auto"/>
              </w:rPr>
            </w:pPr>
            <w:r>
              <w:rPr>
                <w:rFonts w:ascii="Arial" w:cs="Arial" w:eastAsia="Arial" w:hAnsi="Arial"/>
                <w:sz w:val="18"/>
                <w:szCs w:val="18"/>
                <w:color w:val="auto"/>
              </w:rPr>
              <w:t>$15.71</w:t>
            </w:r>
          </w:p>
        </w:tc>
        <w:tc>
          <w:tcPr>
            <w:tcW w:w="2980" w:type="dxa"/>
            <w:vAlign w:val="bottom"/>
          </w:tcPr>
          <w:p>
            <w:pPr>
              <w:jc w:val="right"/>
              <w:ind w:right="1030"/>
              <w:spacing w:after="0"/>
              <w:rPr>
                <w:sz w:val="20"/>
                <w:szCs w:val="20"/>
                <w:color w:val="auto"/>
              </w:rPr>
            </w:pPr>
            <w:r>
              <w:rPr>
                <w:rFonts w:ascii="Arial" w:cs="Arial" w:eastAsia="Arial" w:hAnsi="Arial"/>
                <w:sz w:val="18"/>
                <w:szCs w:val="18"/>
                <w:color w:val="auto"/>
              </w:rPr>
              <w:t>12,256,906</w:t>
            </w:r>
          </w:p>
        </w:tc>
      </w:tr>
      <w:tr>
        <w:trPr>
          <w:trHeight w:val="216"/>
        </w:trPr>
        <w:tc>
          <w:tcPr>
            <w:tcW w:w="332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graph shows a five-year comparison of cumulative total returns:</w:t>
      </w:r>
      <w:r>
        <w:rPr>
          <w:rFonts w:ascii="Arial" w:cs="Arial" w:eastAsia="Arial" w:hAnsi="Arial"/>
          <w:sz w:val="12"/>
          <w:szCs w:val="12"/>
          <w:color w:val="auto"/>
        </w:rPr>
        <w:t>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160020</wp:posOffset>
            </wp:positionV>
            <wp:extent cx="4382135" cy="22726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8213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20"/>
        <w:spacing w:after="0" w:line="293" w:lineRule="auto"/>
        <w:rPr>
          <w:sz w:val="20"/>
          <w:szCs w:val="20"/>
          <w:color w:val="auto"/>
        </w:rPr>
      </w:pPr>
      <w:r>
        <w:rPr>
          <w:rFonts w:ascii="Arial" w:cs="Arial" w:eastAsia="Arial" w:hAnsi="Arial"/>
          <w:sz w:val="11"/>
          <w:szCs w:val="11"/>
          <w:color w:val="auto"/>
        </w:rPr>
        <w:t>1</w:t>
      </w:r>
      <w:r>
        <w:rPr>
          <w:rFonts w:ascii="Arial" w:cs="Arial" w:eastAsia="Arial" w:hAnsi="Arial"/>
          <w:sz w:val="16"/>
          <w:szCs w:val="16"/>
          <w:color w:val="auto"/>
        </w:rPr>
        <w:t>Annual return assumes reinvestment of dividends. Cumulative total return assumes an initial investment of $100 on December 31, 2008. The Company’s current self-selected</w:t>
      </w:r>
      <w:r>
        <w:rPr>
          <w:rFonts w:ascii="Arial" w:cs="Arial" w:eastAsia="Arial" w:hAnsi="Arial"/>
          <w:sz w:val="11"/>
          <w:szCs w:val="11"/>
          <w:color w:val="auto"/>
        </w:rPr>
        <w:t xml:space="preserve"> </w:t>
      </w:r>
      <w:r>
        <w:rPr>
          <w:rFonts w:ascii="Arial" w:cs="Arial" w:eastAsia="Arial" w:hAnsi="Arial"/>
          <w:sz w:val="16"/>
          <w:szCs w:val="16"/>
          <w:color w:val="auto"/>
        </w:rPr>
        <w:t>peer group is comprised of The Coca-Cola Company, DPS Group, National Beverage Corporation, Jones Soda Company and Cott Corporation.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SELECTED FINANCIAL DATA</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consolidated statements of operations data set forth below with respect to each of the fiscal years ended December 31, 2011 through 2013 and the balance sheet data as of December 31, 2013 and 2012, are derived from our audited consolidated financial statements included herein, and should be read in conjunction with those financial statements and notes thereto, and with Management’s Discussion and Analysis of Financial Condition and Results of Operations included as Part II, Item 7 of this Annual Report on Form 10-K. The consolidated statements of operations data for the fiscal years ended December 31, 2010 and 2009 and the balance sheet data as of December 31, 2011, 2010 and 2009 are derived from the Company’s audited consolidated financial statements not included herein.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20"/>
                <w:szCs w:val="20"/>
                <w:b w:val="1"/>
                <w:bCs w:val="1"/>
                <w:color w:val="auto"/>
              </w:rPr>
              <w:t>(in thousands, except</w:t>
            </w: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480" w:type="dxa"/>
            <w:vAlign w:val="bottom"/>
          </w:tcPr>
          <w:p>
            <w:pPr>
              <w:ind w:left="100"/>
              <w:spacing w:after="0"/>
              <w:rPr>
                <w:sz w:val="20"/>
                <w:szCs w:val="20"/>
                <w:color w:val="auto"/>
              </w:rPr>
            </w:pPr>
            <w:r>
              <w:rPr>
                <w:rFonts w:ascii="Arial" w:cs="Arial" w:eastAsia="Arial" w:hAnsi="Arial"/>
                <w:sz w:val="20"/>
                <w:szCs w:val="20"/>
                <w:b w:val="1"/>
                <w:bCs w:val="1"/>
                <w:color w:val="auto"/>
              </w:rPr>
              <w:t>per share</w:t>
            </w: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2"/>
        </w:trPr>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20"/>
                <w:szCs w:val="20"/>
                <w:b w:val="1"/>
                <w:bCs w:val="1"/>
                <w:color w:val="auto"/>
              </w:rPr>
              <w:t>information)</w:t>
            </w:r>
          </w:p>
        </w:tc>
        <w:tc>
          <w:tcPr>
            <w:tcW w:w="5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2013</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2012</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2011</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2010</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2009</w:t>
            </w:r>
          </w:p>
        </w:tc>
      </w:tr>
      <w:tr>
        <w:trPr>
          <w:trHeight w:val="244"/>
        </w:trPr>
        <w:tc>
          <w:tcPr>
            <w:tcW w:w="3480" w:type="dxa"/>
            <w:vAlign w:val="bottom"/>
          </w:tcPr>
          <w:p>
            <w:pPr>
              <w:ind w:left="40"/>
              <w:spacing w:after="0"/>
              <w:rPr>
                <w:sz w:val="20"/>
                <w:szCs w:val="20"/>
                <w:color w:val="auto"/>
              </w:rPr>
            </w:pPr>
            <w:r>
              <w:rPr>
                <w:rFonts w:ascii="Arial" w:cs="Arial" w:eastAsia="Arial" w:hAnsi="Arial"/>
                <w:sz w:val="20"/>
                <w:szCs w:val="20"/>
                <w:color w:val="auto"/>
              </w:rPr>
              <w:t>Gross sales*¹</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2,586,531</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2,373,499</w:t>
            </w: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01"/>
              <w:spacing w:after="0"/>
              <w:rPr>
                <w:sz w:val="20"/>
                <w:szCs w:val="20"/>
                <w:color w:val="auto"/>
              </w:rPr>
            </w:pPr>
            <w:r>
              <w:rPr>
                <w:rFonts w:ascii="Arial" w:cs="Arial" w:eastAsia="Arial" w:hAnsi="Arial"/>
                <w:sz w:val="20"/>
                <w:szCs w:val="20"/>
                <w:color w:val="auto"/>
              </w:rPr>
              <w:t>1,950,490</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1,488,516</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1,309,335</w:t>
            </w:r>
          </w:p>
        </w:tc>
      </w:tr>
      <w:tr>
        <w:trPr>
          <w:trHeight w:val="307"/>
        </w:trPr>
        <w:tc>
          <w:tcPr>
            <w:tcW w:w="3480" w:type="dxa"/>
            <w:vAlign w:val="bottom"/>
          </w:tcPr>
          <w:p>
            <w:pPr>
              <w:ind w:left="40"/>
              <w:spacing w:after="0"/>
              <w:rPr>
                <w:sz w:val="20"/>
                <w:szCs w:val="20"/>
                <w:color w:val="auto"/>
              </w:rPr>
            </w:pPr>
            <w:r>
              <w:rPr>
                <w:rFonts w:ascii="Arial" w:cs="Arial" w:eastAsia="Arial" w:hAnsi="Arial"/>
                <w:sz w:val="20"/>
                <w:szCs w:val="20"/>
                <w:color w:val="auto"/>
              </w:rPr>
              <w:t>Net sales¹</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2,246,428</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2,060,702</w:t>
            </w: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01"/>
              <w:spacing w:after="0"/>
              <w:rPr>
                <w:sz w:val="20"/>
                <w:szCs w:val="20"/>
                <w:color w:val="auto"/>
              </w:rPr>
            </w:pPr>
            <w:r>
              <w:rPr>
                <w:rFonts w:ascii="Arial" w:cs="Arial" w:eastAsia="Arial" w:hAnsi="Arial"/>
                <w:sz w:val="20"/>
                <w:szCs w:val="20"/>
                <w:color w:val="auto"/>
              </w:rPr>
              <w:t>1,703,230</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1,303,942</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1,143,299</w:t>
            </w:r>
          </w:p>
        </w:tc>
      </w:tr>
      <w:tr>
        <w:trPr>
          <w:trHeight w:val="324"/>
        </w:trPr>
        <w:tc>
          <w:tcPr>
            <w:tcW w:w="3480" w:type="dxa"/>
            <w:vAlign w:val="bottom"/>
          </w:tcPr>
          <w:p>
            <w:pPr>
              <w:ind w:left="40"/>
              <w:spacing w:after="0"/>
              <w:rPr>
                <w:sz w:val="20"/>
                <w:szCs w:val="20"/>
                <w:color w:val="auto"/>
              </w:rPr>
            </w:pPr>
            <w:r>
              <w:rPr>
                <w:rFonts w:ascii="Arial" w:cs="Arial" w:eastAsia="Arial" w:hAnsi="Arial"/>
                <w:sz w:val="20"/>
                <w:szCs w:val="20"/>
                <w:color w:val="auto"/>
              </w:rPr>
              <w:t>Gross profit¹</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1,172,931</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1,065,656</w:t>
            </w: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01"/>
              <w:spacing w:after="0"/>
              <w:rPr>
                <w:sz w:val="20"/>
                <w:szCs w:val="20"/>
                <w:color w:val="auto"/>
              </w:rPr>
            </w:pPr>
            <w:r>
              <w:rPr>
                <w:rFonts w:ascii="Arial" w:cs="Arial" w:eastAsia="Arial" w:hAnsi="Arial"/>
                <w:sz w:val="20"/>
                <w:szCs w:val="20"/>
                <w:color w:val="auto"/>
              </w:rPr>
              <w:t>894,309</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680,240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612,316</w:t>
            </w:r>
          </w:p>
        </w:tc>
      </w:tr>
      <w:tr>
        <w:trPr>
          <w:trHeight w:val="303"/>
        </w:trPr>
        <w:tc>
          <w:tcPr>
            <w:tcW w:w="3480" w:type="dxa"/>
            <w:vAlign w:val="bottom"/>
          </w:tcPr>
          <w:p>
            <w:pPr>
              <w:ind w:left="40"/>
              <w:spacing w:after="0"/>
              <w:rPr>
                <w:sz w:val="20"/>
                <w:szCs w:val="20"/>
                <w:color w:val="auto"/>
              </w:rPr>
            </w:pPr>
            <w:r>
              <w:rPr>
                <w:rFonts w:ascii="Arial" w:cs="Arial" w:eastAsia="Arial" w:hAnsi="Arial"/>
                <w:sz w:val="20"/>
                <w:szCs w:val="20"/>
                <w:color w:val="auto"/>
                <w:w w:val="94"/>
              </w:rPr>
              <w:t>Gross profit as a percentage to net sales</w:t>
            </w:r>
          </w:p>
        </w:tc>
        <w:tc>
          <w:tcPr>
            <w:tcW w:w="5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52.2%</w:t>
            </w:r>
          </w:p>
        </w:tc>
        <w:tc>
          <w:tcPr>
            <w:tcW w:w="4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51.7%</w:t>
            </w:r>
          </w:p>
        </w:tc>
        <w:tc>
          <w:tcPr>
            <w:tcW w:w="400" w:type="dxa"/>
            <w:vAlign w:val="bottom"/>
          </w:tcPr>
          <w:p>
            <w:pPr>
              <w:spacing w:after="0"/>
              <w:rPr>
                <w:sz w:val="24"/>
                <w:szCs w:val="24"/>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52.5%</w:t>
            </w:r>
          </w:p>
        </w:tc>
        <w:tc>
          <w:tcPr>
            <w:tcW w:w="38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52.2%</w:t>
            </w:r>
          </w:p>
        </w:tc>
        <w:tc>
          <w:tcPr>
            <w:tcW w:w="40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53.6%</w:t>
            </w:r>
          </w:p>
        </w:tc>
      </w:tr>
      <w:tr>
        <w:trPr>
          <w:trHeight w:val="250"/>
        </w:trPr>
        <w:tc>
          <w:tcPr>
            <w:tcW w:w="3480" w:type="dxa"/>
            <w:vAlign w:val="bottom"/>
          </w:tcPr>
          <w:p>
            <w:pPr>
              <w:ind w:left="40"/>
              <w:spacing w:after="0"/>
              <w:rPr>
                <w:sz w:val="20"/>
                <w:szCs w:val="20"/>
                <w:color w:val="auto"/>
              </w:rPr>
            </w:pPr>
            <w:r>
              <w:rPr>
                <w:rFonts w:ascii="Arial" w:cs="Arial" w:eastAsia="Arial" w:hAnsi="Arial"/>
                <w:sz w:val="20"/>
                <w:szCs w:val="20"/>
                <w:color w:val="auto"/>
              </w:rPr>
              <w:t>Operating income²</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572,916</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550,623</w:t>
            </w: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01"/>
              <w:spacing w:after="0"/>
              <w:rPr>
                <w:sz w:val="20"/>
                <w:szCs w:val="20"/>
                <w:color w:val="auto"/>
              </w:rPr>
            </w:pPr>
            <w:r>
              <w:rPr>
                <w:rFonts w:ascii="Arial" w:cs="Arial" w:eastAsia="Arial" w:hAnsi="Arial"/>
                <w:sz w:val="20"/>
                <w:szCs w:val="20"/>
                <w:color w:val="auto"/>
              </w:rPr>
              <w:t>456,423</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347,814</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337,309</w:t>
            </w:r>
          </w:p>
        </w:tc>
      </w:tr>
      <w:tr>
        <w:trPr>
          <w:trHeight w:val="324"/>
        </w:trPr>
        <w:tc>
          <w:tcPr>
            <w:tcW w:w="3480" w:type="dxa"/>
            <w:vAlign w:val="bottom"/>
          </w:tcPr>
          <w:p>
            <w:pPr>
              <w:ind w:left="40"/>
              <w:spacing w:after="0"/>
              <w:rPr>
                <w:sz w:val="20"/>
                <w:szCs w:val="20"/>
                <w:color w:val="auto"/>
              </w:rPr>
            </w:pPr>
            <w:r>
              <w:rPr>
                <w:rFonts w:ascii="Arial" w:cs="Arial" w:eastAsia="Arial" w:hAnsi="Arial"/>
                <w:sz w:val="20"/>
                <w:szCs w:val="20"/>
                <w:color w:val="auto"/>
              </w:rPr>
              <w:t>Net income</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338,661</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340,020</w:t>
            </w: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01"/>
              <w:spacing w:after="0"/>
              <w:rPr>
                <w:sz w:val="20"/>
                <w:szCs w:val="20"/>
                <w:color w:val="auto"/>
              </w:rPr>
            </w:pPr>
            <w:r>
              <w:rPr>
                <w:rFonts w:ascii="Arial" w:cs="Arial" w:eastAsia="Arial" w:hAnsi="Arial"/>
                <w:sz w:val="20"/>
                <w:szCs w:val="20"/>
                <w:color w:val="auto"/>
              </w:rPr>
              <w:t>286,219</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212,029</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208,716</w:t>
            </w:r>
          </w:p>
        </w:tc>
      </w:tr>
      <w:tr>
        <w:trPr>
          <w:trHeight w:val="303"/>
        </w:trPr>
        <w:tc>
          <w:tcPr>
            <w:tcW w:w="3480" w:type="dxa"/>
            <w:vAlign w:val="bottom"/>
          </w:tcPr>
          <w:p>
            <w:pPr>
              <w:ind w:left="40"/>
              <w:spacing w:after="0"/>
              <w:rPr>
                <w:sz w:val="20"/>
                <w:szCs w:val="20"/>
                <w:color w:val="auto"/>
              </w:rPr>
            </w:pPr>
            <w:r>
              <w:rPr>
                <w:rFonts w:ascii="Arial" w:cs="Arial" w:eastAsia="Arial" w:hAnsi="Arial"/>
                <w:sz w:val="20"/>
                <w:szCs w:val="20"/>
                <w:color w:val="auto"/>
              </w:rPr>
              <w:t>Net income per common share:</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3480" w:type="dxa"/>
            <w:vAlign w:val="bottom"/>
          </w:tcPr>
          <w:p>
            <w:pPr>
              <w:ind w:left="260"/>
              <w:spacing w:after="0"/>
              <w:rPr>
                <w:sz w:val="20"/>
                <w:szCs w:val="20"/>
                <w:color w:val="auto"/>
              </w:rPr>
            </w:pPr>
            <w:r>
              <w:rPr>
                <w:rFonts w:ascii="Arial" w:cs="Arial" w:eastAsia="Arial" w:hAnsi="Arial"/>
                <w:sz w:val="20"/>
                <w:szCs w:val="20"/>
                <w:color w:val="auto"/>
              </w:rPr>
              <w:t>Basic</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2.03</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1.96</w:t>
            </w: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01"/>
              <w:spacing w:after="0"/>
              <w:rPr>
                <w:sz w:val="20"/>
                <w:szCs w:val="20"/>
                <w:color w:val="auto"/>
              </w:rPr>
            </w:pPr>
            <w:r>
              <w:rPr>
                <w:rFonts w:ascii="Arial" w:cs="Arial" w:eastAsia="Arial" w:hAnsi="Arial"/>
                <w:sz w:val="20"/>
                <w:szCs w:val="20"/>
                <w:color w:val="auto"/>
              </w:rPr>
              <w:t>1.62</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1.20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1.16</w:t>
            </w:r>
          </w:p>
        </w:tc>
      </w:tr>
      <w:tr>
        <w:trPr>
          <w:trHeight w:val="250"/>
        </w:trPr>
        <w:tc>
          <w:tcPr>
            <w:tcW w:w="3480" w:type="dxa"/>
            <w:vAlign w:val="bottom"/>
          </w:tcPr>
          <w:p>
            <w:pPr>
              <w:ind w:left="260"/>
              <w:spacing w:after="0"/>
              <w:rPr>
                <w:sz w:val="20"/>
                <w:szCs w:val="20"/>
                <w:color w:val="auto"/>
              </w:rPr>
            </w:pPr>
            <w:r>
              <w:rPr>
                <w:rFonts w:ascii="Arial" w:cs="Arial" w:eastAsia="Arial" w:hAnsi="Arial"/>
                <w:sz w:val="20"/>
                <w:szCs w:val="20"/>
                <w:color w:val="auto"/>
              </w:rPr>
              <w:t>Diluted</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1.95</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1.86</w:t>
            </w: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01"/>
              <w:spacing w:after="0"/>
              <w:rPr>
                <w:sz w:val="20"/>
                <w:szCs w:val="20"/>
                <w:color w:val="auto"/>
              </w:rPr>
            </w:pPr>
            <w:r>
              <w:rPr>
                <w:rFonts w:ascii="Arial" w:cs="Arial" w:eastAsia="Arial" w:hAnsi="Arial"/>
                <w:sz w:val="20"/>
                <w:szCs w:val="20"/>
                <w:color w:val="auto"/>
              </w:rPr>
              <w:t>1.53</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1.14</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1.10</w:t>
            </w:r>
          </w:p>
        </w:tc>
      </w:tr>
      <w:tr>
        <w:trPr>
          <w:trHeight w:val="324"/>
        </w:trPr>
        <w:tc>
          <w:tcPr>
            <w:tcW w:w="3480" w:type="dxa"/>
            <w:vAlign w:val="bottom"/>
          </w:tcPr>
          <w:p>
            <w:pPr>
              <w:ind w:left="40"/>
              <w:spacing w:after="0"/>
              <w:rPr>
                <w:sz w:val="20"/>
                <w:szCs w:val="20"/>
                <w:color w:val="auto"/>
              </w:rPr>
            </w:pPr>
            <w:r>
              <w:rPr>
                <w:rFonts w:ascii="Arial" w:cs="Arial" w:eastAsia="Arial" w:hAnsi="Arial"/>
                <w:sz w:val="20"/>
                <w:szCs w:val="20"/>
                <w:color w:val="auto"/>
                <w:w w:val="95"/>
              </w:rPr>
              <w:t>Cash, cash equivalents and investments</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623,388</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340,949</w:t>
            </w: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01"/>
              <w:spacing w:after="0"/>
              <w:rPr>
                <w:sz w:val="20"/>
                <w:szCs w:val="20"/>
                <w:color w:val="auto"/>
              </w:rPr>
            </w:pPr>
            <w:r>
              <w:rPr>
                <w:rFonts w:ascii="Arial" w:cs="Arial" w:eastAsia="Arial" w:hAnsi="Arial"/>
                <w:sz w:val="20"/>
                <w:szCs w:val="20"/>
                <w:color w:val="auto"/>
              </w:rPr>
              <w:t>793,807</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643,680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427,672</w:t>
            </w:r>
          </w:p>
        </w:tc>
      </w:tr>
      <w:tr>
        <w:trPr>
          <w:trHeight w:val="365"/>
        </w:trPr>
        <w:tc>
          <w:tcPr>
            <w:tcW w:w="3480" w:type="dxa"/>
            <w:vAlign w:val="bottom"/>
          </w:tcPr>
          <w:p>
            <w:pPr>
              <w:ind w:left="40"/>
              <w:spacing w:after="0"/>
              <w:rPr>
                <w:sz w:val="20"/>
                <w:szCs w:val="20"/>
                <w:color w:val="auto"/>
              </w:rPr>
            </w:pPr>
            <w:r>
              <w:rPr>
                <w:rFonts w:ascii="Arial" w:cs="Arial" w:eastAsia="Arial" w:hAnsi="Arial"/>
                <w:sz w:val="20"/>
                <w:szCs w:val="20"/>
                <w:color w:val="auto"/>
              </w:rPr>
              <w:t>Total assets</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1,420,509</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1,043,325</w:t>
            </w: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01"/>
              <w:spacing w:after="0"/>
              <w:rPr>
                <w:sz w:val="20"/>
                <w:szCs w:val="20"/>
                <w:color w:val="auto"/>
              </w:rPr>
            </w:pPr>
            <w:r>
              <w:rPr>
                <w:rFonts w:ascii="Arial" w:cs="Arial" w:eastAsia="Arial" w:hAnsi="Arial"/>
                <w:sz w:val="20"/>
                <w:szCs w:val="20"/>
                <w:color w:val="auto"/>
              </w:rPr>
              <w:t>1,362,399</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1,146,950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850,189</w:t>
            </w:r>
          </w:p>
        </w:tc>
      </w:tr>
      <w:tr>
        <w:trPr>
          <w:trHeight w:val="365"/>
        </w:trPr>
        <w:tc>
          <w:tcPr>
            <w:tcW w:w="3480" w:type="dxa"/>
            <w:vAlign w:val="bottom"/>
          </w:tcPr>
          <w:p>
            <w:pPr>
              <w:ind w:left="40"/>
              <w:spacing w:after="0"/>
              <w:rPr>
                <w:sz w:val="20"/>
                <w:szCs w:val="20"/>
                <w:color w:val="auto"/>
              </w:rPr>
            </w:pPr>
            <w:r>
              <w:rPr>
                <w:rFonts w:ascii="Arial" w:cs="Arial" w:eastAsia="Arial" w:hAnsi="Arial"/>
                <w:sz w:val="20"/>
                <w:szCs w:val="20"/>
                <w:color w:val="auto"/>
              </w:rPr>
              <w:t>Stockholders’ equity</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992,279</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644,397</w:t>
            </w: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01"/>
              <w:spacing w:after="0"/>
              <w:rPr>
                <w:sz w:val="20"/>
                <w:szCs w:val="20"/>
                <w:color w:val="auto"/>
              </w:rPr>
            </w:pPr>
            <w:r>
              <w:rPr>
                <w:rFonts w:ascii="Arial" w:cs="Arial" w:eastAsia="Arial" w:hAnsi="Arial"/>
                <w:sz w:val="20"/>
                <w:szCs w:val="20"/>
                <w:color w:val="auto"/>
              </w:rPr>
              <w:t>979,158</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828,398</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584,953</w:t>
            </w:r>
          </w:p>
        </w:tc>
      </w:tr>
    </w:tbl>
    <w:p>
      <w:pPr>
        <w:spacing w:after="0" w:line="216"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¹Includes $14.8 million, $13.2 million, $13.0 million, $10.0 million and $8.2 million for the years ended December 31, 2013, 2012, 2011, 2010 and 2009, respectively, related to the recognition of deferred revenue.</w:t>
      </w:r>
    </w:p>
    <w:p>
      <w:pPr>
        <w:spacing w:after="0" w:line="159"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²Includes $10.8 million, $1.5 million, $1.1 million, $0.3 million and $1.9 million for the years ended December 31, 2013, 2012, 2011, 2010 and 2009, respectively, related to expenditures attributable to the costs associated with terminating existing distributors.</w:t>
      </w:r>
    </w:p>
    <w:p>
      <w:pPr>
        <w:sectPr>
          <w:pgSz w:w="11900" w:h="16838" w:orient="portrait"/>
          <w:cols w:equalWidth="0" w:num="1">
            <w:col w:w="11420"/>
          </w:cols>
          <w:pgMar w:left="240" w:top="125" w:right="239" w:bottom="0" w:gutter="0" w:footer="0" w:header="0"/>
        </w:sectPr>
      </w:pPr>
    </w:p>
    <w:bookmarkStart w:id="23" w:name="page24"/>
    <w:bookmarkEnd w:id="23"/>
    <w:p>
      <w:pPr>
        <w:jc w:val="both"/>
        <w:ind w:left="340" w:right="40"/>
        <w:spacing w:after="0" w:line="288" w:lineRule="auto"/>
        <w:rPr>
          <w:sz w:val="20"/>
          <w:szCs w:val="20"/>
          <w:color w:val="auto"/>
        </w:rPr>
      </w:pPr>
      <w:r>
        <w:rPr>
          <w:rFonts w:ascii="Arial" w:cs="Arial" w:eastAsia="Arial" w:hAnsi="Arial"/>
          <w:sz w:val="15"/>
          <w:szCs w:val="15"/>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generally accepted accounting principles in the United States of America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 (See “Part II, Item 7 – Results of Operations”).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jc w:val="both"/>
        <w:ind w:right="40"/>
        <w:spacing w:after="0" w:line="253"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52"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19"/>
          <w:szCs w:val="19"/>
          <w:color w:val="auto"/>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See “Forward-Looking Statements” and “Part I. Item 1A – Risk Factors.”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overview provides our perspective on the individual sections of MD&amp;A. MD&amp;A includes the following sections:</w:t>
      </w:r>
    </w:p>
    <w:p>
      <w:pPr>
        <w:spacing w:after="0" w:line="229" w:lineRule="exact"/>
        <w:rPr>
          <w:sz w:val="20"/>
          <w:szCs w:val="20"/>
          <w:color w:val="auto"/>
        </w:rPr>
      </w:pPr>
    </w:p>
    <w:p>
      <w:pPr>
        <w:ind w:left="980" w:right="40" w:hanging="324"/>
        <w:spacing w:after="0" w:line="247" w:lineRule="auto"/>
        <w:tabs>
          <w:tab w:leader="none" w:pos="1178"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Our Business </w:t>
      </w:r>
      <w:r>
        <w:rPr>
          <w:rFonts w:ascii="Arial" w:cs="Arial" w:eastAsia="Arial" w:hAnsi="Arial"/>
          <w:sz w:val="20"/>
          <w:szCs w:val="20"/>
          <w:color w:val="auto"/>
        </w:rPr>
        <w:t>– a general description of our business; the value drivers of our business; and opportunities and risks facing our</w:t>
      </w:r>
      <w:r>
        <w:rPr>
          <w:rFonts w:ascii="Arial" w:cs="Arial" w:eastAsia="Arial" w:hAnsi="Arial"/>
          <w:sz w:val="20"/>
          <w:szCs w:val="20"/>
          <w:i w:val="1"/>
          <w:iCs w:val="1"/>
          <w:color w:val="auto"/>
        </w:rPr>
        <w:t xml:space="preserve"> </w:t>
      </w:r>
      <w:r>
        <w:rPr>
          <w:rFonts w:ascii="Arial" w:cs="Arial" w:eastAsia="Arial" w:hAnsi="Arial"/>
          <w:sz w:val="20"/>
          <w:szCs w:val="20"/>
          <w:color w:val="auto"/>
        </w:rPr>
        <w:t>Company;</w:t>
      </w:r>
    </w:p>
    <w:p>
      <w:pPr>
        <w:spacing w:after="0" w:line="1" w:lineRule="exact"/>
        <w:rPr>
          <w:rFonts w:ascii="Arial" w:cs="Arial" w:eastAsia="Arial" w:hAnsi="Arial"/>
          <w:sz w:val="20"/>
          <w:szCs w:val="20"/>
          <w:color w:val="auto"/>
        </w:rPr>
      </w:pPr>
    </w:p>
    <w:p>
      <w:pPr>
        <w:ind w:left="980" w:right="40" w:hanging="324"/>
        <w:spacing w:after="0" w:line="239" w:lineRule="auto"/>
        <w:tabs>
          <w:tab w:leader="none" w:pos="1354"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Results of Operations </w:t>
      </w:r>
      <w:r>
        <w:rPr>
          <w:rFonts w:ascii="Arial" w:cs="Arial" w:eastAsia="Arial" w:hAnsi="Arial"/>
          <w:sz w:val="20"/>
          <w:szCs w:val="20"/>
          <w:color w:val="auto"/>
        </w:rPr>
        <w:t>– an analysis of our consolidated results of operations for the three years presented in our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statements;</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Sales </w:t>
      </w:r>
      <w:r>
        <w:rPr>
          <w:rFonts w:ascii="Arial" w:cs="Arial" w:eastAsia="Arial" w:hAnsi="Arial"/>
          <w:sz w:val="20"/>
          <w:szCs w:val="20"/>
          <w:color w:val="auto"/>
        </w:rPr>
        <w:t>– details of our sales measured on a quarterly basis in both dollars and cases;</w:t>
      </w:r>
    </w:p>
    <w:p>
      <w:pPr>
        <w:ind w:left="940" w:hanging="284"/>
        <w:spacing w:after="0"/>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Inflation </w:t>
      </w:r>
      <w:r>
        <w:rPr>
          <w:rFonts w:ascii="Arial" w:cs="Arial" w:eastAsia="Arial" w:hAnsi="Arial"/>
          <w:sz w:val="20"/>
          <w:szCs w:val="20"/>
          <w:color w:val="auto"/>
        </w:rPr>
        <w:t>– information about the impact that inflation may or may not have on our results;</w:t>
      </w:r>
    </w:p>
    <w:p>
      <w:pPr>
        <w:ind w:left="940" w:hanging="284"/>
        <w:spacing w:after="0"/>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Liquidity and Capital Resources </w:t>
      </w:r>
      <w:r>
        <w:rPr>
          <w:rFonts w:ascii="Arial" w:cs="Arial" w:eastAsia="Arial" w:hAnsi="Arial"/>
          <w:sz w:val="20"/>
          <w:szCs w:val="20"/>
          <w:color w:val="auto"/>
        </w:rPr>
        <w:t>– an analysis of our cash flows, sources and uses of cash and contractual obligations;</w:t>
      </w:r>
    </w:p>
    <w:p>
      <w:pPr>
        <w:ind w:left="980" w:right="40" w:hanging="324"/>
        <w:spacing w:after="0" w:line="239" w:lineRule="auto"/>
        <w:tabs>
          <w:tab w:leader="none" w:pos="1286"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Accounting Policies and Pronouncements </w:t>
      </w:r>
      <w:r>
        <w:rPr>
          <w:rFonts w:ascii="Arial" w:cs="Arial" w:eastAsia="Arial" w:hAnsi="Arial"/>
          <w:sz w:val="20"/>
          <w:szCs w:val="20"/>
          <w:color w:val="auto"/>
        </w:rPr>
        <w:t>– a discussion of accounting policies that require critical judgments and estimates</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newly issued accounting pronouncements;</w:t>
      </w:r>
    </w:p>
    <w:p>
      <w:pPr>
        <w:spacing w:after="0" w:line="1" w:lineRule="exact"/>
        <w:rPr>
          <w:rFonts w:ascii="Arial" w:cs="Arial" w:eastAsia="Arial" w:hAnsi="Arial"/>
          <w:sz w:val="20"/>
          <w:szCs w:val="20"/>
          <w:color w:val="auto"/>
        </w:rPr>
      </w:pPr>
    </w:p>
    <w:p>
      <w:pPr>
        <w:jc w:val="both"/>
        <w:ind w:left="980" w:right="40" w:hanging="324"/>
        <w:spacing w:after="0" w:line="239" w:lineRule="auto"/>
        <w:tabs>
          <w:tab w:leader="none" w:pos="1178"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Forward-Looking Statements </w:t>
      </w:r>
      <w:r>
        <w:rPr>
          <w:rFonts w:ascii="Arial" w:cs="Arial" w:eastAsia="Arial" w:hAnsi="Arial"/>
          <w:sz w:val="20"/>
          <w:szCs w:val="20"/>
          <w:color w:val="auto"/>
        </w:rPr>
        <w:t>– cautionary information about forward-looking statements and a description of certain risks and</w:t>
      </w:r>
      <w:r>
        <w:rPr>
          <w:rFonts w:ascii="Arial" w:cs="Arial" w:eastAsia="Arial" w:hAnsi="Arial"/>
          <w:sz w:val="20"/>
          <w:szCs w:val="20"/>
          <w:i w:val="1"/>
          <w:iCs w:val="1"/>
          <w:color w:val="auto"/>
        </w:rPr>
        <w:t xml:space="preserve"> </w:t>
      </w:r>
      <w:r>
        <w:rPr>
          <w:rFonts w:ascii="Arial" w:cs="Arial" w:eastAsia="Arial" w:hAnsi="Arial"/>
          <w:sz w:val="20"/>
          <w:szCs w:val="20"/>
          <w:color w:val="auto"/>
        </w:rPr>
        <w:t>uncertainties that could cause our actual results to differ materially from the Company’s historical results or our current expectations or projections; and</w:t>
      </w:r>
    </w:p>
    <w:p>
      <w:pPr>
        <w:spacing w:after="0" w:line="1" w:lineRule="exact"/>
        <w:rPr>
          <w:rFonts w:ascii="Arial" w:cs="Arial" w:eastAsia="Arial" w:hAnsi="Arial"/>
          <w:sz w:val="20"/>
          <w:szCs w:val="20"/>
          <w:color w:val="auto"/>
        </w:rPr>
      </w:pPr>
    </w:p>
    <w:p>
      <w:pPr>
        <w:ind w:left="980" w:right="60" w:hanging="324"/>
        <w:spacing w:after="0" w:line="244" w:lineRule="auto"/>
        <w:tabs>
          <w:tab w:leader="none" w:pos="989"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Market Risks </w:t>
      </w:r>
      <w:r>
        <w:rPr>
          <w:rFonts w:ascii="Arial" w:cs="Arial" w:eastAsia="Arial" w:hAnsi="Arial"/>
          <w:sz w:val="20"/>
          <w:szCs w:val="20"/>
          <w:color w:val="auto"/>
        </w:rPr>
        <w:t>– information about market risks and risk management. (See “Forward-Looking Statements” and “Part II, Item 7A –</w:t>
      </w:r>
      <w:r>
        <w:rPr>
          <w:rFonts w:ascii="Arial" w:cs="Arial" w:eastAsia="Arial" w:hAnsi="Arial"/>
          <w:sz w:val="20"/>
          <w:szCs w:val="20"/>
          <w:i w:val="1"/>
          <w:iCs w:val="1"/>
          <w:color w:val="auto"/>
        </w:rPr>
        <w:t xml:space="preserve"> </w:t>
      </w:r>
      <w:r>
        <w:rPr>
          <w:rFonts w:ascii="Arial" w:cs="Arial" w:eastAsia="Arial" w:hAnsi="Arial"/>
          <w:sz w:val="20"/>
          <w:szCs w:val="20"/>
          <w:color w:val="auto"/>
        </w:rPr>
        <w:t>Qualitative and Quantitative Disclosures About Market Risks”).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 names: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0" w:type="dxa"/>
            <w:vAlign w:val="bottom"/>
          </w:tcPr>
          <w:p>
            <w:pPr>
              <w:ind w:left="80"/>
              <w:spacing w:after="0"/>
              <w:rPr>
                <w:sz w:val="20"/>
                <w:szCs w:val="20"/>
                <w:color w:val="auto"/>
              </w:rPr>
            </w:pPr>
            <w:r>
              <w:rPr>
                <w:rFonts w:ascii="Arial" w:cs="Arial" w:eastAsia="Arial" w:hAnsi="Arial"/>
                <w:sz w:val="19"/>
                <w:szCs w:val="19"/>
                <w:color w:val="auto"/>
              </w:rPr>
              <w:t>·</w:t>
            </w:r>
          </w:p>
        </w:tc>
        <w:tc>
          <w:tcPr>
            <w:tcW w:w="4780" w:type="dxa"/>
            <w:vAlign w:val="bottom"/>
          </w:tcPr>
          <w:p>
            <w:pPr>
              <w:ind w:left="120"/>
              <w:spacing w:after="0"/>
              <w:rPr>
                <w:sz w:val="20"/>
                <w:szCs w:val="20"/>
                <w:color w:val="auto"/>
              </w:rPr>
            </w:pPr>
            <w:r>
              <w:rPr>
                <w:rFonts w:ascii="Arial" w:cs="Arial" w:eastAsia="Arial" w:hAnsi="Arial"/>
                <w:sz w:val="19"/>
                <w:szCs w:val="19"/>
                <w:color w:val="auto"/>
              </w:rPr>
              <w:t>Monster Energy®</w:t>
            </w:r>
          </w:p>
        </w:tc>
        <w:tc>
          <w:tcPr>
            <w:tcW w:w="1400" w:type="dxa"/>
            <w:vAlign w:val="bottom"/>
          </w:tcPr>
          <w:p>
            <w:pPr>
              <w:ind w:left="1240"/>
              <w:spacing w:after="0"/>
              <w:rPr>
                <w:sz w:val="20"/>
                <w:szCs w:val="20"/>
                <w:color w:val="auto"/>
              </w:rPr>
            </w:pPr>
            <w:r>
              <w:rPr>
                <w:rFonts w:ascii="Arial" w:cs="Arial" w:eastAsia="Arial" w:hAnsi="Arial"/>
                <w:sz w:val="19"/>
                <w:szCs w:val="19"/>
                <w:color w:val="auto"/>
              </w:rPr>
              <w:t>·</w:t>
            </w:r>
          </w:p>
        </w:tc>
        <w:tc>
          <w:tcPr>
            <w:tcW w:w="5040" w:type="dxa"/>
            <w:vAlign w:val="bottom"/>
          </w:tcPr>
          <w:p>
            <w:pPr>
              <w:ind w:left="120"/>
              <w:spacing w:after="0"/>
              <w:rPr>
                <w:sz w:val="20"/>
                <w:szCs w:val="20"/>
                <w:color w:val="auto"/>
              </w:rPr>
            </w:pPr>
            <w:r>
              <w:rPr>
                <w:rFonts w:ascii="Arial" w:cs="Arial" w:eastAsia="Arial" w:hAnsi="Arial"/>
                <w:sz w:val="19"/>
                <w:szCs w:val="19"/>
                <w:color w:val="auto"/>
              </w:rPr>
              <w:t>Hansen’s®</w:t>
            </w:r>
          </w:p>
        </w:tc>
      </w:tr>
      <w:tr>
        <w:trPr>
          <w:trHeight w:val="216"/>
        </w:trPr>
        <w:tc>
          <w:tcPr>
            <w:tcW w:w="240" w:type="dxa"/>
            <w:vAlign w:val="bottom"/>
          </w:tcPr>
          <w:p>
            <w:pPr>
              <w:ind w:left="80"/>
              <w:spacing w:after="0" w:line="216" w:lineRule="exact"/>
              <w:rPr>
                <w:sz w:val="20"/>
                <w:szCs w:val="20"/>
                <w:color w:val="auto"/>
              </w:rPr>
            </w:pPr>
            <w:r>
              <w:rPr>
                <w:rFonts w:ascii="Arial" w:cs="Arial" w:eastAsia="Arial" w:hAnsi="Arial"/>
                <w:sz w:val="19"/>
                <w:szCs w:val="19"/>
                <w:color w:val="auto"/>
              </w:rPr>
              <w:t>·</w:t>
            </w:r>
          </w:p>
        </w:tc>
        <w:tc>
          <w:tcPr>
            <w:tcW w:w="4780" w:type="dxa"/>
            <w:vAlign w:val="bottom"/>
          </w:tcPr>
          <w:p>
            <w:pPr>
              <w:ind w:left="120"/>
              <w:spacing w:after="0" w:line="216" w:lineRule="exact"/>
              <w:rPr>
                <w:sz w:val="20"/>
                <w:szCs w:val="20"/>
                <w:color w:val="auto"/>
              </w:rPr>
            </w:pPr>
            <w:r>
              <w:rPr>
                <w:rFonts w:ascii="Arial" w:cs="Arial" w:eastAsia="Arial" w:hAnsi="Arial"/>
                <w:sz w:val="19"/>
                <w:szCs w:val="19"/>
                <w:color w:val="auto"/>
              </w:rPr>
              <w:t>Monster Rehab®</w:t>
            </w:r>
          </w:p>
        </w:tc>
        <w:tc>
          <w:tcPr>
            <w:tcW w:w="6440" w:type="dxa"/>
            <w:vAlign w:val="bottom"/>
            <w:gridSpan w:val="2"/>
          </w:tcPr>
          <w:p>
            <w:pPr>
              <w:ind w:left="1240"/>
              <w:spacing w:after="0" w:line="216" w:lineRule="exact"/>
              <w:rPr>
                <w:sz w:val="20"/>
                <w:szCs w:val="20"/>
                <w:color w:val="auto"/>
              </w:rPr>
            </w:pPr>
            <w:r>
              <w:rPr>
                <w:rFonts w:ascii="Arial" w:cs="Arial" w:eastAsia="Arial" w:hAnsi="Arial"/>
                <w:sz w:val="19"/>
                <w:szCs w:val="19"/>
                <w:color w:val="auto"/>
              </w:rPr>
              <w:t>·   Hansen’s Natural Cane Soda®</w:t>
            </w:r>
          </w:p>
        </w:tc>
      </w:tr>
      <w:tr>
        <w:trPr>
          <w:trHeight w:val="216"/>
        </w:trPr>
        <w:tc>
          <w:tcPr>
            <w:tcW w:w="5020" w:type="dxa"/>
            <w:vAlign w:val="bottom"/>
            <w:gridSpan w:val="2"/>
          </w:tcPr>
          <w:p>
            <w:pPr>
              <w:ind w:left="80"/>
              <w:spacing w:after="0" w:line="216" w:lineRule="exact"/>
              <w:rPr>
                <w:sz w:val="20"/>
                <w:szCs w:val="20"/>
                <w:color w:val="auto"/>
              </w:rPr>
            </w:pPr>
            <w:r>
              <w:rPr>
                <w:rFonts w:ascii="Arial" w:cs="Arial" w:eastAsia="Arial" w:hAnsi="Arial"/>
                <w:sz w:val="19"/>
                <w:szCs w:val="19"/>
                <w:color w:val="auto"/>
              </w:rPr>
              <w:t>·   Monster Energy Extra Strength Nitrous Technology®</w:t>
            </w:r>
          </w:p>
        </w:tc>
        <w:tc>
          <w:tcPr>
            <w:tcW w:w="1400" w:type="dxa"/>
            <w:vAlign w:val="bottom"/>
          </w:tcPr>
          <w:p>
            <w:pPr>
              <w:ind w:left="1240"/>
              <w:spacing w:after="0" w:line="216" w:lineRule="exact"/>
              <w:rPr>
                <w:sz w:val="20"/>
                <w:szCs w:val="20"/>
                <w:color w:val="auto"/>
              </w:rPr>
            </w:pPr>
            <w:r>
              <w:rPr>
                <w:rFonts w:ascii="Arial" w:cs="Arial" w:eastAsia="Arial" w:hAnsi="Arial"/>
                <w:sz w:val="19"/>
                <w:szCs w:val="19"/>
                <w:color w:val="auto"/>
              </w:rPr>
              <w:t>·</w:t>
            </w:r>
          </w:p>
        </w:tc>
        <w:tc>
          <w:tcPr>
            <w:tcW w:w="5040" w:type="dxa"/>
            <w:vAlign w:val="bottom"/>
          </w:tcPr>
          <w:p>
            <w:pPr>
              <w:ind w:left="120"/>
              <w:spacing w:after="0" w:line="216" w:lineRule="exact"/>
              <w:rPr>
                <w:sz w:val="20"/>
                <w:szCs w:val="20"/>
                <w:color w:val="auto"/>
              </w:rPr>
            </w:pPr>
            <w:r>
              <w:rPr>
                <w:rFonts w:ascii="Arial" w:cs="Arial" w:eastAsia="Arial" w:hAnsi="Arial"/>
                <w:sz w:val="19"/>
                <w:szCs w:val="19"/>
                <w:color w:val="auto"/>
              </w:rPr>
              <w:t>Junior Juice®</w:t>
            </w:r>
          </w:p>
        </w:tc>
      </w:tr>
      <w:tr>
        <w:trPr>
          <w:trHeight w:val="216"/>
        </w:trPr>
        <w:tc>
          <w:tcPr>
            <w:tcW w:w="240" w:type="dxa"/>
            <w:vAlign w:val="bottom"/>
          </w:tcPr>
          <w:p>
            <w:pPr>
              <w:ind w:left="80"/>
              <w:spacing w:after="0" w:line="216" w:lineRule="exact"/>
              <w:rPr>
                <w:sz w:val="20"/>
                <w:szCs w:val="20"/>
                <w:color w:val="auto"/>
              </w:rPr>
            </w:pPr>
            <w:r>
              <w:rPr>
                <w:rFonts w:ascii="Arial" w:cs="Arial" w:eastAsia="Arial" w:hAnsi="Arial"/>
                <w:sz w:val="19"/>
                <w:szCs w:val="19"/>
                <w:color w:val="auto"/>
              </w:rPr>
              <w:t>·</w:t>
            </w:r>
          </w:p>
        </w:tc>
        <w:tc>
          <w:tcPr>
            <w:tcW w:w="4780" w:type="dxa"/>
            <w:vAlign w:val="bottom"/>
          </w:tcPr>
          <w:p>
            <w:pPr>
              <w:ind w:left="120"/>
              <w:spacing w:after="0" w:line="216" w:lineRule="exact"/>
              <w:rPr>
                <w:sz w:val="20"/>
                <w:szCs w:val="20"/>
                <w:color w:val="auto"/>
              </w:rPr>
            </w:pPr>
            <w:r>
              <w:rPr>
                <w:rFonts w:ascii="Arial" w:cs="Arial" w:eastAsia="Arial" w:hAnsi="Arial"/>
                <w:sz w:val="19"/>
                <w:szCs w:val="19"/>
                <w:color w:val="auto"/>
              </w:rPr>
              <w:t>Java Monster®</w:t>
            </w:r>
          </w:p>
        </w:tc>
        <w:tc>
          <w:tcPr>
            <w:tcW w:w="1400" w:type="dxa"/>
            <w:vAlign w:val="bottom"/>
          </w:tcPr>
          <w:p>
            <w:pPr>
              <w:ind w:left="1240"/>
              <w:spacing w:after="0" w:line="216" w:lineRule="exact"/>
              <w:rPr>
                <w:sz w:val="20"/>
                <w:szCs w:val="20"/>
                <w:color w:val="auto"/>
              </w:rPr>
            </w:pPr>
            <w:r>
              <w:rPr>
                <w:rFonts w:ascii="Arial" w:cs="Arial" w:eastAsia="Arial" w:hAnsi="Arial"/>
                <w:sz w:val="19"/>
                <w:szCs w:val="19"/>
                <w:color w:val="auto"/>
              </w:rPr>
              <w:t>·</w:t>
            </w:r>
          </w:p>
        </w:tc>
        <w:tc>
          <w:tcPr>
            <w:tcW w:w="5040" w:type="dxa"/>
            <w:vAlign w:val="bottom"/>
          </w:tcPr>
          <w:p>
            <w:pPr>
              <w:ind w:left="120"/>
              <w:spacing w:after="0" w:line="216" w:lineRule="exact"/>
              <w:rPr>
                <w:sz w:val="20"/>
                <w:szCs w:val="20"/>
                <w:color w:val="auto"/>
              </w:rPr>
            </w:pPr>
            <w:r>
              <w:rPr>
                <w:rFonts w:ascii="Arial" w:cs="Arial" w:eastAsia="Arial" w:hAnsi="Arial"/>
                <w:sz w:val="19"/>
                <w:szCs w:val="19"/>
                <w:color w:val="auto"/>
              </w:rPr>
              <w:t>Blue Sky®</w:t>
            </w:r>
          </w:p>
        </w:tc>
      </w:tr>
      <w:tr>
        <w:trPr>
          <w:trHeight w:val="216"/>
        </w:trPr>
        <w:tc>
          <w:tcPr>
            <w:tcW w:w="240" w:type="dxa"/>
            <w:vAlign w:val="bottom"/>
          </w:tcPr>
          <w:p>
            <w:pPr>
              <w:ind w:left="80"/>
              <w:spacing w:after="0" w:line="216" w:lineRule="exact"/>
              <w:rPr>
                <w:sz w:val="20"/>
                <w:szCs w:val="20"/>
                <w:color w:val="auto"/>
              </w:rPr>
            </w:pPr>
            <w:r>
              <w:rPr>
                <w:rFonts w:ascii="Arial" w:cs="Arial" w:eastAsia="Arial" w:hAnsi="Arial"/>
                <w:sz w:val="19"/>
                <w:szCs w:val="19"/>
                <w:color w:val="auto"/>
              </w:rPr>
              <w:t>·</w:t>
            </w:r>
          </w:p>
        </w:tc>
        <w:tc>
          <w:tcPr>
            <w:tcW w:w="4780" w:type="dxa"/>
            <w:vAlign w:val="bottom"/>
          </w:tcPr>
          <w:p>
            <w:pPr>
              <w:ind w:left="120"/>
              <w:spacing w:after="0" w:line="216" w:lineRule="exact"/>
              <w:rPr>
                <w:sz w:val="20"/>
                <w:szCs w:val="20"/>
                <w:color w:val="auto"/>
              </w:rPr>
            </w:pPr>
            <w:r>
              <w:rPr>
                <w:rFonts w:ascii="Arial" w:cs="Arial" w:eastAsia="Arial" w:hAnsi="Arial"/>
                <w:sz w:val="19"/>
                <w:szCs w:val="19"/>
                <w:color w:val="auto"/>
              </w:rPr>
              <w:t>X-Presso Monster®</w:t>
            </w:r>
          </w:p>
        </w:tc>
        <w:tc>
          <w:tcPr>
            <w:tcW w:w="1400" w:type="dxa"/>
            <w:vAlign w:val="bottom"/>
          </w:tcPr>
          <w:p>
            <w:pPr>
              <w:ind w:left="1240"/>
              <w:spacing w:after="0" w:line="216" w:lineRule="exact"/>
              <w:rPr>
                <w:sz w:val="20"/>
                <w:szCs w:val="20"/>
                <w:color w:val="auto"/>
              </w:rPr>
            </w:pPr>
            <w:r>
              <w:rPr>
                <w:rFonts w:ascii="Arial" w:cs="Arial" w:eastAsia="Arial" w:hAnsi="Arial"/>
                <w:sz w:val="19"/>
                <w:szCs w:val="19"/>
                <w:color w:val="auto"/>
              </w:rPr>
              <w:t>·</w:t>
            </w:r>
          </w:p>
        </w:tc>
        <w:tc>
          <w:tcPr>
            <w:tcW w:w="5040" w:type="dxa"/>
            <w:vAlign w:val="bottom"/>
          </w:tcPr>
          <w:p>
            <w:pPr>
              <w:ind w:left="120"/>
              <w:spacing w:after="0" w:line="216" w:lineRule="exact"/>
              <w:rPr>
                <w:sz w:val="20"/>
                <w:szCs w:val="20"/>
                <w:color w:val="auto"/>
              </w:rPr>
            </w:pPr>
            <w:r>
              <w:rPr>
                <w:rFonts w:ascii="Arial" w:cs="Arial" w:eastAsia="Arial" w:hAnsi="Arial"/>
                <w:sz w:val="19"/>
                <w:szCs w:val="19"/>
                <w:color w:val="auto"/>
              </w:rPr>
              <w:t>Hubert’s®</w:t>
            </w:r>
          </w:p>
        </w:tc>
      </w:tr>
      <w:tr>
        <w:trPr>
          <w:trHeight w:val="216"/>
        </w:trPr>
        <w:tc>
          <w:tcPr>
            <w:tcW w:w="240" w:type="dxa"/>
            <w:vAlign w:val="bottom"/>
          </w:tcPr>
          <w:p>
            <w:pPr>
              <w:ind w:left="80"/>
              <w:spacing w:after="0" w:line="216" w:lineRule="exact"/>
              <w:rPr>
                <w:sz w:val="20"/>
                <w:szCs w:val="20"/>
                <w:color w:val="auto"/>
              </w:rPr>
            </w:pPr>
            <w:r>
              <w:rPr>
                <w:rFonts w:ascii="Arial" w:cs="Arial" w:eastAsia="Arial" w:hAnsi="Arial"/>
                <w:sz w:val="19"/>
                <w:szCs w:val="19"/>
                <w:color w:val="auto"/>
              </w:rPr>
              <w:t>·</w:t>
            </w:r>
          </w:p>
        </w:tc>
        <w:tc>
          <w:tcPr>
            <w:tcW w:w="4780" w:type="dxa"/>
            <w:vAlign w:val="bottom"/>
          </w:tcPr>
          <w:p>
            <w:pPr>
              <w:ind w:left="120"/>
              <w:spacing w:after="0" w:line="216" w:lineRule="exact"/>
              <w:rPr>
                <w:sz w:val="20"/>
                <w:szCs w:val="20"/>
                <w:color w:val="auto"/>
              </w:rPr>
            </w:pPr>
            <w:r>
              <w:rPr>
                <w:rFonts w:ascii="Arial" w:cs="Arial" w:eastAsia="Arial" w:hAnsi="Arial"/>
                <w:sz w:val="19"/>
                <w:szCs w:val="19"/>
                <w:color w:val="auto"/>
              </w:rPr>
              <w:t>Muscle Monster®</w:t>
            </w:r>
          </w:p>
        </w:tc>
        <w:tc>
          <w:tcPr>
            <w:tcW w:w="1400" w:type="dxa"/>
            <w:vAlign w:val="bottom"/>
          </w:tcPr>
          <w:p>
            <w:pPr>
              <w:ind w:left="1240"/>
              <w:spacing w:after="0" w:line="216" w:lineRule="exact"/>
              <w:rPr>
                <w:sz w:val="20"/>
                <w:szCs w:val="20"/>
                <w:color w:val="auto"/>
              </w:rPr>
            </w:pPr>
            <w:r>
              <w:rPr>
                <w:rFonts w:ascii="Arial" w:cs="Arial" w:eastAsia="Arial" w:hAnsi="Arial"/>
                <w:sz w:val="19"/>
                <w:szCs w:val="19"/>
                <w:color w:val="auto"/>
              </w:rPr>
              <w:t>·</w:t>
            </w:r>
          </w:p>
        </w:tc>
        <w:tc>
          <w:tcPr>
            <w:tcW w:w="5040" w:type="dxa"/>
            <w:vAlign w:val="bottom"/>
          </w:tcPr>
          <w:p>
            <w:pPr>
              <w:ind w:left="120"/>
              <w:spacing w:after="0" w:line="216" w:lineRule="exact"/>
              <w:rPr>
                <w:sz w:val="20"/>
                <w:szCs w:val="20"/>
                <w:color w:val="auto"/>
              </w:rPr>
            </w:pPr>
            <w:r>
              <w:rPr>
                <w:rFonts w:ascii="Arial" w:cs="Arial" w:eastAsia="Arial" w:hAnsi="Arial"/>
                <w:sz w:val="19"/>
                <w:szCs w:val="19"/>
                <w:color w:val="auto"/>
              </w:rPr>
              <w:t>Worx Energy®</w:t>
            </w:r>
          </w:p>
        </w:tc>
      </w:tr>
      <w:tr>
        <w:trPr>
          <w:trHeight w:val="240"/>
        </w:trPr>
        <w:tc>
          <w:tcPr>
            <w:tcW w:w="240" w:type="dxa"/>
            <w:vAlign w:val="bottom"/>
          </w:tcPr>
          <w:p>
            <w:pPr>
              <w:ind w:left="80"/>
              <w:spacing w:after="0"/>
              <w:rPr>
                <w:sz w:val="20"/>
                <w:szCs w:val="20"/>
                <w:color w:val="auto"/>
              </w:rPr>
            </w:pPr>
            <w:r>
              <w:rPr>
                <w:rFonts w:ascii="Arial" w:cs="Arial" w:eastAsia="Arial" w:hAnsi="Arial"/>
                <w:sz w:val="19"/>
                <w:szCs w:val="19"/>
                <w:color w:val="auto"/>
              </w:rPr>
              <w:t>·</w:t>
            </w:r>
          </w:p>
        </w:tc>
        <w:tc>
          <w:tcPr>
            <w:tcW w:w="4780" w:type="dxa"/>
            <w:vAlign w:val="bottom"/>
          </w:tcPr>
          <w:p>
            <w:pPr>
              <w:ind w:left="120"/>
              <w:spacing w:after="0"/>
              <w:rPr>
                <w:sz w:val="20"/>
                <w:szCs w:val="20"/>
                <w:color w:val="auto"/>
              </w:rPr>
            </w:pPr>
            <w:r>
              <w:rPr>
                <w:rFonts w:ascii="Arial" w:cs="Arial" w:eastAsia="Arial" w:hAnsi="Arial"/>
                <w:sz w:val="19"/>
                <w:szCs w:val="19"/>
                <w:color w:val="auto"/>
              </w:rPr>
              <w:t>Punch Monster™</w:t>
            </w:r>
          </w:p>
        </w:tc>
        <w:tc>
          <w:tcPr>
            <w:tcW w:w="1400" w:type="dxa"/>
            <w:vAlign w:val="bottom"/>
          </w:tcPr>
          <w:p>
            <w:pPr>
              <w:ind w:left="1240"/>
              <w:spacing w:after="0"/>
              <w:rPr>
                <w:sz w:val="20"/>
                <w:szCs w:val="20"/>
                <w:color w:val="auto"/>
              </w:rPr>
            </w:pPr>
            <w:r>
              <w:rPr>
                <w:rFonts w:ascii="Arial" w:cs="Arial" w:eastAsia="Arial" w:hAnsi="Arial"/>
                <w:sz w:val="19"/>
                <w:szCs w:val="19"/>
                <w:color w:val="auto"/>
              </w:rPr>
              <w:t>·</w:t>
            </w:r>
          </w:p>
        </w:tc>
        <w:tc>
          <w:tcPr>
            <w:tcW w:w="5040" w:type="dxa"/>
            <w:vAlign w:val="bottom"/>
          </w:tcPr>
          <w:p>
            <w:pPr>
              <w:ind w:left="120"/>
              <w:spacing w:after="0"/>
              <w:rPr>
                <w:sz w:val="20"/>
                <w:szCs w:val="20"/>
                <w:color w:val="auto"/>
              </w:rPr>
            </w:pPr>
            <w:r>
              <w:rPr>
                <w:rFonts w:ascii="Arial" w:cs="Arial" w:eastAsia="Arial" w:hAnsi="Arial"/>
                <w:sz w:val="19"/>
                <w:szCs w:val="19"/>
                <w:color w:val="auto"/>
              </w:rPr>
              <w:t>Peace Tea®</w:t>
            </w:r>
          </w:p>
        </w:tc>
      </w:tr>
      <w:tr>
        <w:trPr>
          <w:trHeight w:val="430"/>
        </w:trPr>
        <w:tc>
          <w:tcPr>
            <w:tcW w:w="2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0" w:type="dxa"/>
            <w:vAlign w:val="bottom"/>
          </w:tcPr>
          <w:p>
            <w:pPr>
              <w:ind w:left="600"/>
              <w:spacing w:after="0"/>
              <w:rPr>
                <w:sz w:val="20"/>
                <w:szCs w:val="20"/>
                <w:color w:val="auto"/>
              </w:rPr>
            </w:pPr>
            <w:r>
              <w:rPr>
                <w:rFonts w:ascii="Arial" w:cs="Arial" w:eastAsia="Arial" w:hAnsi="Arial"/>
                <w:sz w:val="18"/>
                <w:szCs w:val="18"/>
                <w:color w:val="auto"/>
              </w:rPr>
              <w:t>36</w:t>
            </w:r>
          </w:p>
        </w:tc>
        <w:tc>
          <w:tcPr>
            <w:tcW w:w="5040" w:type="dxa"/>
            <w:vAlign w:val="bottom"/>
          </w:tcPr>
          <w:p>
            <w:pPr>
              <w:spacing w:after="0"/>
              <w:rPr>
                <w:sz w:val="24"/>
                <w:szCs w:val="24"/>
                <w:color w:val="auto"/>
              </w:rPr>
            </w:pPr>
          </w:p>
        </w:tc>
      </w:tr>
      <w:tr>
        <w:trPr>
          <w:trHeight w:val="132"/>
        </w:trPr>
        <w:tc>
          <w:tcPr>
            <w:tcW w:w="240" w:type="dxa"/>
            <w:vAlign w:val="bottom"/>
            <w:tcBorders>
              <w:bottom w:val="single" w:sz="8" w:color="010101"/>
            </w:tcBorders>
          </w:tcPr>
          <w:p>
            <w:pPr>
              <w:spacing w:after="0"/>
              <w:rPr>
                <w:sz w:val="11"/>
                <w:szCs w:val="11"/>
                <w:color w:val="auto"/>
              </w:rPr>
            </w:pPr>
          </w:p>
        </w:tc>
        <w:tc>
          <w:tcPr>
            <w:tcW w:w="478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50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Our Monster Energy® drinks, which represented 92.5%, 92.3% and 91.2% of our net sales for the years ended December 31, 2013, 2012 and 2011, respectively, include the following:</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140" w:type="dxa"/>
            <w:vAlign w:val="bottom"/>
          </w:tcPr>
          <w:p>
            <w:pPr>
              <w:ind w:left="120"/>
              <w:spacing w:after="0"/>
              <w:rPr>
                <w:sz w:val="20"/>
                <w:szCs w:val="20"/>
                <w:color w:val="auto"/>
              </w:rPr>
            </w:pPr>
            <w:r>
              <w:rPr>
                <w:rFonts w:ascii="Arial" w:cs="Arial" w:eastAsia="Arial" w:hAnsi="Arial"/>
                <w:sz w:val="19"/>
                <w:szCs w:val="19"/>
                <w:color w:val="auto"/>
              </w:rPr>
              <w:t>Monster Energy®</w:t>
            </w:r>
          </w:p>
        </w:tc>
        <w:tc>
          <w:tcPr>
            <w:tcW w:w="5580" w:type="dxa"/>
            <w:vAlign w:val="bottom"/>
          </w:tcPr>
          <w:p>
            <w:pPr>
              <w:ind w:left="740"/>
              <w:spacing w:after="0"/>
              <w:rPr>
                <w:sz w:val="20"/>
                <w:szCs w:val="20"/>
                <w:color w:val="auto"/>
              </w:rPr>
            </w:pPr>
            <w:r>
              <w:rPr>
                <w:rFonts w:ascii="Arial" w:cs="Arial" w:eastAsia="Arial" w:hAnsi="Arial"/>
                <w:sz w:val="19"/>
                <w:szCs w:val="19"/>
                <w:color w:val="auto"/>
              </w:rPr>
              <w:t>·   Java Monster® Kona Blend</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140" w:type="dxa"/>
            <w:vAlign w:val="bottom"/>
          </w:tcPr>
          <w:p>
            <w:pPr>
              <w:ind w:left="120"/>
              <w:spacing w:after="0" w:line="216" w:lineRule="exact"/>
              <w:rPr>
                <w:sz w:val="20"/>
                <w:szCs w:val="20"/>
                <w:color w:val="auto"/>
              </w:rPr>
            </w:pPr>
            <w:r>
              <w:rPr>
                <w:rFonts w:ascii="Arial" w:cs="Arial" w:eastAsia="Arial" w:hAnsi="Arial"/>
                <w:sz w:val="19"/>
                <w:szCs w:val="19"/>
                <w:color w:val="auto"/>
              </w:rPr>
              <w:t>Lo-Carb Monster Energy®</w:t>
            </w:r>
          </w:p>
        </w:tc>
        <w:tc>
          <w:tcPr>
            <w:tcW w:w="5580" w:type="dxa"/>
            <w:vAlign w:val="bottom"/>
          </w:tcPr>
          <w:p>
            <w:pPr>
              <w:ind w:left="740"/>
              <w:spacing w:after="0" w:line="216" w:lineRule="exact"/>
              <w:rPr>
                <w:sz w:val="20"/>
                <w:szCs w:val="20"/>
                <w:color w:val="auto"/>
              </w:rPr>
            </w:pPr>
            <w:r>
              <w:rPr>
                <w:rFonts w:ascii="Arial" w:cs="Arial" w:eastAsia="Arial" w:hAnsi="Arial"/>
                <w:sz w:val="19"/>
                <w:szCs w:val="19"/>
                <w:color w:val="auto"/>
              </w:rPr>
              <w:t>·   Java Monster® Loca Moca®</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140" w:type="dxa"/>
            <w:vAlign w:val="bottom"/>
          </w:tcPr>
          <w:p>
            <w:pPr>
              <w:ind w:left="120"/>
              <w:spacing w:after="0" w:line="216" w:lineRule="exact"/>
              <w:rPr>
                <w:sz w:val="20"/>
                <w:szCs w:val="20"/>
                <w:color w:val="auto"/>
              </w:rPr>
            </w:pPr>
            <w:r>
              <w:rPr>
                <w:rFonts w:ascii="Arial" w:cs="Arial" w:eastAsia="Arial" w:hAnsi="Arial"/>
                <w:sz w:val="19"/>
                <w:szCs w:val="19"/>
                <w:color w:val="auto"/>
              </w:rPr>
              <w:t>Monster Assault®</w:t>
            </w:r>
          </w:p>
        </w:tc>
        <w:tc>
          <w:tcPr>
            <w:tcW w:w="5580" w:type="dxa"/>
            <w:vAlign w:val="bottom"/>
          </w:tcPr>
          <w:p>
            <w:pPr>
              <w:ind w:left="740"/>
              <w:spacing w:after="0" w:line="216" w:lineRule="exact"/>
              <w:rPr>
                <w:sz w:val="20"/>
                <w:szCs w:val="20"/>
                <w:color w:val="auto"/>
              </w:rPr>
            </w:pPr>
            <w:r>
              <w:rPr>
                <w:rFonts w:ascii="Arial" w:cs="Arial" w:eastAsia="Arial" w:hAnsi="Arial"/>
                <w:sz w:val="19"/>
                <w:szCs w:val="19"/>
                <w:color w:val="auto"/>
              </w:rPr>
              <w:t>·   Java Monster® Mean Bean®</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140" w:type="dxa"/>
            <w:vAlign w:val="bottom"/>
          </w:tcPr>
          <w:p>
            <w:pPr>
              <w:ind w:left="120"/>
              <w:spacing w:after="0" w:line="216" w:lineRule="exact"/>
              <w:rPr>
                <w:sz w:val="20"/>
                <w:szCs w:val="20"/>
                <w:color w:val="auto"/>
              </w:rPr>
            </w:pPr>
            <w:r>
              <w:rPr>
                <w:rFonts w:ascii="Arial" w:cs="Arial" w:eastAsia="Arial" w:hAnsi="Arial"/>
                <w:sz w:val="19"/>
                <w:szCs w:val="19"/>
                <w:color w:val="auto"/>
              </w:rPr>
              <w:t>Monster Khaos®</w:t>
            </w:r>
          </w:p>
        </w:tc>
        <w:tc>
          <w:tcPr>
            <w:tcW w:w="5580" w:type="dxa"/>
            <w:vAlign w:val="bottom"/>
          </w:tcPr>
          <w:p>
            <w:pPr>
              <w:ind w:left="740"/>
              <w:spacing w:after="0" w:line="216" w:lineRule="exact"/>
              <w:rPr>
                <w:sz w:val="20"/>
                <w:szCs w:val="20"/>
                <w:color w:val="auto"/>
              </w:rPr>
            </w:pPr>
            <w:r>
              <w:rPr>
                <w:rFonts w:ascii="Arial" w:cs="Arial" w:eastAsia="Arial" w:hAnsi="Arial"/>
                <w:sz w:val="19"/>
                <w:szCs w:val="19"/>
                <w:color w:val="auto"/>
              </w:rPr>
              <w:t>·   Java Monster® Vanilla Light</w:t>
            </w:r>
          </w:p>
        </w:tc>
      </w:tr>
      <w:tr>
        <w:trPr>
          <w:trHeight w:val="216"/>
        </w:trPr>
        <w:tc>
          <w:tcPr>
            <w:tcW w:w="5300" w:type="dxa"/>
            <w:vAlign w:val="bottom"/>
            <w:gridSpan w:val="2"/>
          </w:tcPr>
          <w:p>
            <w:pPr>
              <w:spacing w:after="0" w:line="216" w:lineRule="exact"/>
              <w:rPr>
                <w:sz w:val="20"/>
                <w:szCs w:val="20"/>
                <w:color w:val="auto"/>
              </w:rPr>
            </w:pPr>
            <w:r>
              <w:rPr>
                <w:rFonts w:ascii="Arial" w:cs="Arial" w:eastAsia="Arial" w:hAnsi="Arial"/>
                <w:sz w:val="19"/>
                <w:szCs w:val="19"/>
                <w:color w:val="auto"/>
              </w:rPr>
              <w:t>·   Monster M-80® (named Ripper® in certain countries)</w:t>
            </w:r>
          </w:p>
        </w:tc>
        <w:tc>
          <w:tcPr>
            <w:tcW w:w="5580" w:type="dxa"/>
            <w:vAlign w:val="bottom"/>
          </w:tcPr>
          <w:p>
            <w:pPr>
              <w:ind w:left="740"/>
              <w:spacing w:after="0" w:line="216" w:lineRule="exact"/>
              <w:rPr>
                <w:sz w:val="20"/>
                <w:szCs w:val="20"/>
                <w:color w:val="auto"/>
              </w:rPr>
            </w:pPr>
            <w:r>
              <w:rPr>
                <w:rFonts w:ascii="Arial" w:cs="Arial" w:eastAsia="Arial" w:hAnsi="Arial"/>
                <w:sz w:val="19"/>
                <w:szCs w:val="19"/>
                <w:color w:val="auto"/>
              </w:rPr>
              <w:t>·   Java Monster® Irish Blend®</w:t>
            </w:r>
          </w:p>
        </w:tc>
      </w:tr>
      <w:tr>
        <w:trPr>
          <w:trHeight w:val="216"/>
        </w:trPr>
        <w:tc>
          <w:tcPr>
            <w:tcW w:w="5300" w:type="dxa"/>
            <w:vAlign w:val="bottom"/>
            <w:gridSpan w:val="2"/>
          </w:tcPr>
          <w:p>
            <w:pPr>
              <w:spacing w:after="0" w:line="216" w:lineRule="exact"/>
              <w:rPr>
                <w:sz w:val="20"/>
                <w:szCs w:val="20"/>
                <w:color w:val="auto"/>
              </w:rPr>
            </w:pPr>
            <w:r>
              <w:rPr>
                <w:rFonts w:ascii="Arial" w:cs="Arial" w:eastAsia="Arial" w:hAnsi="Arial"/>
                <w:sz w:val="19"/>
                <w:szCs w:val="19"/>
                <w:color w:val="auto"/>
              </w:rPr>
              <w:t>·   Monster Energy® Absolutely Zero</w:t>
            </w:r>
          </w:p>
        </w:tc>
        <w:tc>
          <w:tcPr>
            <w:tcW w:w="5580" w:type="dxa"/>
            <w:vAlign w:val="bottom"/>
          </w:tcPr>
          <w:p>
            <w:pPr>
              <w:ind w:left="740"/>
              <w:spacing w:after="0" w:line="216" w:lineRule="exact"/>
              <w:rPr>
                <w:sz w:val="20"/>
                <w:szCs w:val="20"/>
                <w:color w:val="auto"/>
              </w:rPr>
            </w:pPr>
            <w:r>
              <w:rPr>
                <w:rFonts w:ascii="Arial" w:cs="Arial" w:eastAsia="Arial" w:hAnsi="Arial"/>
                <w:sz w:val="19"/>
                <w:szCs w:val="19"/>
                <w:color w:val="auto"/>
              </w:rPr>
              <w:t>·   Java Monster® Toffee</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140" w:type="dxa"/>
            <w:vAlign w:val="bottom"/>
          </w:tcPr>
          <w:p>
            <w:pPr>
              <w:ind w:left="120"/>
              <w:spacing w:after="0" w:line="216" w:lineRule="exact"/>
              <w:rPr>
                <w:sz w:val="20"/>
                <w:szCs w:val="20"/>
                <w:color w:val="auto"/>
              </w:rPr>
            </w:pPr>
            <w:r>
              <w:rPr>
                <w:rFonts w:ascii="Arial" w:cs="Arial" w:eastAsia="Arial" w:hAnsi="Arial"/>
                <w:sz w:val="19"/>
                <w:szCs w:val="19"/>
                <w:color w:val="auto"/>
              </w:rPr>
              <w:t>Monster Energy® Import</w:t>
            </w:r>
          </w:p>
        </w:tc>
        <w:tc>
          <w:tcPr>
            <w:tcW w:w="5580" w:type="dxa"/>
            <w:vAlign w:val="bottom"/>
          </w:tcPr>
          <w:p>
            <w:pPr>
              <w:ind w:left="740"/>
              <w:spacing w:after="0" w:line="216" w:lineRule="exact"/>
              <w:rPr>
                <w:sz w:val="20"/>
                <w:szCs w:val="20"/>
                <w:color w:val="auto"/>
              </w:rPr>
            </w:pPr>
            <w:r>
              <w:rPr>
                <w:rFonts w:ascii="Arial" w:cs="Arial" w:eastAsia="Arial" w:hAnsi="Arial"/>
                <w:sz w:val="19"/>
                <w:szCs w:val="19"/>
                <w:color w:val="auto"/>
              </w:rPr>
              <w:t>·   Java Monster® Kona Cappuccino™</w:t>
            </w:r>
          </w:p>
        </w:tc>
      </w:tr>
      <w:tr>
        <w:trPr>
          <w:trHeight w:val="216"/>
        </w:trPr>
        <w:tc>
          <w:tcPr>
            <w:tcW w:w="5300" w:type="dxa"/>
            <w:vAlign w:val="bottom"/>
            <w:gridSpan w:val="2"/>
          </w:tcPr>
          <w:p>
            <w:pPr>
              <w:spacing w:after="0" w:line="216" w:lineRule="exact"/>
              <w:rPr>
                <w:sz w:val="20"/>
                <w:szCs w:val="20"/>
                <w:color w:val="auto"/>
              </w:rPr>
            </w:pPr>
            <w:r>
              <w:rPr>
                <w:rFonts w:ascii="Arial" w:cs="Arial" w:eastAsia="Arial" w:hAnsi="Arial"/>
                <w:sz w:val="19"/>
                <w:szCs w:val="19"/>
                <w:color w:val="auto"/>
              </w:rPr>
              <w:t>·   Monster Energy® Import Light</w:t>
            </w:r>
          </w:p>
        </w:tc>
        <w:tc>
          <w:tcPr>
            <w:tcW w:w="5580" w:type="dxa"/>
            <w:vAlign w:val="bottom"/>
          </w:tcPr>
          <w:p>
            <w:pPr>
              <w:ind w:left="740"/>
              <w:spacing w:after="0" w:line="216" w:lineRule="exact"/>
              <w:rPr>
                <w:sz w:val="20"/>
                <w:szCs w:val="20"/>
                <w:color w:val="auto"/>
              </w:rPr>
            </w:pPr>
            <w:r>
              <w:rPr>
                <w:rFonts w:ascii="Arial" w:cs="Arial" w:eastAsia="Arial" w:hAnsi="Arial"/>
                <w:sz w:val="19"/>
                <w:szCs w:val="19"/>
                <w:color w:val="auto"/>
                <w:w w:val="92"/>
              </w:rPr>
              <w:t>·   Monster Energy Extra Strength Nitrous Technology® Super</w:t>
            </w:r>
          </w:p>
        </w:tc>
      </w:tr>
      <w:tr>
        <w:trPr>
          <w:trHeight w:val="216"/>
        </w:trPr>
        <w:tc>
          <w:tcPr>
            <w:tcW w:w="5300" w:type="dxa"/>
            <w:vAlign w:val="bottom"/>
            <w:gridSpan w:val="2"/>
          </w:tcPr>
          <w:p>
            <w:pPr>
              <w:spacing w:after="0" w:line="216" w:lineRule="exact"/>
              <w:rPr>
                <w:sz w:val="20"/>
                <w:szCs w:val="20"/>
                <w:color w:val="auto"/>
              </w:rPr>
            </w:pPr>
            <w:r>
              <w:rPr>
                <w:rFonts w:ascii="Arial" w:cs="Arial" w:eastAsia="Arial" w:hAnsi="Arial"/>
                <w:sz w:val="19"/>
                <w:szCs w:val="19"/>
                <w:color w:val="auto"/>
              </w:rPr>
              <w:t>·   Punch Monster™ Baller’s Blend (formerly Dub Edition)</w:t>
            </w:r>
          </w:p>
        </w:tc>
        <w:tc>
          <w:tcPr>
            <w:tcW w:w="5580" w:type="dxa"/>
            <w:vAlign w:val="bottom"/>
          </w:tcPr>
          <w:p>
            <w:pPr>
              <w:ind w:left="1080"/>
              <w:spacing w:after="0" w:line="216" w:lineRule="exact"/>
              <w:rPr>
                <w:sz w:val="20"/>
                <w:szCs w:val="20"/>
                <w:color w:val="auto"/>
              </w:rPr>
            </w:pPr>
            <w:r>
              <w:rPr>
                <w:rFonts w:ascii="Arial" w:cs="Arial" w:eastAsia="Arial" w:hAnsi="Arial"/>
                <w:sz w:val="19"/>
                <w:szCs w:val="19"/>
                <w:color w:val="auto"/>
              </w:rPr>
              <w:t>Dry™</w:t>
            </w:r>
          </w:p>
        </w:tc>
      </w:tr>
      <w:tr>
        <w:trPr>
          <w:trHeight w:val="216"/>
        </w:trPr>
        <w:tc>
          <w:tcPr>
            <w:tcW w:w="5300" w:type="dxa"/>
            <w:vAlign w:val="bottom"/>
            <w:gridSpan w:val="2"/>
          </w:tcPr>
          <w:p>
            <w:pPr>
              <w:spacing w:after="0" w:line="216" w:lineRule="exact"/>
              <w:rPr>
                <w:sz w:val="20"/>
                <w:szCs w:val="20"/>
                <w:color w:val="auto"/>
              </w:rPr>
            </w:pPr>
            <w:r>
              <w:rPr>
                <w:rFonts w:ascii="Arial" w:cs="Arial" w:eastAsia="Arial" w:hAnsi="Arial"/>
                <w:sz w:val="19"/>
                <w:szCs w:val="19"/>
                <w:color w:val="auto"/>
              </w:rPr>
              <w:t>·   Punch Monster™ Mad Dog (formerly Dub Edition)</w:t>
            </w:r>
          </w:p>
        </w:tc>
        <w:tc>
          <w:tcPr>
            <w:tcW w:w="5580" w:type="dxa"/>
            <w:vAlign w:val="bottom"/>
          </w:tcPr>
          <w:p>
            <w:pPr>
              <w:ind w:left="740"/>
              <w:spacing w:after="0" w:line="216" w:lineRule="exact"/>
              <w:rPr>
                <w:sz w:val="20"/>
                <w:szCs w:val="20"/>
                <w:color w:val="auto"/>
              </w:rPr>
            </w:pPr>
            <w:r>
              <w:rPr>
                <w:rFonts w:ascii="Arial" w:cs="Arial" w:eastAsia="Arial" w:hAnsi="Arial"/>
                <w:sz w:val="19"/>
                <w:szCs w:val="19"/>
                <w:color w:val="auto"/>
                <w:w w:val="94"/>
              </w:rPr>
              <w:t>·   Monster Energy Extra Strength Nitrous Technology® Anti-</w:t>
            </w:r>
          </w:p>
        </w:tc>
      </w:tr>
      <w:tr>
        <w:trPr>
          <w:trHeight w:val="240"/>
        </w:trPr>
        <w:tc>
          <w:tcPr>
            <w:tcW w:w="5300" w:type="dxa"/>
            <w:vAlign w:val="bottom"/>
            <w:gridSpan w:val="2"/>
          </w:tcPr>
          <w:p>
            <w:pPr>
              <w:spacing w:after="0"/>
              <w:rPr>
                <w:sz w:val="20"/>
                <w:szCs w:val="20"/>
                <w:color w:val="auto"/>
              </w:rPr>
            </w:pPr>
            <w:r>
              <w:rPr>
                <w:rFonts w:ascii="Arial" w:cs="Arial" w:eastAsia="Arial" w:hAnsi="Arial"/>
                <w:sz w:val="19"/>
                <w:szCs w:val="19"/>
                <w:color w:val="auto"/>
              </w:rPr>
              <w:t>·   Monster Rehab® Tea + Lemonade + Energy</w:t>
            </w:r>
          </w:p>
        </w:tc>
        <w:tc>
          <w:tcPr>
            <w:tcW w:w="5580" w:type="dxa"/>
            <w:vAlign w:val="bottom"/>
          </w:tcPr>
          <w:p>
            <w:pPr>
              <w:ind w:left="1080"/>
              <w:spacing w:after="0"/>
              <w:rPr>
                <w:sz w:val="20"/>
                <w:szCs w:val="20"/>
                <w:color w:val="auto"/>
              </w:rPr>
            </w:pPr>
            <w:r>
              <w:rPr>
                <w:rFonts w:ascii="Arial" w:cs="Arial" w:eastAsia="Arial" w:hAnsi="Arial"/>
                <w:sz w:val="19"/>
                <w:szCs w:val="19"/>
                <w:color w:val="auto"/>
              </w:rPr>
              <w:t>Gravity®</w:t>
            </w:r>
          </w:p>
        </w:tc>
      </w:tr>
    </w:tbl>
    <w:p>
      <w:pPr>
        <w:sectPr>
          <w:pgSz w:w="11900" w:h="16838" w:orient="portrait"/>
          <w:cols w:equalWidth="0" w:num="1">
            <w:col w:w="11460"/>
          </w:cols>
          <w:pgMar w:left="240" w:top="332" w:right="199" w:bottom="0" w:gutter="0" w:footer="0" w:header="0"/>
        </w:sectPr>
      </w:pPr>
    </w:p>
    <w:bookmarkStart w:id="24" w:name="page25"/>
    <w:bookmarkEnd w:id="24"/>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5040" w:type="dxa"/>
            <w:vAlign w:val="bottom"/>
            <w:gridSpan w:val="2"/>
          </w:tcPr>
          <w:p>
            <w:pPr>
              <w:spacing w:after="0"/>
              <w:rPr>
                <w:sz w:val="20"/>
                <w:szCs w:val="20"/>
                <w:color w:val="auto"/>
              </w:rPr>
            </w:pPr>
            <w:r>
              <w:rPr>
                <w:rFonts w:ascii="Arial" w:cs="Arial" w:eastAsia="Arial" w:hAnsi="Arial"/>
                <w:sz w:val="19"/>
                <w:szCs w:val="19"/>
                <w:color w:val="auto"/>
              </w:rPr>
              <w:t>·   Monster Rehab® Rojo Tea + Energy</w:t>
            </w:r>
          </w:p>
        </w:tc>
        <w:tc>
          <w:tcPr>
            <w:tcW w:w="5840" w:type="dxa"/>
            <w:vAlign w:val="bottom"/>
            <w:gridSpan w:val="2"/>
          </w:tcPr>
          <w:p>
            <w:pPr>
              <w:ind w:left="1000"/>
              <w:spacing w:after="0"/>
              <w:rPr>
                <w:sz w:val="20"/>
                <w:szCs w:val="20"/>
                <w:color w:val="auto"/>
              </w:rPr>
            </w:pPr>
            <w:r>
              <w:rPr>
                <w:rFonts w:ascii="Arial" w:cs="Arial" w:eastAsia="Arial" w:hAnsi="Arial"/>
                <w:sz w:val="19"/>
                <w:szCs w:val="19"/>
                <w:color w:val="auto"/>
                <w:w w:val="93"/>
              </w:rPr>
              <w:t>·   Monster Energy Extra Strength Nitrous Technology® Black</w:t>
            </w:r>
          </w:p>
        </w:tc>
      </w:tr>
      <w:tr>
        <w:trPr>
          <w:trHeight w:val="216"/>
        </w:trPr>
        <w:tc>
          <w:tcPr>
            <w:tcW w:w="504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Green Tea + Energy</w:t>
            </w:r>
          </w:p>
        </w:tc>
        <w:tc>
          <w:tcPr>
            <w:tcW w:w="1180" w:type="dxa"/>
            <w:vAlign w:val="bottom"/>
          </w:tcPr>
          <w:p>
            <w:pPr>
              <w:spacing w:after="0"/>
              <w:rPr>
                <w:sz w:val="18"/>
                <w:szCs w:val="18"/>
                <w:color w:val="auto"/>
              </w:rPr>
            </w:pPr>
          </w:p>
        </w:tc>
        <w:tc>
          <w:tcPr>
            <w:tcW w:w="4660" w:type="dxa"/>
            <w:vAlign w:val="bottom"/>
          </w:tcPr>
          <w:p>
            <w:pPr>
              <w:ind w:left="160"/>
              <w:spacing w:after="0" w:line="216" w:lineRule="exact"/>
              <w:rPr>
                <w:sz w:val="20"/>
                <w:szCs w:val="20"/>
                <w:color w:val="auto"/>
              </w:rPr>
            </w:pPr>
            <w:r>
              <w:rPr>
                <w:rFonts w:ascii="Arial" w:cs="Arial" w:eastAsia="Arial" w:hAnsi="Arial"/>
                <w:sz w:val="19"/>
                <w:szCs w:val="19"/>
                <w:color w:val="auto"/>
              </w:rPr>
              <w:t>Ice™</w:t>
            </w:r>
          </w:p>
        </w:tc>
      </w:tr>
      <w:tr>
        <w:trPr>
          <w:trHeight w:val="216"/>
        </w:trPr>
        <w:tc>
          <w:tcPr>
            <w:tcW w:w="504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Protean + Energy</w:t>
            </w:r>
          </w:p>
        </w:tc>
        <w:tc>
          <w:tcPr>
            <w:tcW w:w="1180" w:type="dxa"/>
            <w:vAlign w:val="bottom"/>
          </w:tcPr>
          <w:p>
            <w:pPr>
              <w:ind w:left="1000"/>
              <w:spacing w:after="0" w:line="216" w:lineRule="exact"/>
              <w:rPr>
                <w:sz w:val="20"/>
                <w:szCs w:val="20"/>
                <w:color w:val="auto"/>
              </w:rPr>
            </w:pPr>
            <w:r>
              <w:rPr>
                <w:rFonts w:ascii="Arial" w:cs="Arial" w:eastAsia="Arial" w:hAnsi="Arial"/>
                <w:sz w:val="19"/>
                <w:szCs w:val="19"/>
                <w:color w:val="auto"/>
              </w:rPr>
              <w:t>·</w:t>
            </w:r>
          </w:p>
        </w:tc>
        <w:tc>
          <w:tcPr>
            <w:tcW w:w="4660" w:type="dxa"/>
            <w:vAlign w:val="bottom"/>
          </w:tcPr>
          <w:p>
            <w:pPr>
              <w:ind w:left="100"/>
              <w:spacing w:after="0" w:line="216" w:lineRule="exact"/>
              <w:rPr>
                <w:sz w:val="20"/>
                <w:szCs w:val="20"/>
                <w:color w:val="auto"/>
              </w:rPr>
            </w:pPr>
            <w:r>
              <w:rPr>
                <w:rFonts w:ascii="Arial" w:cs="Arial" w:eastAsia="Arial" w:hAnsi="Arial"/>
                <w:sz w:val="19"/>
                <w:szCs w:val="19"/>
                <w:color w:val="auto"/>
              </w:rPr>
              <w:t>X-Presso Monster® Hammer</w:t>
            </w:r>
          </w:p>
        </w:tc>
      </w:tr>
      <w:tr>
        <w:trPr>
          <w:trHeight w:val="216"/>
        </w:trPr>
        <w:tc>
          <w:tcPr>
            <w:tcW w:w="504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Tea + Orangeade + Energy</w:t>
            </w:r>
          </w:p>
        </w:tc>
        <w:tc>
          <w:tcPr>
            <w:tcW w:w="1180" w:type="dxa"/>
            <w:vAlign w:val="bottom"/>
          </w:tcPr>
          <w:p>
            <w:pPr>
              <w:ind w:left="1000"/>
              <w:spacing w:after="0" w:line="216" w:lineRule="exact"/>
              <w:rPr>
                <w:sz w:val="20"/>
                <w:szCs w:val="20"/>
                <w:color w:val="auto"/>
              </w:rPr>
            </w:pPr>
            <w:r>
              <w:rPr>
                <w:rFonts w:ascii="Arial" w:cs="Arial" w:eastAsia="Arial" w:hAnsi="Arial"/>
                <w:sz w:val="19"/>
                <w:szCs w:val="19"/>
                <w:color w:val="auto"/>
              </w:rPr>
              <w:t>·</w:t>
            </w:r>
          </w:p>
        </w:tc>
        <w:tc>
          <w:tcPr>
            <w:tcW w:w="4660" w:type="dxa"/>
            <w:vAlign w:val="bottom"/>
          </w:tcPr>
          <w:p>
            <w:pPr>
              <w:ind w:left="100"/>
              <w:spacing w:after="0" w:line="216" w:lineRule="exact"/>
              <w:rPr>
                <w:sz w:val="20"/>
                <w:szCs w:val="20"/>
                <w:color w:val="auto"/>
              </w:rPr>
            </w:pPr>
            <w:r>
              <w:rPr>
                <w:rFonts w:ascii="Arial" w:cs="Arial" w:eastAsia="Arial" w:hAnsi="Arial"/>
                <w:sz w:val="19"/>
                <w:szCs w:val="19"/>
                <w:color w:val="auto"/>
              </w:rPr>
              <w:t>X-Presso Monster® Midnite</w:t>
            </w:r>
          </w:p>
        </w:tc>
      </w:tr>
      <w:tr>
        <w:trPr>
          <w:trHeight w:val="216"/>
        </w:trPr>
        <w:tc>
          <w:tcPr>
            <w:tcW w:w="504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Tea + Pink Lemonade + Energy</w:t>
            </w:r>
          </w:p>
        </w:tc>
        <w:tc>
          <w:tcPr>
            <w:tcW w:w="1180" w:type="dxa"/>
            <w:vAlign w:val="bottom"/>
          </w:tcPr>
          <w:p>
            <w:pPr>
              <w:ind w:left="1000"/>
              <w:spacing w:after="0" w:line="216" w:lineRule="exact"/>
              <w:rPr>
                <w:sz w:val="20"/>
                <w:szCs w:val="20"/>
                <w:color w:val="auto"/>
              </w:rPr>
            </w:pPr>
            <w:r>
              <w:rPr>
                <w:rFonts w:ascii="Arial" w:cs="Arial" w:eastAsia="Arial" w:hAnsi="Arial"/>
                <w:sz w:val="19"/>
                <w:szCs w:val="19"/>
                <w:color w:val="auto"/>
              </w:rPr>
              <w:t>·</w:t>
            </w:r>
          </w:p>
        </w:tc>
        <w:tc>
          <w:tcPr>
            <w:tcW w:w="4660" w:type="dxa"/>
            <w:vAlign w:val="bottom"/>
          </w:tcPr>
          <w:p>
            <w:pPr>
              <w:ind w:left="100"/>
              <w:spacing w:after="0" w:line="216" w:lineRule="exact"/>
              <w:rPr>
                <w:sz w:val="20"/>
                <w:szCs w:val="20"/>
                <w:color w:val="auto"/>
              </w:rPr>
            </w:pPr>
            <w:r>
              <w:rPr>
                <w:rFonts w:ascii="Arial" w:cs="Arial" w:eastAsia="Arial" w:hAnsi="Arial"/>
                <w:sz w:val="19"/>
                <w:szCs w:val="19"/>
                <w:color w:val="auto"/>
              </w:rPr>
              <w:t>Monster Cuba-Lima®</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4880" w:type="dxa"/>
            <w:vAlign w:val="bottom"/>
          </w:tcPr>
          <w:p>
            <w:pPr>
              <w:ind w:left="120"/>
              <w:spacing w:after="0" w:line="216" w:lineRule="exact"/>
              <w:rPr>
                <w:sz w:val="20"/>
                <w:szCs w:val="20"/>
                <w:color w:val="auto"/>
              </w:rPr>
            </w:pPr>
            <w:r>
              <w:rPr>
                <w:rFonts w:ascii="Arial" w:cs="Arial" w:eastAsia="Arial" w:hAnsi="Arial"/>
                <w:sz w:val="19"/>
                <w:szCs w:val="19"/>
                <w:color w:val="auto"/>
              </w:rPr>
              <w:t>Muscle Monster® Vanilla</w:t>
            </w:r>
          </w:p>
        </w:tc>
        <w:tc>
          <w:tcPr>
            <w:tcW w:w="5840" w:type="dxa"/>
            <w:vAlign w:val="bottom"/>
            <w:gridSpan w:val="2"/>
          </w:tcPr>
          <w:p>
            <w:pPr>
              <w:ind w:left="1000"/>
              <w:spacing w:after="0" w:line="216" w:lineRule="exact"/>
              <w:rPr>
                <w:sz w:val="20"/>
                <w:szCs w:val="20"/>
                <w:color w:val="auto"/>
              </w:rPr>
            </w:pPr>
            <w:r>
              <w:rPr>
                <w:rFonts w:ascii="Arial" w:cs="Arial" w:eastAsia="Arial" w:hAnsi="Arial"/>
                <w:sz w:val="19"/>
                <w:szCs w:val="19"/>
                <w:color w:val="auto"/>
              </w:rPr>
              <w:t>·   Monster Energy® Zero Ultra</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4880" w:type="dxa"/>
            <w:vAlign w:val="bottom"/>
          </w:tcPr>
          <w:p>
            <w:pPr>
              <w:ind w:left="120"/>
              <w:spacing w:after="0" w:line="216" w:lineRule="exact"/>
              <w:rPr>
                <w:sz w:val="20"/>
                <w:szCs w:val="20"/>
                <w:color w:val="auto"/>
              </w:rPr>
            </w:pPr>
            <w:r>
              <w:rPr>
                <w:rFonts w:ascii="Arial" w:cs="Arial" w:eastAsia="Arial" w:hAnsi="Arial"/>
                <w:sz w:val="19"/>
                <w:szCs w:val="19"/>
                <w:color w:val="auto"/>
              </w:rPr>
              <w:t>Muscle Monster® Chocolate</w:t>
            </w:r>
          </w:p>
        </w:tc>
        <w:tc>
          <w:tcPr>
            <w:tcW w:w="5840" w:type="dxa"/>
            <w:vAlign w:val="bottom"/>
            <w:gridSpan w:val="2"/>
          </w:tcPr>
          <w:p>
            <w:pPr>
              <w:ind w:left="1000"/>
              <w:spacing w:after="0" w:line="216" w:lineRule="exact"/>
              <w:rPr>
                <w:sz w:val="20"/>
                <w:szCs w:val="20"/>
                <w:color w:val="auto"/>
              </w:rPr>
            </w:pPr>
            <w:r>
              <w:rPr>
                <w:rFonts w:ascii="Arial" w:cs="Arial" w:eastAsia="Arial" w:hAnsi="Arial"/>
                <w:sz w:val="19"/>
                <w:szCs w:val="19"/>
                <w:color w:val="auto"/>
              </w:rPr>
              <w:t>·   Monster Energy® Ultra Blue</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4880" w:type="dxa"/>
            <w:vAlign w:val="bottom"/>
          </w:tcPr>
          <w:p>
            <w:pPr>
              <w:ind w:left="120"/>
              <w:spacing w:after="0" w:line="216" w:lineRule="exact"/>
              <w:rPr>
                <w:sz w:val="20"/>
                <w:szCs w:val="20"/>
                <w:color w:val="auto"/>
              </w:rPr>
            </w:pPr>
            <w:r>
              <w:rPr>
                <w:rFonts w:ascii="Arial" w:cs="Arial" w:eastAsia="Arial" w:hAnsi="Arial"/>
                <w:sz w:val="19"/>
                <w:szCs w:val="19"/>
                <w:color w:val="auto"/>
              </w:rPr>
              <w:t>Muscle Monster® Coffee</w:t>
            </w:r>
          </w:p>
        </w:tc>
        <w:tc>
          <w:tcPr>
            <w:tcW w:w="5840" w:type="dxa"/>
            <w:vAlign w:val="bottom"/>
            <w:gridSpan w:val="2"/>
          </w:tcPr>
          <w:p>
            <w:pPr>
              <w:ind w:left="1000"/>
              <w:spacing w:after="0" w:line="216" w:lineRule="exact"/>
              <w:rPr>
                <w:sz w:val="20"/>
                <w:szCs w:val="20"/>
                <w:color w:val="auto"/>
              </w:rPr>
            </w:pPr>
            <w:r>
              <w:rPr>
                <w:rFonts w:ascii="Arial" w:cs="Arial" w:eastAsia="Arial" w:hAnsi="Arial"/>
                <w:sz w:val="19"/>
                <w:szCs w:val="19"/>
                <w:color w:val="auto"/>
              </w:rPr>
              <w:t>·   Monster Energy® Ultra Red</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4880" w:type="dxa"/>
            <w:vAlign w:val="bottom"/>
          </w:tcPr>
          <w:p>
            <w:pPr>
              <w:ind w:left="120"/>
              <w:spacing w:after="0" w:line="216" w:lineRule="exact"/>
              <w:rPr>
                <w:sz w:val="20"/>
                <w:szCs w:val="20"/>
                <w:color w:val="auto"/>
              </w:rPr>
            </w:pPr>
            <w:r>
              <w:rPr>
                <w:rFonts w:ascii="Arial" w:cs="Arial" w:eastAsia="Arial" w:hAnsi="Arial"/>
                <w:sz w:val="19"/>
                <w:szCs w:val="19"/>
                <w:color w:val="auto"/>
              </w:rPr>
              <w:t>Muscle Monster® Strawberry</w:t>
            </w:r>
          </w:p>
        </w:tc>
        <w:tc>
          <w:tcPr>
            <w:tcW w:w="5840" w:type="dxa"/>
            <w:vAlign w:val="bottom"/>
            <w:gridSpan w:val="2"/>
          </w:tcPr>
          <w:p>
            <w:pPr>
              <w:ind w:left="1000"/>
              <w:spacing w:after="0" w:line="216" w:lineRule="exact"/>
              <w:rPr>
                <w:sz w:val="20"/>
                <w:szCs w:val="20"/>
                <w:color w:val="auto"/>
              </w:rPr>
            </w:pPr>
            <w:r>
              <w:rPr>
                <w:rFonts w:ascii="Arial" w:cs="Arial" w:eastAsia="Arial" w:hAnsi="Arial"/>
                <w:sz w:val="19"/>
                <w:szCs w:val="19"/>
                <w:color w:val="auto"/>
              </w:rPr>
              <w:t>·   M3® Monster Energy® Super Concentrate</w:t>
            </w:r>
          </w:p>
        </w:tc>
      </w:tr>
      <w:tr>
        <w:trPr>
          <w:trHeight w:val="240"/>
        </w:trPr>
        <w:tc>
          <w:tcPr>
            <w:tcW w:w="5040" w:type="dxa"/>
            <w:vAlign w:val="bottom"/>
            <w:gridSpan w:val="2"/>
          </w:tcPr>
          <w:p>
            <w:pPr>
              <w:spacing w:after="0"/>
              <w:rPr>
                <w:sz w:val="20"/>
                <w:szCs w:val="20"/>
                <w:color w:val="auto"/>
              </w:rPr>
            </w:pPr>
            <w:r>
              <w:rPr>
                <w:rFonts w:ascii="Arial" w:cs="Arial" w:eastAsia="Arial" w:hAnsi="Arial"/>
                <w:sz w:val="19"/>
                <w:szCs w:val="19"/>
                <w:color w:val="auto"/>
              </w:rPr>
              <w:t>·   Muscle Monster® Peanut Butter Cup</w:t>
            </w:r>
          </w:p>
        </w:tc>
        <w:tc>
          <w:tcPr>
            <w:tcW w:w="1180" w:type="dxa"/>
            <w:vAlign w:val="bottom"/>
          </w:tcPr>
          <w:p>
            <w:pPr>
              <w:ind w:left="1000"/>
              <w:spacing w:after="0"/>
              <w:rPr>
                <w:sz w:val="20"/>
                <w:szCs w:val="20"/>
                <w:color w:val="auto"/>
              </w:rPr>
            </w:pPr>
            <w:r>
              <w:rPr>
                <w:rFonts w:ascii="Arial" w:cs="Arial" w:eastAsia="Arial" w:hAnsi="Arial"/>
                <w:sz w:val="19"/>
                <w:szCs w:val="19"/>
                <w:color w:val="auto"/>
              </w:rPr>
              <w:t>·</w:t>
            </w:r>
          </w:p>
        </w:tc>
        <w:tc>
          <w:tcPr>
            <w:tcW w:w="4660" w:type="dxa"/>
            <w:vAlign w:val="bottom"/>
          </w:tcPr>
          <w:p>
            <w:pPr>
              <w:ind w:left="100"/>
              <w:spacing w:after="0"/>
              <w:rPr>
                <w:sz w:val="20"/>
                <w:szCs w:val="20"/>
                <w:color w:val="auto"/>
              </w:rPr>
            </w:pPr>
            <w:r>
              <w:rPr>
                <w:rFonts w:ascii="Arial" w:cs="Arial" w:eastAsia="Arial" w:hAnsi="Arial"/>
                <w:sz w:val="19"/>
                <w:szCs w:val="19"/>
                <w:color w:val="auto"/>
              </w:rPr>
              <w:t>Übermonster® Energy Brew</w:t>
            </w:r>
          </w:p>
        </w:tc>
      </w:tr>
    </w:tbl>
    <w:p>
      <w:pPr>
        <w:spacing w:after="0" w:line="200" w:lineRule="exact"/>
        <w:rPr>
          <w:sz w:val="20"/>
          <w:szCs w:val="20"/>
          <w:color w:val="auto"/>
        </w:rPr>
      </w:pPr>
    </w:p>
    <w:p>
      <w:pPr>
        <w:spacing w:after="0" w:line="2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have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During the year ended December 31, 2013, we continued to expand our existing product lines and flavors and further developed our markets. In particular, we continued to focus on developing and marketing beverages that fall within the category generally described as the “alternative” beverage category. During the year ended December 31, 2013, we introduced the following products:</w:t>
      </w:r>
    </w:p>
    <w:p>
      <w:pPr>
        <w:spacing w:after="0" w:line="184"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Monster Mini’s™, 12-packs in 8-ounce size cans (January 2013).</w:t>
      </w:r>
    </w:p>
    <w:p>
      <w:pPr>
        <w:spacing w:after="0" w:line="15" w:lineRule="exact"/>
        <w:rPr>
          <w:rFonts w:ascii="Arial" w:cs="Arial" w:eastAsia="Arial" w:hAnsi="Arial"/>
          <w:sz w:val="20"/>
          <w:szCs w:val="20"/>
          <w:color w:val="auto"/>
        </w:rPr>
      </w:pPr>
    </w:p>
    <w:p>
      <w:pPr>
        <w:ind w:left="660" w:hanging="328"/>
        <w:spacing w:after="0" w:line="239" w:lineRule="auto"/>
        <w:tabs>
          <w:tab w:leader="none" w:pos="750" w:val="left"/>
        </w:tabs>
        <w:numPr>
          <w:ilvl w:val="0"/>
          <w:numId w:val="13"/>
        </w:numPr>
        <w:rPr>
          <w:rFonts w:ascii="Arial" w:cs="Arial" w:eastAsia="Arial" w:hAnsi="Arial"/>
          <w:sz w:val="20"/>
          <w:szCs w:val="20"/>
          <w:color w:val="auto"/>
        </w:rPr>
      </w:pPr>
      <w:r>
        <w:rPr>
          <w:rFonts w:ascii="Arial" w:cs="Arial" w:eastAsia="Arial" w:hAnsi="Arial"/>
          <w:sz w:val="20"/>
          <w:szCs w:val="20"/>
          <w:color w:val="auto"/>
        </w:rPr>
        <w:t>Muscle Monster® Energy Shakes, non-carbonated energy shakes with 25-grams of protein in five flavors: Chocolate, Vanilla, Coffee (March 2013), Strawberry (November 2013) and Peanut Butter Cup (December 2013).</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Monster Rehab® Tea + Pink Lemonade + Energy (March 2013).</w:t>
      </w: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Monster Energy® Ultra Blue, a carbonated energy drink which contains zero calories and zero sugar (March 2013).</w:t>
      </w: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Java Monster® Kona Cappuccino™ (March 2013).</w:t>
      </w: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Hansen’s® Sparkling Fruit Beverages, a line of 10-calorie beverages with all natural sweeteners (March 2013).</w:t>
      </w: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Peace Tea® Georgia Peach and Sno-Berry, ready-to-drink iced teas (June 2013).</w:t>
      </w:r>
    </w:p>
    <w:p>
      <w:pPr>
        <w:ind w:left="620" w:hanging="288"/>
        <w:spacing w:after="0"/>
        <w:tabs>
          <w:tab w:leader="none" w:pos="6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Hubert’s® Lemonade, Strawberry Lemonade, Blackberry Lemonade and Cherry Limeade in 40-ounce glass bottles (July 2013).</w:t>
      </w:r>
    </w:p>
    <w:p>
      <w:pPr>
        <w:spacing w:after="0" w:line="11" w:lineRule="exact"/>
        <w:rPr>
          <w:rFonts w:ascii="Arial" w:cs="Arial" w:eastAsia="Arial" w:hAnsi="Arial"/>
          <w:sz w:val="19"/>
          <w:szCs w:val="19"/>
          <w:color w:val="auto"/>
        </w:rPr>
      </w:pP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Monster Energy® Ultra Red, a carbonated energy drink which contains zero calories and zero sugar (September 2013).</w:t>
      </w:r>
    </w:p>
    <w:p>
      <w:pPr>
        <w:spacing w:after="0" w:line="213"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In the normal course of business we discontinue certain products and/or product lines. Those products or product lines discontinued in 2013, either individually or in aggregate, did not have a material adverse impact on our financial position, results of operations or liquidity.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gross sales of $2,586.5 million for the year ended December 31, 2013 represented record annual sales. The vast majority of our gross sales are derived from our Monster Energy® brand energy drinks. Gross sales of our Monster Energy® brand energy drinks were $2,412.4 million for the year ended December 31, 2013, an increase of $207.4 million, or 97.4% of our overall increase in gross sales for the year ended December 31, 2013. Any decrease in gross sales of our Monster Energy® brand energy drinks could have a significant adverse effect on our future revenues and net income. Competitive pressure in the energy drink category could also adversely affect our operating results.</w:t>
      </w: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percentage increase in gross sales was 9.0%, 21.7% and 31.0% for the years ended December 31, 2013, 2012 and 2011, respectively. We believe the decrease in the percentage growth rate for the year ended December 31, 2013 was primarily attributable to less robust growth of our Monster Energy® drink line in our United States and European energy drink markets. In addition, the growth rate for the year ended December 31, 2012 was positively impacted by sales in Japan, which began in the second quarter of 2012 and therefore did not have a 2011 comparable.</w:t>
      </w:r>
    </w:p>
    <w:p>
      <w:pPr>
        <w:spacing w:after="0" w:line="20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Our DSD segment represented 95.6%, 95.4% and 94.4% of our consolidated net sales for the years ended December 31, 2013, 2012 and 2011, respectively. Our Warehouse segment represented 4.4%, 4.6% and 5.6% of our consolidated net sales for the years ended December 31, 2013, 2012 and 2011, respectively.</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advertising, in-store promotions and in-store placement of point-of-sale materials, racks, coolers and barrel coolers) to enhance demand from consumers for our products. We also support our brands with prize promotions, price promotions, competitions, endorsements from selected public and sports figures, personality endorsements (including from television and other well-known sports personalities), coupons, sampling and sponsorship of selected causes, events, athletes and teams. In-store posters, outdoor posters, print, radio and television advertising (directly and through our sponsorships and endorsements) and coupons may also be used to promote our brands.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have historically marketed our Monster Energy®, Hansen’s® and Blue Energy® energy drink products as dietary supplements in accordance with the statutory definition of “dietary supplement” set forth in the FFDC Act. However, as permitted under the FFDC Act and FDA regulations, we decided to transition the labeling and marketing of these energy drink products from dietary supplements to conventional foods. In the first quarter of 2013, we began transitioning the labeling of such products. Products marketed under the Worx Energy® brand, which are sold in 2-ounce bottles, will continue to be labeled as dietary supplements. The costs of the labeling changes have not been significant and we do not expect the remaining costs, if any, to be significant.</w:t>
      </w:r>
    </w:p>
    <w:p>
      <w:pPr>
        <w:sectPr>
          <w:pgSz w:w="11900" w:h="16838" w:orient="portrait"/>
          <w:cols w:equalWidth="0" w:num="1">
            <w:col w:w="11420"/>
          </w:cols>
          <w:pgMar w:left="240" w:top="115" w:right="239" w:bottom="0" w:gutter="0" w:footer="0" w:header="0"/>
        </w:sectPr>
      </w:pPr>
    </w:p>
    <w:bookmarkStart w:id="25" w:name="page26"/>
    <w:bookmarkEnd w:id="25"/>
    <w:p>
      <w:pPr>
        <w:spacing w:after="0" w:line="2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of our beverage products are manufactured by various third party bottlers and co-packers situated throughout the United States and abroad, under separate arrangements with each party.</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growth strategy includes expanding our international business. Gross sales to customers outside the United States amounted to $580.6 million, $513.9 million and $381.0 million for the years ended December 31, 2013, 2012 and 2011, respectively. Such sales were approximately 23%, 22% and 20% of gross sales for the years ended December 31, 2013, 2012 and 2011, respectively.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years ended December 31, 2013, 2012 and 2011 are reflected below. Such information includes sales made by us directly to the customer types concerned, which include our full service beverage distributors in the United States. Such full service beverage distributors in turn sell certain of our products to the same customer types listed below. We limit our description of our customer types to include only our sales to such full service distributors without reference to such distributors’ sales to their own customers.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vMerge w:val="restart"/>
          </w:tcPr>
          <w:p>
            <w:pPr>
              <w:spacing w:after="0"/>
              <w:rPr>
                <w:sz w:val="20"/>
                <w:szCs w:val="20"/>
                <w:color w:val="auto"/>
              </w:rPr>
            </w:pPr>
            <w:r>
              <w:rPr>
                <w:rFonts w:ascii="Arial" w:cs="Arial" w:eastAsia="Arial" w:hAnsi="Arial"/>
                <w:sz w:val="20"/>
                <w:szCs w:val="20"/>
                <w:color w:val="auto"/>
              </w:rPr>
              <w:t>Full service distributors</w:t>
            </w:r>
          </w:p>
        </w:tc>
        <w:tc>
          <w:tcPr>
            <w:tcW w:w="152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85"/>
              </w:rPr>
              <w:t>2013</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2012</w:t>
            </w:r>
          </w:p>
        </w:tc>
        <w:tc>
          <w:tcPr>
            <w:tcW w:w="1500" w:type="dxa"/>
            <w:vAlign w:val="bottom"/>
            <w:tcBorders>
              <w:bottom w:val="single" w:sz="8" w:color="auto"/>
            </w:tcBorders>
          </w:tcPr>
          <w:p>
            <w:pPr>
              <w:jc w:val="center"/>
              <w:ind w:left="61"/>
              <w:spacing w:after="0"/>
              <w:rPr>
                <w:sz w:val="20"/>
                <w:szCs w:val="20"/>
                <w:color w:val="auto"/>
              </w:rPr>
            </w:pPr>
            <w:r>
              <w:rPr>
                <w:rFonts w:ascii="Arial" w:cs="Arial" w:eastAsia="Arial" w:hAnsi="Arial"/>
                <w:sz w:val="20"/>
                <w:szCs w:val="20"/>
                <w:color w:val="auto"/>
                <w:w w:val="85"/>
              </w:rPr>
              <w:t>2011</w:t>
            </w:r>
          </w:p>
        </w:tc>
        <w:tc>
          <w:tcPr>
            <w:tcW w:w="0" w:type="dxa"/>
            <w:vAlign w:val="bottom"/>
          </w:tcPr>
          <w:p>
            <w:pPr>
              <w:spacing w:after="0"/>
              <w:rPr>
                <w:sz w:val="1"/>
                <w:szCs w:val="1"/>
                <w:color w:val="auto"/>
              </w:rPr>
            </w:pPr>
          </w:p>
        </w:tc>
      </w:tr>
      <w:tr>
        <w:trPr>
          <w:trHeight w:val="206"/>
        </w:trPr>
        <w:tc>
          <w:tcPr>
            <w:tcW w:w="6740" w:type="dxa"/>
            <w:vAlign w:val="bottom"/>
            <w:vMerge w:val="continue"/>
          </w:tcPr>
          <w:p>
            <w:pPr>
              <w:spacing w:after="0"/>
              <w:rPr>
                <w:sz w:val="17"/>
                <w:szCs w:val="17"/>
                <w:color w:val="auto"/>
              </w:rPr>
            </w:pPr>
          </w:p>
        </w:tc>
        <w:tc>
          <w:tcPr>
            <w:tcW w:w="1520" w:type="dxa"/>
            <w:vAlign w:val="bottom"/>
          </w:tcPr>
          <w:p>
            <w:pPr>
              <w:jc w:val="center"/>
              <w:ind w:right="41"/>
              <w:spacing w:after="0" w:line="207" w:lineRule="exact"/>
              <w:rPr>
                <w:sz w:val="20"/>
                <w:szCs w:val="20"/>
                <w:color w:val="auto"/>
              </w:rPr>
            </w:pPr>
            <w:r>
              <w:rPr>
                <w:rFonts w:ascii="Arial" w:cs="Arial" w:eastAsia="Arial" w:hAnsi="Arial"/>
                <w:sz w:val="20"/>
                <w:szCs w:val="20"/>
                <w:color w:val="auto"/>
                <w:w w:val="94"/>
              </w:rPr>
              <w:t>63%</w:t>
            </w:r>
          </w:p>
        </w:tc>
        <w:tc>
          <w:tcPr>
            <w:tcW w:w="1640" w:type="dxa"/>
            <w:vAlign w:val="bottom"/>
          </w:tcPr>
          <w:p>
            <w:pPr>
              <w:jc w:val="center"/>
              <w:spacing w:after="0" w:line="207" w:lineRule="exact"/>
              <w:rPr>
                <w:sz w:val="20"/>
                <w:szCs w:val="20"/>
                <w:color w:val="auto"/>
              </w:rPr>
            </w:pPr>
            <w:r>
              <w:rPr>
                <w:rFonts w:ascii="Arial" w:cs="Arial" w:eastAsia="Arial" w:hAnsi="Arial"/>
                <w:sz w:val="20"/>
                <w:szCs w:val="20"/>
                <w:color w:val="auto"/>
                <w:w w:val="89"/>
              </w:rPr>
              <w:t>63%</w:t>
            </w:r>
          </w:p>
        </w:tc>
        <w:tc>
          <w:tcPr>
            <w:tcW w:w="1500" w:type="dxa"/>
            <w:vAlign w:val="bottom"/>
          </w:tcPr>
          <w:p>
            <w:pPr>
              <w:jc w:val="center"/>
              <w:ind w:left="41"/>
              <w:spacing w:after="0" w:line="207" w:lineRule="exact"/>
              <w:rPr>
                <w:sz w:val="20"/>
                <w:szCs w:val="20"/>
                <w:color w:val="auto"/>
              </w:rPr>
            </w:pPr>
            <w:r>
              <w:rPr>
                <w:rFonts w:ascii="Arial" w:cs="Arial" w:eastAsia="Arial" w:hAnsi="Arial"/>
                <w:sz w:val="20"/>
                <w:szCs w:val="20"/>
                <w:color w:val="auto"/>
                <w:w w:val="89"/>
              </w:rPr>
              <w:t>64%</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1520" w:type="dxa"/>
            <w:vAlign w:val="bottom"/>
          </w:tcPr>
          <w:p>
            <w:pPr>
              <w:jc w:val="center"/>
              <w:ind w:right="41"/>
              <w:spacing w:after="0"/>
              <w:rPr>
                <w:sz w:val="20"/>
                <w:szCs w:val="20"/>
                <w:color w:val="auto"/>
              </w:rPr>
            </w:pPr>
            <w:r>
              <w:rPr>
                <w:rFonts w:ascii="Arial" w:cs="Arial" w:eastAsia="Arial" w:hAnsi="Arial"/>
                <w:sz w:val="20"/>
                <w:szCs w:val="20"/>
                <w:color w:val="auto"/>
                <w:w w:val="89"/>
              </w:rPr>
              <w:t>9%</w:t>
            </w: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9%</w:t>
            </w:r>
          </w:p>
        </w:tc>
        <w:tc>
          <w:tcPr>
            <w:tcW w:w="1500" w:type="dxa"/>
            <w:vAlign w:val="bottom"/>
          </w:tcPr>
          <w:p>
            <w:pPr>
              <w:jc w:val="center"/>
              <w:ind w:left="41"/>
              <w:spacing w:after="0"/>
              <w:rPr>
                <w:sz w:val="20"/>
                <w:szCs w:val="20"/>
                <w:color w:val="auto"/>
              </w:rPr>
            </w:pPr>
            <w:r>
              <w:rPr>
                <w:rFonts w:ascii="Arial" w:cs="Arial" w:eastAsia="Arial" w:hAnsi="Arial"/>
                <w:sz w:val="20"/>
                <w:szCs w:val="20"/>
                <w:color w:val="auto"/>
                <w:w w:val="89"/>
              </w:rPr>
              <w:t>10%</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20"/>
                <w:szCs w:val="20"/>
                <w:color w:val="auto"/>
              </w:rPr>
              <w:t>Outside the U.S.</w:t>
            </w:r>
          </w:p>
        </w:tc>
        <w:tc>
          <w:tcPr>
            <w:tcW w:w="1520" w:type="dxa"/>
            <w:vAlign w:val="bottom"/>
          </w:tcPr>
          <w:p>
            <w:pPr>
              <w:jc w:val="center"/>
              <w:ind w:right="41"/>
              <w:spacing w:after="0"/>
              <w:rPr>
                <w:sz w:val="20"/>
                <w:szCs w:val="20"/>
                <w:color w:val="auto"/>
              </w:rPr>
            </w:pPr>
            <w:r>
              <w:rPr>
                <w:rFonts w:ascii="Arial" w:cs="Arial" w:eastAsia="Arial" w:hAnsi="Arial"/>
                <w:sz w:val="20"/>
                <w:szCs w:val="20"/>
                <w:color w:val="auto"/>
                <w:w w:val="94"/>
              </w:rPr>
              <w:t>23%</w:t>
            </w: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22%</w:t>
            </w:r>
          </w:p>
        </w:tc>
        <w:tc>
          <w:tcPr>
            <w:tcW w:w="1500" w:type="dxa"/>
            <w:vAlign w:val="bottom"/>
          </w:tcPr>
          <w:p>
            <w:pPr>
              <w:jc w:val="center"/>
              <w:ind w:left="41"/>
              <w:spacing w:after="0"/>
              <w:rPr>
                <w:sz w:val="20"/>
                <w:szCs w:val="20"/>
                <w:color w:val="auto"/>
              </w:rPr>
            </w:pPr>
            <w:r>
              <w:rPr>
                <w:rFonts w:ascii="Arial" w:cs="Arial" w:eastAsia="Arial" w:hAnsi="Arial"/>
                <w:sz w:val="20"/>
                <w:szCs w:val="20"/>
                <w:color w:val="auto"/>
                <w:w w:val="89"/>
              </w:rPr>
              <w:t>20%</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520" w:type="dxa"/>
            <w:vAlign w:val="bottom"/>
          </w:tcPr>
          <w:p>
            <w:pPr>
              <w:jc w:val="center"/>
              <w:ind w:right="41"/>
              <w:spacing w:after="0"/>
              <w:rPr>
                <w:sz w:val="20"/>
                <w:szCs w:val="20"/>
                <w:color w:val="auto"/>
              </w:rPr>
            </w:pPr>
            <w:r>
              <w:rPr>
                <w:rFonts w:ascii="Arial" w:cs="Arial" w:eastAsia="Arial" w:hAnsi="Arial"/>
                <w:sz w:val="20"/>
                <w:szCs w:val="20"/>
                <w:color w:val="auto"/>
                <w:w w:val="89"/>
              </w:rPr>
              <w:t>3%</w:t>
            </w: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4%</w:t>
            </w:r>
          </w:p>
        </w:tc>
        <w:tc>
          <w:tcPr>
            <w:tcW w:w="1500" w:type="dxa"/>
            <w:vAlign w:val="bottom"/>
          </w:tcPr>
          <w:p>
            <w:pPr>
              <w:jc w:val="center"/>
              <w:ind w:left="61"/>
              <w:spacing w:after="0"/>
              <w:rPr>
                <w:sz w:val="20"/>
                <w:szCs w:val="20"/>
                <w:color w:val="auto"/>
              </w:rPr>
            </w:pPr>
            <w:r>
              <w:rPr>
                <w:rFonts w:ascii="Arial" w:cs="Arial" w:eastAsia="Arial" w:hAnsi="Arial"/>
                <w:sz w:val="20"/>
                <w:szCs w:val="20"/>
                <w:color w:val="auto"/>
                <w:w w:val="89"/>
              </w:rPr>
              <w:t>4%</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0"/>
                <w:szCs w:val="20"/>
                <w:color w:val="auto"/>
              </w:rPr>
            </w:pPr>
            <w:r>
              <w:rPr>
                <w:rFonts w:ascii="Arial" w:cs="Arial" w:eastAsia="Arial" w:hAnsi="Arial"/>
                <w:sz w:val="20"/>
                <w:szCs w:val="20"/>
                <w:color w:val="auto"/>
              </w:rPr>
              <w:t>Other</w:t>
            </w:r>
          </w:p>
        </w:tc>
        <w:tc>
          <w:tcPr>
            <w:tcW w:w="1520" w:type="dxa"/>
            <w:vAlign w:val="bottom"/>
          </w:tcPr>
          <w:p>
            <w:pPr>
              <w:jc w:val="center"/>
              <w:ind w:right="41"/>
              <w:spacing w:after="0"/>
              <w:rPr>
                <w:sz w:val="20"/>
                <w:szCs w:val="20"/>
                <w:color w:val="auto"/>
              </w:rPr>
            </w:pPr>
            <w:r>
              <w:rPr>
                <w:rFonts w:ascii="Arial" w:cs="Arial" w:eastAsia="Arial" w:hAnsi="Arial"/>
                <w:sz w:val="20"/>
                <w:szCs w:val="20"/>
                <w:color w:val="auto"/>
                <w:w w:val="89"/>
              </w:rPr>
              <w:t>2%</w:t>
            </w: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1500" w:type="dxa"/>
            <w:vAlign w:val="bottom"/>
          </w:tcPr>
          <w:p>
            <w:pPr>
              <w:jc w:val="center"/>
              <w:ind w:left="61"/>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customers include the TCCC North American Bottlers, Wal-Mart, Inc. (including Sam’s Club), the AB Distributors, New CCE, Coca-Cola Hellenic, Kalil Bottling Group, Trader Joe’s, Swire Coca-Cola, Costco, The Kroger Co. and Safeway, Inc. A decision by any large customer to decrease amounts purchased from us or to cease carrying our products could have a material negative effect on our financial condition and consolidated results of operations. CCR accounted for approximately 29%, 28% and 29% of our net sales for the years ended December 31, 2013, 2012 and 2011, respectively.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continue to incur expenditures in connection with the development and introduction of new products and flavors.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Value Drivers of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that the key value drivers of our business include the following:</w:t>
      </w:r>
    </w:p>
    <w:p>
      <w:pPr>
        <w:spacing w:after="0" w:line="229" w:lineRule="exact"/>
        <w:rPr>
          <w:sz w:val="20"/>
          <w:szCs w:val="20"/>
          <w:color w:val="auto"/>
        </w:rPr>
      </w:pPr>
    </w:p>
    <w:p>
      <w:pPr>
        <w:jc w:val="both"/>
        <w:ind w:left="980" w:hanging="324"/>
        <w:spacing w:after="0" w:line="260" w:lineRule="auto"/>
        <w:tabs>
          <w:tab w:leader="none" w:pos="1137"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 xml:space="preserve">Profitable Growth </w:t>
      </w:r>
      <w:r>
        <w:rPr>
          <w:rFonts w:ascii="Arial" w:cs="Arial" w:eastAsia="Arial" w:hAnsi="Arial"/>
          <w:sz w:val="19"/>
          <w:szCs w:val="19"/>
          <w:color w:val="auto"/>
        </w:rPr>
        <w:t>– We believe “functional” value added brands properly supported by marketing and innovation, targeted to a</w:t>
      </w:r>
      <w:r>
        <w:rPr>
          <w:rFonts w:ascii="Arial" w:cs="Arial" w:eastAsia="Arial" w:hAnsi="Arial"/>
          <w:sz w:val="19"/>
          <w:szCs w:val="19"/>
          <w:i w:val="1"/>
          <w:iCs w:val="1"/>
          <w:color w:val="auto"/>
        </w:rPr>
        <w:t xml:space="preserve"> </w:t>
      </w:r>
      <w:r>
        <w:rPr>
          <w:rFonts w:ascii="Arial" w:cs="Arial" w:eastAsia="Arial" w:hAnsi="Arial"/>
          <w:sz w:val="19"/>
          <w:szCs w:val="19"/>
          <w:color w:val="auto"/>
        </w:rPr>
        <w:t>diverse consumer base, drive profitable growth. We continue to broaden our family of brands. In particular, we are expanding our energy drinks and specialty beverages to provide more alternatives to consumers. We are focused on maintaining profit margins and believe that tailored branding, packaging, pricing and distribution channel strategies help achieve profitable growth. We are implementing these strategies with a view to continuing profitable growth.</w:t>
      </w:r>
    </w:p>
    <w:p>
      <w:pPr>
        <w:spacing w:after="0" w:line="194" w:lineRule="exact"/>
        <w:rPr>
          <w:rFonts w:ascii="Arial" w:cs="Arial" w:eastAsia="Arial" w:hAnsi="Arial"/>
          <w:sz w:val="19"/>
          <w:szCs w:val="19"/>
          <w:color w:val="auto"/>
        </w:rPr>
      </w:pPr>
    </w:p>
    <w:p>
      <w:pPr>
        <w:ind w:left="980" w:hanging="324"/>
        <w:spacing w:after="0" w:line="260" w:lineRule="auto"/>
        <w:tabs>
          <w:tab w:leader="none" w:pos="1110"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International Growth </w:t>
      </w:r>
      <w:r>
        <w:rPr>
          <w:rFonts w:ascii="Arial" w:cs="Arial" w:eastAsia="Arial" w:hAnsi="Arial"/>
          <w:sz w:val="20"/>
          <w:szCs w:val="20"/>
          <w:color w:val="auto"/>
        </w:rPr>
        <w:t>– The introduction, development and sustained profitability of our Monster Energy® brand internationally</w:t>
      </w:r>
      <w:r>
        <w:rPr>
          <w:rFonts w:ascii="Arial" w:cs="Arial" w:eastAsia="Arial" w:hAnsi="Arial"/>
          <w:sz w:val="20"/>
          <w:szCs w:val="20"/>
          <w:i w:val="1"/>
          <w:iCs w:val="1"/>
          <w:color w:val="auto"/>
        </w:rPr>
        <w:t xml:space="preserve"> </w:t>
      </w:r>
      <w:r>
        <w:rPr>
          <w:rFonts w:ascii="Arial" w:cs="Arial" w:eastAsia="Arial" w:hAnsi="Arial"/>
          <w:sz w:val="20"/>
          <w:szCs w:val="20"/>
          <w:color w:val="auto"/>
        </w:rPr>
        <w:t>remains a key value driver for our corporate growth.</w:t>
      </w:r>
    </w:p>
    <w:p>
      <w:pPr>
        <w:spacing w:after="0" w:line="190" w:lineRule="exact"/>
        <w:rPr>
          <w:rFonts w:ascii="Arial" w:cs="Arial" w:eastAsia="Arial" w:hAnsi="Arial"/>
          <w:sz w:val="20"/>
          <w:szCs w:val="20"/>
          <w:color w:val="auto"/>
        </w:rPr>
      </w:pPr>
    </w:p>
    <w:p>
      <w:pPr>
        <w:jc w:val="both"/>
        <w:ind w:left="980" w:hanging="324"/>
        <w:spacing w:after="0" w:line="328" w:lineRule="auto"/>
        <w:tabs>
          <w:tab w:leader="none" w:pos="948"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Cost Management </w:t>
      </w:r>
      <w:r>
        <w:rPr>
          <w:rFonts w:ascii="Arial" w:cs="Arial" w:eastAsia="Arial" w:hAnsi="Arial"/>
          <w:sz w:val="16"/>
          <w:szCs w:val="16"/>
          <w:color w:val="auto"/>
        </w:rPr>
        <w:t>– The principal focus of cost management will continue to be on reducing input supply and production costs on a</w:t>
      </w:r>
      <w:r>
        <w:rPr>
          <w:rFonts w:ascii="Arial" w:cs="Arial" w:eastAsia="Arial" w:hAnsi="Arial"/>
          <w:sz w:val="16"/>
          <w:szCs w:val="16"/>
          <w:i w:val="1"/>
          <w:iCs w:val="1"/>
          <w:color w:val="auto"/>
        </w:rPr>
        <w:t xml:space="preserve"> </w:t>
      </w:r>
      <w:r>
        <w:rPr>
          <w:rFonts w:ascii="Arial" w:cs="Arial" w:eastAsia="Arial" w:hAnsi="Arial"/>
          <w:sz w:val="16"/>
          <w:szCs w:val="16"/>
          <w:color w:val="auto"/>
        </w:rPr>
        <w:t>per-case basis, including raw material costs and co-packing fees. Another key area of focus is to decrease promotional allowances, selling and general and administrative costs, including sponsorships, sampling, promotional and marketing expenses, as a percentage of net sales. The reduction of accounts receivable and inventory days on hand also remains a further key area of focus.</w:t>
      </w:r>
    </w:p>
    <w:p>
      <w:pPr>
        <w:spacing w:after="0" w:line="142" w:lineRule="exact"/>
        <w:rPr>
          <w:rFonts w:ascii="Arial" w:cs="Arial" w:eastAsia="Arial" w:hAnsi="Arial"/>
          <w:sz w:val="16"/>
          <w:szCs w:val="16"/>
          <w:color w:val="auto"/>
        </w:rPr>
      </w:pPr>
    </w:p>
    <w:p>
      <w:pPr>
        <w:jc w:val="both"/>
        <w:ind w:left="980" w:hanging="324"/>
        <w:spacing w:after="0" w:line="250" w:lineRule="auto"/>
        <w:tabs>
          <w:tab w:leader="none" w:pos="1408"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Efficient Capital Structure </w:t>
      </w:r>
      <w:r>
        <w:rPr>
          <w:rFonts w:ascii="Arial" w:cs="Arial" w:eastAsia="Arial" w:hAnsi="Arial"/>
          <w:sz w:val="20"/>
          <w:szCs w:val="20"/>
          <w:color w:val="auto"/>
        </w:rPr>
        <w:t>– Our capital structure is intended to optimize our working capital to finance expansion, both</w:t>
      </w:r>
      <w:r>
        <w:rPr>
          <w:rFonts w:ascii="Arial" w:cs="Arial" w:eastAsia="Arial" w:hAnsi="Arial"/>
          <w:sz w:val="20"/>
          <w:szCs w:val="20"/>
          <w:i w:val="1"/>
          <w:iCs w:val="1"/>
          <w:color w:val="auto"/>
        </w:rPr>
        <w:t xml:space="preserve"> </w:t>
      </w:r>
      <w:r>
        <w:rPr>
          <w:rFonts w:ascii="Arial" w:cs="Arial" w:eastAsia="Arial" w:hAnsi="Arial"/>
          <w:sz w:val="20"/>
          <w:szCs w:val="20"/>
          <w:color w:val="auto"/>
        </w:rPr>
        <w:t>domestically and internationally. We believe our strong capital position, our ability to raise funds, if necessary, at a relatively low effective cost of borrowings, provide a competitive advantage.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believe that, subject to increases in the costs of certain raw materials being contained, these value drivers, when properly implemented in the U.S. and internationally, will result in: (1) improving or maintaining our product gross profit margins; (2) providing additional leverage over time through reduced expenses as a percentage of net operating revenues; and (3) optimizing our cost of capital. The ultimate measure of success is and will be reflected in our current and future results of operations.</w:t>
      </w:r>
    </w:p>
    <w:p>
      <w:pPr>
        <w:sectPr>
          <w:pgSz w:w="11900" w:h="16866" w:orient="portrait"/>
          <w:cols w:equalWidth="0" w:num="1">
            <w:col w:w="11420"/>
          </w:cols>
          <w:pgMar w:left="240" w:top="352" w:right="239" w:bottom="0" w:gutter="0" w:footer="0" w:header="0"/>
        </w:sectPr>
      </w:pPr>
    </w:p>
    <w:bookmarkStart w:id="26" w:name="page27"/>
    <w:bookmarkEnd w:id="26"/>
    <w:p>
      <w:pPr>
        <w:spacing w:after="0" w:line="1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Gross and net sales, gross profits, operating income, net income and net income per share represent key measurements of the above value drivers. These measurements will continue to be a key management focus in 2014 and beyond </w:t>
      </w:r>
      <w:r>
        <w:rPr>
          <w:rFonts w:ascii="Arial" w:cs="Arial" w:eastAsia="Arial" w:hAnsi="Arial"/>
          <w:sz w:val="18"/>
          <w:szCs w:val="18"/>
          <w:b w:val="1"/>
          <w:bCs w:val="1"/>
          <w:color w:val="auto"/>
        </w:rPr>
        <w:t>(</w:t>
      </w:r>
      <w:r>
        <w:rPr>
          <w:rFonts w:ascii="Arial" w:cs="Arial" w:eastAsia="Arial" w:hAnsi="Arial"/>
          <w:sz w:val="18"/>
          <w:szCs w:val="18"/>
          <w:color w:val="auto"/>
        </w:rPr>
        <w:t>See “Part II, Item 7 – Results of Operations – Results of Operations for the Year Ended December 31, 2013 Compared to the Year Ended December 31, 2012”).</w:t>
      </w:r>
    </w:p>
    <w:p>
      <w:pPr>
        <w:spacing w:after="0" w:line="16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As of December 31, 2013, the Company had working capital of $867.0 million compared to $546.5 million as of December 31, 2012. The increase in working capital was primarily the result of retained profits reflected in a combined overall increase in cash, cash equivalents and short-term investments. For the year ended December 31, 2013, our net cash provided by operating activities was approximately $342.0 million as compared to $287.7 million for the year ended December 31, 2012. Principal uses of cash flows in 2013 were purchases of investments, repurchases of our common stock, purchases of inventory, development of our Monster Energy® brand internationally, acquisition of property and equipment (including the Company’s new corporate office) and acquisition of trademarks. These principal uses of cash flows are expected to be and remain our principal recurring use of cash and working capital funds in the future (See “Part II, Item 7 – Liquidity and Capital Resources”).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Opportunities, Challenges and Risks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Looking forward, our management has identified certain challenges and risks for the beverage industry and our Company. Legislation has been proposed and/or adopted at the U.S. state and/or municipal level and proposed and/or adopted in certain foreign jurisdictions to restrict the sale of energy drinks (including prohibiting the sale of energy drinks at certain establishments or pursuant to certain governmental programs), limit caffeine content in beverages, require certain product labeling disclosures and/or warnings, impose taxes, limit product sizes or impose age restrictions for the sale of energy drinks. In addition, articles critical of the caffeine content in energy drinks and their perceived benefits and articles indicating certain health risks of energy drinks have been published. The proposal and/or adoption of such legislation and the publication of such articles, or the future proposal and/or adoption of similar legislation or publication of similar articles, may adversely affect our Company. In addition, uncertainty and volatility in domestic and international economic markets could negatively affect both the stability of our industry and our Company. Furthermore, our growth strategy includes expanding our international business which exposes us to risks inherent in conducting international operations. Decreased consumer discretionary spending also represents a challenge to the successful marketing and sale of our products. Increases in consumer and regulatory awareness of the health problems arising from obesity and inactive lifestyles continue to represent a challenge. We recognize that obesity is a complex and serious public health problem. Our commitment to consumers begins with our broad product line and a wide selection of diet, light and low calorie beverages, juices and juice drinks, waters and energy drinks. We continuously strive to meet changing consumer needs through beverage innovation, choice and variety. (See “Part I, Item 1A – Risk Factors”).</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historical success is attributable, in part, to our introduction of different and innovative beverages which have been positively accepted by consumers. Our future success will depend, in part, upon our continued ability to develop and introduce different and innovative beverages that meet consumer preferences, although there can be no assurance of our ability to do so. In order to retain and expand our market share, we must continue to develop and introduce different and innovative beverages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and be competitive in the areas of quality, method of distribution, brand image and intellectual property protection. The beverage industry is subject to changing consumer preferences that may adversely affect us if we misjudge such preferences.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other key challenges and risks that could impact our Company’s future financial results include, but are not limited to:</w:t>
      </w:r>
    </w:p>
    <w:p>
      <w:pPr>
        <w:spacing w:after="0" w:line="252"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changes in consumer preferences and demand for our products;</w:t>
      </w:r>
    </w:p>
    <w:p>
      <w:pPr>
        <w:spacing w:after="0" w:line="15" w:lineRule="exact"/>
        <w:rPr>
          <w:rFonts w:ascii="Arial" w:cs="Arial" w:eastAsia="Arial" w:hAnsi="Arial"/>
          <w:sz w:val="20"/>
          <w:szCs w:val="20"/>
          <w:color w:val="auto"/>
        </w:rPr>
      </w:pPr>
    </w:p>
    <w:p>
      <w:pPr>
        <w:ind w:left="940" w:hanging="284"/>
        <w:spacing w:after="0"/>
        <w:tabs>
          <w:tab w:leader="none" w:pos="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economic uncertainty in the United States, Europe and other countries in which we operate;</w:t>
      </w:r>
    </w:p>
    <w:p>
      <w:pPr>
        <w:ind w:left="940" w:hanging="284"/>
        <w:spacing w:after="0"/>
        <w:tabs>
          <w:tab w:leader="none" w:pos="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risks associated with foreign currency exchange rate fluctuations;</w:t>
      </w:r>
    </w:p>
    <w:p>
      <w:pPr>
        <w:ind w:left="940" w:hanging="284"/>
        <w:spacing w:after="0"/>
        <w:tabs>
          <w:tab w:leader="none" w:pos="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maintenance of our brand image and product quality;</w:t>
      </w:r>
    </w:p>
    <w:p>
      <w:pPr>
        <w:ind w:left="940" w:hanging="284"/>
        <w:spacing w:after="0"/>
        <w:tabs>
          <w:tab w:leader="none" w:pos="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increasing concern over obesity and changes in regulation and consumer preferences in response to those concerns;</w:t>
      </w:r>
    </w:p>
    <w:p>
      <w:pPr>
        <w:ind w:left="980" w:hanging="324"/>
        <w:spacing w:after="0" w:line="239" w:lineRule="auto"/>
        <w:tabs>
          <w:tab w:leader="none" w:pos="1381"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increasing concern over caffeine consumption and energy drinks generally and possible related regulation of our products containing caffeine;</w:t>
      </w:r>
    </w:p>
    <w:p>
      <w:pPr>
        <w:spacing w:after="0" w:line="1" w:lineRule="exact"/>
        <w:rPr>
          <w:rFonts w:ascii="Arial" w:cs="Arial" w:eastAsia="Arial" w:hAnsi="Arial"/>
          <w:sz w:val="20"/>
          <w:szCs w:val="20"/>
          <w:color w:val="auto"/>
        </w:rPr>
      </w:pPr>
    </w:p>
    <w:p>
      <w:pPr>
        <w:ind w:left="980" w:hanging="324"/>
        <w:spacing w:after="0" w:line="239" w:lineRule="auto"/>
        <w:tabs>
          <w:tab w:leader="none" w:pos="1313"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profitable expansion and growth of our family of brands in the competitive market place (See “Part I, Item 1 – Business – Competition” and “Part I, Item 1 – Sales and Marketing”);</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costs of establishing and promoting our brands internationally;</w:t>
      </w:r>
    </w:p>
    <w:p>
      <w:pPr>
        <w:ind w:left="940" w:hanging="284"/>
        <w:spacing w:after="0"/>
        <w:tabs>
          <w:tab w:leader="none" w:pos="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restrictions on imports and sources of supply; duties or tariffs; and changes in government regulations;</w:t>
      </w:r>
    </w:p>
    <w:p>
      <w:pPr>
        <w:ind w:left="980" w:hanging="324"/>
        <w:spacing w:after="0" w:line="239" w:lineRule="auto"/>
        <w:tabs>
          <w:tab w:leader="none" w:pos="111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protection of our existing intellectual property portfolio of trademarks and copyrights and the continuous pursuit to develop and protect new and innovative trademarks and copyrights for our expanding product lines;</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available quantities of certain package containers such as the 24-ounce cap-can and co-packing availability; and</w:t>
      </w:r>
    </w:p>
    <w:p>
      <w:pPr>
        <w:spacing w:after="0" w:line="22" w:lineRule="exact"/>
        <w:rPr>
          <w:rFonts w:ascii="Arial" w:cs="Arial" w:eastAsia="Arial" w:hAnsi="Arial"/>
          <w:sz w:val="18"/>
          <w:szCs w:val="18"/>
          <w:color w:val="auto"/>
        </w:rPr>
      </w:pPr>
    </w:p>
    <w:p>
      <w:pPr>
        <w:ind w:left="980" w:hanging="324"/>
        <w:spacing w:after="0" w:line="298" w:lineRule="auto"/>
        <w:tabs>
          <w:tab w:leader="none" w:pos="1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additional regulation, including regulation restricting the sale of energy drinks, limiting caffeine content in beverages, requiring product labeling and/or warnings, imposing excise taxes and/or sales taxes, and/or limiting product size.</w:t>
      </w:r>
    </w:p>
    <w:p>
      <w:pPr>
        <w:spacing w:after="0" w:line="159" w:lineRule="exact"/>
        <w:rPr>
          <w:sz w:val="20"/>
          <w:szCs w:val="20"/>
          <w:color w:val="auto"/>
        </w:rPr>
      </w:pPr>
    </w:p>
    <w:p>
      <w:pPr>
        <w:ind w:left="980"/>
        <w:spacing w:after="0"/>
        <w:rPr>
          <w:sz w:val="20"/>
          <w:szCs w:val="20"/>
          <w:color w:val="auto"/>
        </w:rPr>
      </w:pPr>
      <w:r>
        <w:rPr>
          <w:rFonts w:ascii="Arial" w:cs="Arial" w:eastAsia="Arial" w:hAnsi="Arial"/>
          <w:sz w:val="20"/>
          <w:szCs w:val="20"/>
          <w:color w:val="auto"/>
        </w:rPr>
        <w:t>See “Part I, Item 1A – Risk Factors” for additional information about risks and uncertainties facing our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that the following opportunities exist for us:</w:t>
      </w:r>
    </w:p>
    <w:p>
      <w:pPr>
        <w:spacing w:after="0" w:line="229"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growth potential of the energy drink category, both domestically and internationally;</w:t>
      </w:r>
    </w:p>
    <w:p>
      <w:pPr>
        <w:spacing w:after="0" w:line="15" w:lineRule="exact"/>
        <w:rPr>
          <w:rFonts w:ascii="Arial" w:cs="Arial" w:eastAsia="Arial" w:hAnsi="Arial"/>
          <w:sz w:val="20"/>
          <w:szCs w:val="20"/>
          <w:color w:val="auto"/>
        </w:rPr>
      </w:pPr>
    </w:p>
    <w:p>
      <w:pPr>
        <w:ind w:left="980" w:hanging="324"/>
        <w:spacing w:after="0" w:line="239" w:lineRule="auto"/>
        <w:tabs>
          <w:tab w:leader="none" w:pos="1110" w:val="left"/>
        </w:tabs>
        <w:numPr>
          <w:ilvl w:val="0"/>
          <w:numId w:val="16"/>
        </w:numPr>
        <w:rPr>
          <w:rFonts w:ascii="Arial" w:cs="Arial" w:eastAsia="Arial" w:hAnsi="Arial"/>
          <w:sz w:val="20"/>
          <w:szCs w:val="20"/>
          <w:color w:val="auto"/>
        </w:rPr>
      </w:pPr>
      <w:r>
        <w:rPr>
          <w:rFonts w:ascii="Arial" w:cs="Arial" w:eastAsia="Arial" w:hAnsi="Arial"/>
          <w:sz w:val="20"/>
          <w:szCs w:val="20"/>
          <w:color w:val="auto"/>
        </w:rPr>
        <w:t>growth potential of other segments of the “alternative” beverage category including sparkling beverages, carbonated soft drinks, ready-to-drink iced teas, juice drinks and protein drinks;</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planned and future new product and product line introductions with the objective of contributing to higher profitability;</w:t>
      </w:r>
    </w:p>
    <w:p>
      <w:pPr>
        <w:sectPr>
          <w:pgSz w:w="11900" w:h="16856" w:orient="portrait"/>
          <w:cols w:equalWidth="0" w:num="1">
            <w:col w:w="11420"/>
          </w:cols>
          <w:pgMar w:left="240" w:top="352" w:right="239" w:bottom="0" w:gutter="0" w:footer="0" w:header="0"/>
        </w:sectPr>
      </w:pPr>
    </w:p>
    <w:bookmarkStart w:id="27" w:name="page28"/>
    <w:bookmarkEnd w:id="27"/>
    <w:p>
      <w:pPr>
        <w:spacing w:after="0" w:line="100"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introduction of premium packages designed to generate strong revenue growth;</w:t>
      </w:r>
    </w:p>
    <w:p>
      <w:pPr>
        <w:spacing w:after="0" w:line="16" w:lineRule="exact"/>
        <w:rPr>
          <w:rFonts w:ascii="Arial" w:cs="Arial" w:eastAsia="Arial" w:hAnsi="Arial"/>
          <w:sz w:val="20"/>
          <w:szCs w:val="20"/>
          <w:color w:val="auto"/>
        </w:rPr>
      </w:pPr>
    </w:p>
    <w:p>
      <w:pPr>
        <w:ind w:left="940" w:hanging="284"/>
        <w:spacing w:after="0"/>
        <w:tabs>
          <w:tab w:leader="none" w:pos="9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significant package, pricing and channel opportunities to increase profitable growth;</w:t>
      </w:r>
    </w:p>
    <w:p>
      <w:pPr>
        <w:ind w:left="940" w:hanging="284"/>
        <w:spacing w:after="0"/>
        <w:tabs>
          <w:tab w:leader="none" w:pos="9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effective strategic positioning to capitalize on industry growth;</w:t>
      </w:r>
    </w:p>
    <w:p>
      <w:pPr>
        <w:ind w:left="940" w:hanging="284"/>
        <w:spacing w:after="0"/>
        <w:tabs>
          <w:tab w:leader="none" w:pos="9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broadening distribution/expansion opportunities in both domestic and international markets;</w:t>
      </w:r>
    </w:p>
    <w:p>
      <w:pPr>
        <w:ind w:left="940" w:hanging="284"/>
        <w:spacing w:after="0"/>
        <w:tabs>
          <w:tab w:leader="none" w:pos="9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launching our products into new geographic markets; and</w:t>
      </w:r>
    </w:p>
    <w:p>
      <w:pPr>
        <w:ind w:left="940" w:hanging="284"/>
        <w:spacing w:after="0"/>
        <w:tabs>
          <w:tab w:leader="none" w:pos="9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continued focus on reducing our cost base.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24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Percentage Change</w:t>
            </w:r>
          </w:p>
        </w:tc>
        <w:tc>
          <w:tcPr>
            <w:tcW w:w="0" w:type="dxa"/>
            <w:vAlign w:val="bottom"/>
          </w:tcPr>
          <w:p>
            <w:pPr>
              <w:spacing w:after="0"/>
              <w:rPr>
                <w:sz w:val="1"/>
                <w:szCs w:val="1"/>
                <w:color w:val="auto"/>
              </w:rPr>
            </w:pPr>
          </w:p>
        </w:tc>
      </w:tr>
      <w:tr>
        <w:trPr>
          <w:trHeight w:val="210"/>
        </w:trPr>
        <w:tc>
          <w:tcPr>
            <w:tcW w:w="4040" w:type="dxa"/>
            <w:vAlign w:val="bottom"/>
            <w:vMerge w:val="restart"/>
          </w:tcPr>
          <w:p>
            <w:pPr>
              <w:spacing w:after="0"/>
              <w:rPr>
                <w:sz w:val="20"/>
                <w:szCs w:val="20"/>
                <w:color w:val="auto"/>
              </w:rPr>
            </w:pPr>
            <w:r>
              <w:rPr>
                <w:rFonts w:ascii="Arial" w:cs="Arial" w:eastAsia="Arial" w:hAnsi="Arial"/>
                <w:sz w:val="18"/>
                <w:szCs w:val="18"/>
                <w:color w:val="auto"/>
              </w:rPr>
              <w:t>Gross sales, net of discounts &amp; returns*</w:t>
            </w:r>
          </w:p>
        </w:tc>
        <w:tc>
          <w:tcPr>
            <w:tcW w:w="3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13 vs. 12</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12 vs. 11</w:t>
            </w:r>
          </w:p>
        </w:tc>
        <w:tc>
          <w:tcPr>
            <w:tcW w:w="0" w:type="dxa"/>
            <w:vAlign w:val="bottom"/>
          </w:tcPr>
          <w:p>
            <w:pPr>
              <w:spacing w:after="0"/>
              <w:rPr>
                <w:sz w:val="1"/>
                <w:szCs w:val="1"/>
                <w:color w:val="auto"/>
              </w:rPr>
            </w:pPr>
          </w:p>
        </w:tc>
      </w:tr>
      <w:tr>
        <w:trPr>
          <w:trHeight w:val="195"/>
        </w:trPr>
        <w:tc>
          <w:tcPr>
            <w:tcW w:w="4040" w:type="dxa"/>
            <w:vAlign w:val="bottom"/>
            <w:vMerge w:val="continue"/>
          </w:tcPr>
          <w:p>
            <w:pPr>
              <w:spacing w:after="0"/>
              <w:rPr>
                <w:sz w:val="16"/>
                <w:szCs w:val="16"/>
                <w:color w:val="auto"/>
              </w:rPr>
            </w:pPr>
          </w:p>
        </w:tc>
        <w:tc>
          <w:tcPr>
            <w:tcW w:w="36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2,586,531</w:t>
            </w:r>
          </w:p>
        </w:tc>
        <w:tc>
          <w:tcPr>
            <w:tcW w:w="200" w:type="dxa"/>
            <w:vAlign w:val="bottom"/>
          </w:tcPr>
          <w:p>
            <w:pPr>
              <w:spacing w:after="0"/>
              <w:rPr>
                <w:sz w:val="16"/>
                <w:szCs w:val="16"/>
                <w:color w:val="auto"/>
              </w:rPr>
            </w:pPr>
          </w:p>
        </w:tc>
        <w:tc>
          <w:tcPr>
            <w:tcW w:w="36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2,373,499</w:t>
            </w:r>
          </w:p>
        </w:tc>
        <w:tc>
          <w:tcPr>
            <w:tcW w:w="200" w:type="dxa"/>
            <w:vAlign w:val="bottom"/>
          </w:tcPr>
          <w:p>
            <w:pPr>
              <w:spacing w:after="0"/>
              <w:rPr>
                <w:sz w:val="16"/>
                <w:szCs w:val="16"/>
                <w:color w:val="auto"/>
              </w:rPr>
            </w:pPr>
          </w:p>
        </w:tc>
        <w:tc>
          <w:tcPr>
            <w:tcW w:w="36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1,950,490</w:t>
            </w:r>
          </w:p>
        </w:tc>
        <w:tc>
          <w:tcPr>
            <w:tcW w:w="20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9.0%</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Less: Promotional and other allowances**</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340,103</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312,797</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247,260</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95"/>
        </w:trPr>
        <w:tc>
          <w:tcPr>
            <w:tcW w:w="4040" w:type="dxa"/>
            <w:vAlign w:val="bottom"/>
          </w:tcPr>
          <w:p>
            <w:pPr>
              <w:spacing w:after="0" w:line="195" w:lineRule="exact"/>
              <w:rPr>
                <w:sz w:val="20"/>
                <w:szCs w:val="20"/>
                <w:color w:val="auto"/>
              </w:rPr>
            </w:pPr>
            <w:r>
              <w:rPr>
                <w:rFonts w:ascii="Arial" w:cs="Arial" w:eastAsia="Arial" w:hAnsi="Arial"/>
                <w:sz w:val="18"/>
                <w:szCs w:val="18"/>
                <w:color w:val="auto"/>
              </w:rPr>
              <w:t>Net sales</w:t>
            </w:r>
          </w:p>
        </w:tc>
        <w:tc>
          <w:tcPr>
            <w:tcW w:w="36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2,246,428</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2,060,702</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1,703,230</w:t>
            </w:r>
          </w:p>
        </w:tc>
        <w:tc>
          <w:tcPr>
            <w:tcW w:w="20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9.0%</w:t>
            </w:r>
          </w:p>
        </w:tc>
        <w:tc>
          <w:tcPr>
            <w:tcW w:w="22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1,073,497</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995,046</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808,921</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95"/>
        </w:trPr>
        <w:tc>
          <w:tcPr>
            <w:tcW w:w="4040" w:type="dxa"/>
            <w:vAlign w:val="bottom"/>
          </w:tcPr>
          <w:p>
            <w:pPr>
              <w:spacing w:after="0" w:line="195" w:lineRule="exact"/>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1,172,931</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1,065,656</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894,309</w:t>
            </w:r>
          </w:p>
        </w:tc>
        <w:tc>
          <w:tcPr>
            <w:tcW w:w="20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Gross profit as a percentage of net sales</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600,015</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515,033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437,886</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Operating expenses as a percentage of net sales</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572,916</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550,623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456,423</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Other (expense) income:</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(11,737)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1,619</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420.3%</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Gain (loss) on investments and put option, net</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2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4"/>
        </w:trPr>
        <w:tc>
          <w:tcPr>
            <w:tcW w:w="4040" w:type="dxa"/>
            <w:vAlign w:val="bottom"/>
          </w:tcPr>
          <w:p>
            <w:pPr>
              <w:ind w:left="360"/>
              <w:spacing w:after="0"/>
              <w:rPr>
                <w:sz w:val="20"/>
                <w:szCs w:val="20"/>
                <w:color w:val="auto"/>
              </w:rPr>
            </w:pPr>
            <w:r>
              <w:rPr>
                <w:rFonts w:ascii="Arial" w:cs="Arial" w:eastAsia="Arial" w:hAnsi="Arial"/>
                <w:sz w:val="18"/>
                <w:szCs w:val="18"/>
                <w:color w:val="auto"/>
              </w:rPr>
              <w:t>Total other (expense) income</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(9,022)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563,894</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549,154</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457,270</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225,233</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209,134</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171,051</w:t>
            </w:r>
          </w:p>
        </w:tc>
        <w:tc>
          <w:tcPr>
            <w:tcW w:w="2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426"/>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338,661</w:t>
            </w:r>
          </w:p>
        </w:tc>
        <w:tc>
          <w:tcPr>
            <w:tcW w:w="200" w:type="dxa"/>
            <w:vAlign w:val="bottom"/>
          </w:tcPr>
          <w:p>
            <w:pPr>
              <w:spacing w:after="0"/>
              <w:rPr>
                <w:sz w:val="24"/>
                <w:szCs w:val="24"/>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340,020</w:t>
            </w:r>
          </w:p>
        </w:tc>
        <w:tc>
          <w:tcPr>
            <w:tcW w:w="200" w:type="dxa"/>
            <w:vAlign w:val="bottom"/>
          </w:tcPr>
          <w:p>
            <w:pPr>
              <w:spacing w:after="0"/>
              <w:rPr>
                <w:sz w:val="24"/>
                <w:szCs w:val="24"/>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286,219</w:t>
            </w:r>
          </w:p>
        </w:tc>
        <w:tc>
          <w:tcPr>
            <w:tcW w:w="2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Net income as a percentage of net sales</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4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Case sales (in thousands) (in 192-ounce case</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equivalents)</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221,348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202,918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164,661</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 (See “Part II, Item 6 – Selected Financial Data”).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jc w:val="both"/>
        <w:ind w:firstLine="8"/>
        <w:spacing w:after="0" w:line="303" w:lineRule="auto"/>
        <w:tabs>
          <w:tab w:leader="none" w:pos="207"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w:t>
      </w:r>
    </w:p>
    <w:p>
      <w:pPr>
        <w:spacing w:after="0" w:line="1" w:lineRule="exact"/>
        <w:rPr>
          <w:rFonts w:ascii="Arial" w:cs="Arial" w:eastAsia="Arial" w:hAnsi="Arial"/>
          <w:sz w:val="14"/>
          <w:szCs w:val="14"/>
          <w:i w:val="1"/>
          <w:iCs w:val="1"/>
          <w:color w:val="auto"/>
        </w:rPr>
      </w:pPr>
    </w:p>
    <w:p>
      <w:pPr>
        <w:jc w:val="both"/>
        <w:spacing w:after="0" w:line="312" w:lineRule="auto"/>
        <w:rPr>
          <w:rFonts w:ascii="Arial" w:cs="Arial" w:eastAsia="Arial" w:hAnsi="Arial"/>
          <w:sz w:val="14"/>
          <w:szCs w:val="14"/>
          <w:i w:val="1"/>
          <w:iCs w:val="1"/>
          <w:color w:val="auto"/>
        </w:rPr>
      </w:pPr>
      <w:r>
        <w:rPr>
          <w:rFonts w:ascii="Arial" w:cs="Arial" w:eastAsia="Arial" w:hAnsi="Arial"/>
          <w:sz w:val="14"/>
          <w:szCs w:val="14"/>
          <w:i w:val="1"/>
          <w:iCs w:val="1"/>
          <w:color w:val="auto"/>
        </w:rPr>
        <w:t>(i) discounts granted off list prices to support price promotions to end-consumers by retailers; (ii) reimbursements given to the Company’s distributors for agreed portions of their promotional spend with retailers, including slotting, shelf space allowances and other fees for both new and existing products; (iii) the Company’s agreed share of fees given to distributors and/or directly to retailers for advertising, in-store marketing and promotional activities; (iv) the Company’s agreed share of slotting, shelf space allowances and other fees given directly to retailers; (v) incentives given to the Company’s distributors and/or retailers for achieving or exceeding certain predetermined sales goals; (vi) discounted or free products; (vii) contractual fees given to the Company’s distributors related to sales made by the Company direct to certain customers that fall within the 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w:t>
      </w:r>
    </w:p>
    <w:p>
      <w:pPr>
        <w:sectPr>
          <w:pgSz w:w="11900" w:h="16938" w:orient="portrait"/>
          <w:cols w:equalWidth="0" w:num="1">
            <w:col w:w="11420"/>
          </w:cols>
          <w:pgMar w:left="240" w:top="121" w:right="239" w:bottom="0" w:gutter="0" w:footer="0" w:header="0"/>
        </w:sectPr>
      </w:pPr>
    </w:p>
    <w:bookmarkStart w:id="28" w:name="page29"/>
    <w:bookmarkEnd w:id="28"/>
    <w:p>
      <w:pPr>
        <w:jc w:val="both"/>
        <w:spacing w:after="0" w:line="369" w:lineRule="auto"/>
        <w:rPr>
          <w:sz w:val="20"/>
          <w:szCs w:val="20"/>
          <w:color w:val="auto"/>
        </w:rPr>
      </w:pPr>
      <w:r>
        <w:rPr>
          <w:rFonts w:ascii="Arial" w:cs="Arial" w:eastAsia="Arial" w:hAnsi="Arial"/>
          <w:sz w:val="14"/>
          <w:szCs w:val="14"/>
          <w:i w:val="1"/>
          <w:iCs w:val="1"/>
          <w:color w:val="auto"/>
        </w:rPr>
        <w:t>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1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 Ended December 31, 2013 Compared to the Year Ended December 31, 2012.</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$2,586.5 million for the year ended December 31, 2013, an increase of approximately $213.0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9.0% higher than gross sales of $2,373.5 million for the year ended December 31, 2012. The increase in the gross sales of our Monster Energy® brand energy drinks represented approximately $207.4 million, or 97.4%, of the overall increase in gross sales. Gross sales of our Monster Energy® brand energy drinks increased primarily due to increased sales by volume as a result of increased domestic and international demand as well as our expansion into new international markets. The increase in gross sales of our Hubert’s® lemonades represented approximately $10.5 million, or 4.9%, of the overall increase in gross sales. Gross sales of our Hubert’s® lemonades increased primarily due to increased sales by volume as a result of increased distribution and increased domestic demand. Pricing changes did not have a material impact on the increase in gross sales. No other individual product line contributed either a material increase or decrease to gross sales for the year ended December 31, 2013. Promotional and other allowances, as described in the footnote above, were $340.1 million for the year ended December 31, 2013, an increase of $27.3 million, or 8.7% higher than promotional and other allowances of $312.8 million for the year ended December 31, 2012. Promotional and other allowances as a percentage of gross sales increased to 13.1% from 13.2% for the years ended December 31, 2013 and 2012, respectively.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Collective changes in foreign currency exchange rates did not have a material impact on gross sales for the year ended December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2013.</w:t>
      </w:r>
    </w:p>
    <w:p>
      <w:pPr>
        <w:spacing w:after="0" w:line="213" w:lineRule="exact"/>
        <w:rPr>
          <w:sz w:val="20"/>
          <w:szCs w:val="20"/>
          <w:color w:val="auto"/>
        </w:rPr>
      </w:pPr>
    </w:p>
    <w:p>
      <w:pPr>
        <w:jc w:val="both"/>
        <w:ind w:firstLine="687"/>
        <w:spacing w:after="0" w:line="27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$2,246.4 million for the year ended December 31, 2013, an increase of approximately $185.7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9.0% higher than net sales of $2,060.7 million for the year ended December 31, 2012. The increase in net sales of our Monster Energy® brand energy drinks represented approximately $177.5 million, or 95.6%, of the overall increase in net sales. Net sales of our Monster Energy® brand energy drinks increased primarily due to increased sales by volume as a result of increased domestic and international demand as well as our expansion into new international markets. The increase in net sales of our Hubert’s® lemonades represented approximately $8.4 million, or 4.5%, of the overall increase in net sales. Net sales of our Hubert’s® lemonades increased primarily due to increased sales by volume as a result of increased distribution and increased domestic demand. Pricing changes did not have a material impact on the increase in net sales. No other individual product line contributed either a material increase or decrease to net sales for the year ended December 31, 2013.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Collective changes in foreign currency exchange rates did not have a material impact on net sales for the year ended December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2013.</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Case sales, in 192-ounce case equivalents, were 221.3 million cases for the year ended December 31, 2013, an increase of approximately 18.4 million cases or 9.1% higher than case sales of 202.9 million cases for the year ended December 31, 2012. The overall average net sales per case decreased to $10.15 for the year ended December 31, 2013, which was 0.1% lower than the average net sales per case of $10.16 for the year ended December 31, 2012.</w:t>
      </w:r>
    </w:p>
    <w:p>
      <w:pPr>
        <w:spacing w:after="0" w:line="205" w:lineRule="exact"/>
        <w:rPr>
          <w:sz w:val="20"/>
          <w:szCs w:val="20"/>
          <w:color w:val="auto"/>
        </w:rPr>
      </w:pPr>
    </w:p>
    <w:p>
      <w:pPr>
        <w:jc w:val="both"/>
        <w:ind w:firstLine="687"/>
        <w:spacing w:after="0" w:line="258" w:lineRule="auto"/>
        <w:rPr>
          <w:sz w:val="20"/>
          <w:szCs w:val="20"/>
          <w:color w:val="auto"/>
        </w:rPr>
      </w:pPr>
      <w:r>
        <w:rPr>
          <w:rFonts w:ascii="Arial" w:cs="Arial" w:eastAsia="Arial" w:hAnsi="Arial"/>
          <w:sz w:val="19"/>
          <w:szCs w:val="19"/>
          <w:color w:val="auto"/>
        </w:rPr>
        <w:t>Net sales for the DSD segment were $2,147.4 million for the year ended December 31, 2013, an increase of approximately $180.9 million, or 9.2% higher than net sales of $1,966.5 million for the year ended December 31, 2012. The increase in net sales of our Monster Energy® brand energy drinks represented approximately $177.5 million, or 98.1%, of the overall increase in net sales for the DSD segment. Net sales for the DSD segment of our Monster Energy® brand energy drinks increased primarily due to increased sales by volume as a result of increased domestic and international demand as well as our expansion into new international markets. Pricing changes did not have a material impact on the increase in net sales for the DSD segment. No other individual product line contributed either a material increase or decrease to net sales for the DSD segment for the year ended December 31, 2013.</w:t>
      </w:r>
    </w:p>
    <w:p>
      <w:pPr>
        <w:spacing w:after="0" w:line="1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Net sales for the Warehouse segment were $99.1 million for the year ended December 31, 2013, an increase of approximately $4.9 million, or 5.1% higher than net sales of $94.2 million for the year ended December 31, 2012. The increase in net sales for the Warehouse segment was primarily attributable to increased sales by volume of Hubert’s® lemonades. The increase in net sales for the Warehouse segment was partially offset by decreased sales by volume of Hansen’s® soda.</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Gross Profit. </w:t>
      </w:r>
      <w:r>
        <w:rPr>
          <w:rFonts w:ascii="Arial" w:cs="Arial" w:eastAsia="Arial" w:hAnsi="Arial"/>
          <w:sz w:val="20"/>
          <w:szCs w:val="20"/>
          <w:color w:val="auto"/>
        </w:rPr>
        <w:t>Gross profit was $1,172.9 million for the year ended December 31, 2013, an increase of approximately $107.3 million, or</w:t>
      </w:r>
      <w:r>
        <w:rPr>
          <w:rFonts w:ascii="Arial" w:cs="Arial" w:eastAsia="Arial" w:hAnsi="Arial"/>
          <w:sz w:val="20"/>
          <w:szCs w:val="20"/>
          <w:i w:val="1"/>
          <w:iCs w:val="1"/>
          <w:color w:val="auto"/>
        </w:rPr>
        <w:t xml:space="preserve"> </w:t>
      </w:r>
      <w:r>
        <w:rPr>
          <w:rFonts w:ascii="Arial" w:cs="Arial" w:eastAsia="Arial" w:hAnsi="Arial"/>
          <w:sz w:val="20"/>
          <w:szCs w:val="20"/>
          <w:color w:val="auto"/>
        </w:rPr>
        <w:t>10.1% higher than the gross profit of $1,065.7 million for the year ended December 31, 2012. Gross profit as a percentage of net sales increased to 52.2% for the year ended December 31, 2013 from 51.7% for the year ended December 31, 2012. The increase in gross profit dollars was primarily the result of the $207.4 million increase in gross sales of our Monster Energy® brand energy drinks. The increase in gross profit as a percentage of net sales was largely attributable to changes in product sales mix as well as a reduction in the cost of certain containers.</w:t>
      </w:r>
    </w:p>
    <w:p>
      <w:pPr>
        <w:spacing w:after="0" w:line="21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$600.0 million for the year ended December 31, 2013,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$85.0 million, or 16.5% higher than total operating expenses of $515.0 million for the year ended December 31, 2012. The increase in operating expenses was partially attributable to increased expenditures of $19.4 million for professional service costs, including legal and accounting fees (of which $15.9 million related to regulatory matters and litigation concerning our Monster Energy® brand energy drinks), increased payroll expenses of $13.7 million (of which $0.4 million was related to an increase in stock-based compensation), increased</w:t>
      </w:r>
    </w:p>
    <w:p>
      <w:pPr>
        <w:sectPr>
          <w:pgSz w:w="11900" w:h="16838" w:orient="portrait"/>
          <w:cols w:equalWidth="0" w:num="1">
            <w:col w:w="11420"/>
          </w:cols>
          <w:pgMar w:left="240" w:top="130" w:right="239" w:bottom="0" w:gutter="0" w:footer="0" w:header="0"/>
        </w:sectPr>
      </w:pPr>
    </w:p>
    <w:bookmarkStart w:id="29" w:name="page30"/>
    <w:bookmarkEnd w:id="29"/>
    <w:p>
      <w:pPr>
        <w:spacing w:after="0" w:line="4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out-bound freight and warehouse costs of $11.9 million, increased expenditures of $9.3 million relating to the costs associated with terminating existing distributors, increased expenditures of $7.3 million for sponsorships and endorsements and increased expenditures of $5.2 million for merchandise displays. Total operating expenses as a percentage of net sales was 26.7% for the year ended December 31, 2013, compared to 25.0% for the year ended December 31, 2012.</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Contribution Margin. </w:t>
      </w:r>
      <w:r>
        <w:rPr>
          <w:rFonts w:ascii="Arial" w:cs="Arial" w:eastAsia="Arial" w:hAnsi="Arial"/>
          <w:sz w:val="20"/>
          <w:szCs w:val="20"/>
          <w:color w:val="auto"/>
        </w:rPr>
        <w:t>Contribution margin for the DSD segment was $726.8 million for the year ended December 31, 2013, an</w:t>
      </w:r>
      <w:r>
        <w:rPr>
          <w:rFonts w:ascii="Arial" w:cs="Arial" w:eastAsia="Arial" w:hAnsi="Arial"/>
          <w:sz w:val="20"/>
          <w:szCs w:val="20"/>
          <w:i w:val="1"/>
          <w:iCs w:val="1"/>
          <w:color w:val="auto"/>
        </w:rPr>
        <w:t xml:space="preserve"> </w:t>
      </w:r>
      <w:r>
        <w:rPr>
          <w:rFonts w:ascii="Arial" w:cs="Arial" w:eastAsia="Arial" w:hAnsi="Arial"/>
          <w:sz w:val="20"/>
          <w:szCs w:val="20"/>
          <w:color w:val="auto"/>
        </w:rPr>
        <w:t>increase of approximately $66.2 million, or 10.0% higher than the contribution margin of $660.6 million for the year ended December 31, 2012. The increase in the contribution margin for the DSD segment was primarily the result of the $207.4 million increase in gross sales of our Monster Energy® brand energy drinks. Contribution margin for the Warehouse segment was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($1.7) million for the year ended December 31, 2013, approximately $5.2 million lower than the contribution margin of $3.5 million for the year ended December 31, 2012. The decrease in the contribution margin for the Warehouse segment was primarily attributable to increased promotional and other allowances as well as increased operating expenses.</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$572.9 million for the year ended December 31, 2013, an increase of approximately $22.3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4.0% higher than operating income of $550.6 million for the year ended December 31, 2012. Operating income as a percentage of net sales decreased to 25.5% for the year ended December 31, 2013 from 26.7% for the year ended December 31, 2012, primarily due to the increase in operating expenses as a percentage of net sales. The increase in operating income dollars was primarily due to an increase in gross profit of $107.3 million, partially offset by an $85.0 million increase in operating expenses. Operating income was negatively affected by combined operating losses of $12.9 million and $10.1 million for the years ended December 31, 2013 and 2012, respectively, in relation to our operations in Africa, Asia, Australia, Europe, the Middle East and South America.</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Other (Expense) Income</w:t>
      </w:r>
      <w:r>
        <w:rPr>
          <w:rFonts w:ascii="Arial" w:cs="Arial" w:eastAsia="Arial" w:hAnsi="Arial"/>
          <w:sz w:val="20"/>
          <w:szCs w:val="20"/>
          <w:color w:val="auto"/>
        </w:rPr>
        <w:t>. Other (expense) was ($9.0) million for the year ended December 31, 2013, as compared to other (expense) of</w:t>
      </w:r>
      <w:r>
        <w:rPr>
          <w:rFonts w:ascii="Arial" w:cs="Arial" w:eastAsia="Arial" w:hAnsi="Arial"/>
          <w:sz w:val="20"/>
          <w:szCs w:val="20"/>
          <w:i w:val="1"/>
          <w:iCs w:val="1"/>
          <w:color w:val="auto"/>
        </w:rPr>
        <w:t xml:space="preserve"> </w:t>
      </w:r>
      <w:r>
        <w:rPr>
          <w:rFonts w:ascii="Arial" w:cs="Arial" w:eastAsia="Arial" w:hAnsi="Arial"/>
          <w:sz w:val="20"/>
          <w:szCs w:val="20"/>
          <w:color w:val="auto"/>
        </w:rPr>
        <w:t>($1.5) million for the year ended December 31, 2012. Foreign currency transaction losses were $12.9 million and $3.7 million for the years ended December 31, 2013 and 2012, respectively. The increase in foreign currency losses during the year ended December 31, 2013 was primarily related to our operations in Australia, Europe, Japan and South Africa. Interest income was $1.0 million and $1.4 million for the years ended December 31, 2013 and 2012, respectively.</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Provision for Income Taxes</w:t>
      </w:r>
      <w:r>
        <w:rPr>
          <w:rFonts w:ascii="Arial" w:cs="Arial" w:eastAsia="Arial" w:hAnsi="Arial"/>
          <w:sz w:val="20"/>
          <w:szCs w:val="20"/>
          <w:color w:val="auto"/>
        </w:rPr>
        <w:t>. Provision for income taxes was $225.2 million for the year ended December 31, 2013, an increase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$16.1 million or 7.7% higher than the provision for income taxes of $209.1 million for year ended December 31, 2012. The effective combined federal, state and foreign tax rate increased to 39.9% from 38.1% for the years ended December 31, 2013 and 2012, respectively. The increase in the effective tax rate during the year ended December 31, 2013 was primarily the result of the impact of increased losses in certain foreign subsidiaries for which there is no tax benefit and the establishment of a full valuation allowance against the deferred tax assets of certain foreign subsidiaries.</w:t>
      </w:r>
    </w:p>
    <w:p>
      <w:pPr>
        <w:spacing w:after="0" w:line="2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Net Income</w:t>
      </w:r>
      <w:r>
        <w:rPr>
          <w:rFonts w:ascii="Arial" w:cs="Arial" w:eastAsia="Arial" w:hAnsi="Arial"/>
          <w:sz w:val="19"/>
          <w:szCs w:val="19"/>
          <w:color w:val="auto"/>
        </w:rPr>
        <w:t>. Net income was $338.7 million for the year ended December 31, 2013, a decrease of $1.4 million or 0.4% lower than net</w:t>
      </w:r>
      <w:r>
        <w:rPr>
          <w:rFonts w:ascii="Arial" w:cs="Arial" w:eastAsia="Arial" w:hAnsi="Arial"/>
          <w:sz w:val="19"/>
          <w:szCs w:val="19"/>
          <w:i w:val="1"/>
          <w:iCs w:val="1"/>
          <w:color w:val="auto"/>
        </w:rPr>
        <w:t xml:space="preserve"> </w:t>
      </w:r>
      <w:r>
        <w:rPr>
          <w:rFonts w:ascii="Arial" w:cs="Arial" w:eastAsia="Arial" w:hAnsi="Arial"/>
          <w:sz w:val="19"/>
          <w:szCs w:val="19"/>
          <w:color w:val="auto"/>
        </w:rPr>
        <w:t>income of $340.0 million for the year ended December 31, 2012. The decrease in net income was partially attributable to: (i) an increase in professional service costs of $15.9 million related to regulatory matters and litigation concerning the advertising, marketing, promotion, ingredients, usage, safety and sale of our Monster Energy® brand energy drinks; (ii) an increase in expenditures attributable to the costs associated with terminating existing distributors of $9.3 million; (iii) an increase in foreign currency losses of $9.2 million primarily related to our operations in Australia, Europe, Japan and South Africa; and (iv) an increase in the effective combined federal, state and foreign tax rate from 38.1% to 39.9% due in part to a $4.7 million increase in the impact of both existing and newly established valuation allowances against the deferred tax assets of certain foreign subsidiaries.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 Ended December 31, 2012 Compared to the Year Ended December 31, 2011.</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$2,373.5 million for the year ended December 31, 2012, an increase of approximately $423.0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21.7% higher than gross sales of $1,950.5 million for the year ended December 31, 2011. The increase in the gross sales of our Monster Energy® brand energy drinks represented approximately $416.3 million, or 98.4%, of the overall increase in gross sales. Gross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gross sales. No other individual product line contributed either a material increase or decrease to gross sales for the year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ended December 31, 2012. Promotional and other allowances, as described in the footnote above, were $312.8 million for the year ended December 31, 2012, an increase of $65.5 million, or 26.5% higher than promotional and other allowances of $247.3 million for the year ended December 31, 2011. Promotional and other allowances as a percentage of gross sales increased to 13.2% from 12.7% for the years ended December 31, 2012 and 2011, respectively. As a result of the increase in promotional and other allowances as a percentage of gross sales, the percentage increase in gross sales for the year ended December 31, 2012 was higher than the percentage increase in net sales.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Changes in foreign currency exchange rates had an unfavorable impact on gross sales of approximately 1% for the year ended December 31, 2012, which was primarily due to a stronger U.S. dollar compared to certain local currencies in which we conduct certain of our international business.</w:t>
      </w:r>
    </w:p>
    <w:p>
      <w:pPr>
        <w:sectPr>
          <w:pgSz w:w="11900" w:h="16883" w:orient="portrait"/>
          <w:cols w:equalWidth="0" w:num="1">
            <w:col w:w="11420"/>
          </w:cols>
          <w:pgMar w:left="240" w:top="121" w:right="239" w:bottom="0" w:gutter="0" w:footer="0" w:header="0"/>
        </w:sectPr>
      </w:pPr>
    </w:p>
    <w:bookmarkStart w:id="30" w:name="page31"/>
    <w:bookmarkEnd w:id="30"/>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$2,060.7 million for the year ended December 31, 2012, an increase of approximately $357.5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21.0% higher than net sales of $1,703.2 million for the year ended December 31, 2011. The increase in net sales of our Monster Energy® brand energy drinks represented approximately $348.5 million, or 97.5%, of the overall increase in net sales. Net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No other individual product line contributed either a material increase or decrease to net sales for the year ended December 31, 2012.</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Changes in foreign currency exchange rates had an unfavorable impact on net sales of approximately 1% for the year ended December 31, 2012, which was primarily due to a stronger U.S. dollar compared to certain local currencies in which we conduct certain of our international business.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Case sales, in 192-ounce case equivalents, were 202.9 million cases for the year ended December 31, 2012, an increase of approximately 38.3 million cases or 23.2% higher than case sales of 164.7 million cases for the year ended December 31, 2011. The overall average net sales per case decreased to $10.16 for the year ended December 31, 2012, which was 1.8% lower than the average net sales per case of $10.34 for the year ended December 31, 2011. The lower overall average net sales per case was primarily due to increased promotional and other allowances as a percentage of gross sales, product and geographic mix.</w:t>
      </w:r>
    </w:p>
    <w:p>
      <w:pPr>
        <w:spacing w:after="0" w:line="1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Net sales for the DSD segment were $1,966.5 million for the year ended December 31, 2012, an increase of approximately $358.2 million, or 22.3% higher than net sales of $1,608.3 million for the year ended December 31, 2011. The increase in net sales of our Monster Energy® brand energy drinks represented approximately $348.5 million, or 97.3%, of the overall increase in net sales for the DSD segment. Net sales for the DSD segment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for the DSD segment. No other individual product line contributed either a material increase or decrease to net sales for the DSD segment for the year ended December 31, 2012.</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Net sales for the Warehouse segment were $94.2 million for the year ended December 31, 2012, a decrease of approximately $0.7 million, or 0.7% lower than net sales of $94.9 million for the year ended December 31, 2011. The decrease in net sales for the Warehouse segment was primarily attributable to decreased sales by volume of apple juice and Hansen’s® sodas. The decrease in net sales for the Warehouse segment was partially offset by increased sales by volume of Hubert’s® lemonades.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$1,065.7 million for the year ended December 31, 2012, an increase of approximately $171.3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19.2% higher than the gross profit of $894.3 million for the year ended December 31, 2011. Gross profit as a percentage of net sales decreased to 51.7% for the year ended December 31, 2012 from 52.5% for the year ended December 31, 2011. The increase in gross profit dollars was primarily the result of the $416.3 million increase in gross sales of our Monster Energy® brand energy drinks. The decrease in gross profit as a percentage of net sales was largely attributable to changes in product and geographic mix, increased promotional and other allowances as a percentage of gross sales as well as production variances and product damages primarily in connection with Europe and Asia.</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$515.0 million for the year ended December 31, 2012,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$77.1 million, or 17.6% higher than total operating expenses of $437.9 million for the year ended December 31, 2011. The increase in operating expenses was partially attributable to increased payroll expenses of $23.4 million (of which $9.0 million was related to an increase in stock-based compensation), increased expenditures of $18.4 million for sponsorships and endorsements, increased out-bound freight and warehouse costs of $17.9 million, increased expenditures of $11.1 million for allocated trade development, increased expenditures of $6.4 million for marketing fees and increased expenditures of $4.2 million for merchandise displays. The increase in operating expenses was partially offset by decreased expenditures of $9.6 million for advertising, decreased expenditures of $8.0 million for commissions and royalties paid to non-customers and $4.1 million of insurance reimbursements related to legal fees incurred in prior periods. Total operating expenses as a percentage of net sales was 25.0% for the year ended December 31, 2012, compared to 25.7% for the year ended December 31, 2011.</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Contribution Margin. </w:t>
      </w:r>
      <w:r>
        <w:rPr>
          <w:rFonts w:ascii="Arial" w:cs="Arial" w:eastAsia="Arial" w:hAnsi="Arial"/>
          <w:sz w:val="19"/>
          <w:szCs w:val="19"/>
          <w:color w:val="auto"/>
        </w:rPr>
        <w:t>Contribution margin for the DSD segment was $660.6 million for the year ended December 31, 2012, an</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 of approximately $117.4 million, or 21.6% higher than contribution margin of $543.2 million for the year ended December 31, 2011. The increase in the contribution margin for the DSD segment was primarily the result of the $416.3 million increase in gross sales of our Monster Energy® brand energy drinks. Contribution margin for the Warehouse segment was $3.5 million for the year ended December 31, 2012, approximately $0.8 million lower than contribution margin of $4.3 million for the year ended December 31, 2011.</w:t>
      </w:r>
    </w:p>
    <w:p>
      <w:pPr>
        <w:spacing w:after="0" w:line="19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$550.6 million for the year ended December 31, 2012, an increase of approximately $94.2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20.6% higher than operating income of $456.4 million for the year ended December 31, 2011. Operating income as a percentage of net sales decreased to 26.7% for the year ended December 31, 2012 from 26.8% for the year ended December 31, 2011. The increase in operating income was primarily due to an increase in gross profit of $171.3 million, partially offset by a $77.1 million increase in operating expenses. The decrease in operating income as a percentage of net sales was primarily due to a decrease in gross profit as a percentage of net sales. Operating income was negatively affected by combined operating losses of $10.1 million and $15.4 million for the years ended December 31, 2012 and 2011, respectively, in relation to our operations in Africa, Asia, Australia, Europe, the Middle East and South America.</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Other (Expense) Income</w:t>
      </w:r>
      <w:r>
        <w:rPr>
          <w:rFonts w:ascii="Arial" w:cs="Arial" w:eastAsia="Arial" w:hAnsi="Arial"/>
          <w:sz w:val="20"/>
          <w:szCs w:val="20"/>
          <w:color w:val="auto"/>
        </w:rPr>
        <w:t>. Other (expense) income was ($1.5) million for the year ended December 31, 2012, as compared to other</w:t>
      </w:r>
      <w:r>
        <w:rPr>
          <w:rFonts w:ascii="Arial" w:cs="Arial" w:eastAsia="Arial" w:hAnsi="Arial"/>
          <w:sz w:val="20"/>
          <w:szCs w:val="20"/>
          <w:i w:val="1"/>
          <w:iCs w:val="1"/>
          <w:color w:val="auto"/>
        </w:rPr>
        <w:t xml:space="preserve"> </w:t>
      </w:r>
      <w:r>
        <w:rPr>
          <w:rFonts w:ascii="Arial" w:cs="Arial" w:eastAsia="Arial" w:hAnsi="Arial"/>
          <w:sz w:val="20"/>
          <w:szCs w:val="20"/>
          <w:color w:val="auto"/>
        </w:rPr>
        <w:t>(expense) income of $0.8 million for the year ended December 31, 2011. Interest income was $1.4 million and $1.2 million for the years ended December 31, 2012 and 2011, respectively. Net foreign currency losses were $3.7 million and $0.7 million for the years ended December 31, 2012 and 2011, respectively.</w:t>
      </w:r>
    </w:p>
    <w:p>
      <w:pPr>
        <w:sectPr>
          <w:pgSz w:w="11900" w:h="16838" w:orient="portrait"/>
          <w:cols w:equalWidth="0" w:num="1">
            <w:col w:w="11420"/>
          </w:cols>
          <w:pgMar w:left="240" w:top="352" w:right="239" w:bottom="0" w:gutter="0" w:footer="0" w:header="0"/>
        </w:sectPr>
      </w:pPr>
    </w:p>
    <w:bookmarkStart w:id="31" w:name="page32"/>
    <w:bookmarkEnd w:id="31"/>
    <w:p>
      <w:pPr>
        <w:spacing w:after="0" w:line="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Provision for Income Taxes</w:t>
      </w:r>
      <w:r>
        <w:rPr>
          <w:rFonts w:ascii="Arial" w:cs="Arial" w:eastAsia="Arial" w:hAnsi="Arial"/>
          <w:sz w:val="20"/>
          <w:szCs w:val="20"/>
          <w:color w:val="auto"/>
        </w:rPr>
        <w:t>. Provision for income taxes was $209.1 million for the year ended December 31, 2012, an increase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$38.1 million or 22.3% higher than the provision for income taxes of $171.1 million for the year ended December 31, 2011. The effective combined federal, state and foreign tax rate increased to 38.1% from 37.4% for the years ended December 31, 2012 and 2011, respectively. The increase in the effective tax rate was primarily the result of increased losses in certain foreign subsidiaries for which there is no tax benefit, the establishment of full valuation allowances against the deferred tax assets of certain foreign subsidiaries, as well as a higher effective combined state tax rate.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$340.0 million for the year ended December 31, 2012, an increase of $53.8 million or 18.8% higher than</w:t>
      </w:r>
      <w:r>
        <w:rPr>
          <w:rFonts w:ascii="Arial" w:cs="Arial" w:eastAsia="Arial" w:hAnsi="Arial"/>
          <w:sz w:val="20"/>
          <w:szCs w:val="20"/>
          <w:i w:val="1"/>
          <w:iCs w:val="1"/>
          <w:color w:val="auto"/>
        </w:rPr>
        <w:t xml:space="preserve"> </w:t>
      </w:r>
      <w:r>
        <w:rPr>
          <w:rFonts w:ascii="Arial" w:cs="Arial" w:eastAsia="Arial" w:hAnsi="Arial"/>
          <w:sz w:val="20"/>
          <w:szCs w:val="20"/>
          <w:color w:val="auto"/>
        </w:rPr>
        <w:t>net income of $286.2 million for the year ended December 31, 2011. The increase in net income was primarily attributable to an increase in gross profit of $171.3 million. The increase in net income was partially offset by an increase in operating expenses of $77.1 million and an increase in the provision for income taxes of $38.1 million.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table set forth below discloses selected quarterly data regarding sales for the past five years. Data from any one or more quarters is not necessarily indicative of annual results or continuing trends.</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beverages sold by us.</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In addition, our experience with our energy drink products suggests they are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and/or increased advertising and promotional expenses. (See “Part I, Item 1 – Business – Seasonality”).</w:t>
      </w:r>
    </w:p>
    <w:p>
      <w:pPr>
        <w:spacing w:after="0" w:line="173" w:lineRule="exact"/>
        <w:rPr>
          <w:sz w:val="20"/>
          <w:szCs w:val="20"/>
          <w:color w:val="auto"/>
        </w:rPr>
      </w:pPr>
    </w:p>
    <w:tbl>
      <w:tblPr>
        <w:tblLayout w:type="fixed"/>
        <w:tblInd w:w="40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2280" w:type="dxa"/>
            <w:vAlign w:val="bottom"/>
            <w:gridSpan w:val="3"/>
            <w:vMerge w:val="restart"/>
          </w:tcPr>
          <w:p>
            <w:pPr>
              <w:spacing w:after="0"/>
              <w:rPr>
                <w:sz w:val="20"/>
                <w:szCs w:val="20"/>
                <w:color w:val="auto"/>
              </w:rPr>
            </w:pPr>
            <w:r>
              <w:rPr>
                <w:rFonts w:ascii="Arial" w:cs="Arial" w:eastAsia="Arial" w:hAnsi="Arial"/>
                <w:sz w:val="20"/>
                <w:szCs w:val="20"/>
                <w:color w:val="auto"/>
                <w:w w:val="88"/>
              </w:rPr>
              <w:t>Unit Case Volume / Sales (in</w:t>
            </w: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2013</w:t>
            </w:r>
          </w:p>
        </w:tc>
        <w:tc>
          <w:tcPr>
            <w:tcW w:w="5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2012</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2011</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2010</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2009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Borders>
              <w:bottom w:val="single" w:sz="8" w:color="auto"/>
            </w:tcBorders>
            <w:gridSpan w:val="3"/>
            <w:vMerge w:val="continue"/>
          </w:tcPr>
          <w:p>
            <w:pPr>
              <w:spacing w:after="0"/>
              <w:rPr>
                <w:sz w:val="14"/>
                <w:szCs w:val="14"/>
                <w:color w:val="auto"/>
              </w:rPr>
            </w:pPr>
          </w:p>
        </w:tc>
        <w:tc>
          <w:tcPr>
            <w:tcW w:w="98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9"/>
                <w:szCs w:val="19"/>
                <w:color w:val="auto"/>
                <w:w w:val="95"/>
              </w:rPr>
              <w:t>Thousands)</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300" w:type="dxa"/>
            <w:vAlign w:val="bottom"/>
            <w:gridSpan w:val="4"/>
          </w:tcPr>
          <w:p>
            <w:pPr>
              <w:spacing w:after="0"/>
              <w:rPr>
                <w:sz w:val="20"/>
                <w:szCs w:val="20"/>
                <w:color w:val="auto"/>
              </w:rPr>
            </w:pPr>
            <w:r>
              <w:rPr>
                <w:rFonts w:ascii="Arial" w:cs="Arial" w:eastAsia="Arial" w:hAnsi="Arial"/>
                <w:sz w:val="20"/>
                <w:szCs w:val="20"/>
                <w:color w:val="auto"/>
              </w:rPr>
              <w:t>Quarter 1</w:t>
            </w:r>
          </w:p>
        </w:tc>
        <w:tc>
          <w:tcPr>
            <w:tcW w:w="3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47,749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44,396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34,681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24,205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23,468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00" w:type="dxa"/>
            <w:vAlign w:val="bottom"/>
            <w:gridSpan w:val="4"/>
          </w:tcPr>
          <w:p>
            <w:pPr>
              <w:spacing w:after="0"/>
              <w:rPr>
                <w:sz w:val="20"/>
                <w:szCs w:val="20"/>
                <w:color w:val="auto"/>
              </w:rPr>
            </w:pPr>
            <w:r>
              <w:rPr>
                <w:rFonts w:ascii="Arial" w:cs="Arial" w:eastAsia="Arial" w:hAnsi="Arial"/>
                <w:sz w:val="20"/>
                <w:szCs w:val="20"/>
                <w:color w:val="auto"/>
              </w:rPr>
              <w:t>Quarter 2</w:t>
            </w:r>
          </w:p>
        </w:tc>
        <w:tc>
          <w:tcPr>
            <w:tcW w:w="3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61,615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57,525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44,272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35,861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29,256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4"/>
          </w:tcPr>
          <w:p>
            <w:pPr>
              <w:spacing w:after="0"/>
              <w:rPr>
                <w:sz w:val="20"/>
                <w:szCs w:val="20"/>
                <w:color w:val="auto"/>
              </w:rPr>
            </w:pPr>
            <w:r>
              <w:rPr>
                <w:rFonts w:ascii="Arial" w:cs="Arial" w:eastAsia="Arial" w:hAnsi="Arial"/>
                <w:sz w:val="20"/>
                <w:szCs w:val="20"/>
                <w:color w:val="auto"/>
              </w:rPr>
              <w:t>Quarter 3</w:t>
            </w:r>
          </w:p>
        </w:tc>
        <w:tc>
          <w:tcPr>
            <w:tcW w:w="3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59,204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54,611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46,277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37,856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29,800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300" w:type="dxa"/>
            <w:vAlign w:val="bottom"/>
            <w:gridSpan w:val="4"/>
          </w:tcPr>
          <w:p>
            <w:pPr>
              <w:spacing w:after="0"/>
              <w:rPr>
                <w:sz w:val="20"/>
                <w:szCs w:val="20"/>
                <w:color w:val="auto"/>
              </w:rPr>
            </w:pPr>
            <w:r>
              <w:rPr>
                <w:rFonts w:ascii="Arial" w:cs="Arial" w:eastAsia="Arial" w:hAnsi="Arial"/>
                <w:sz w:val="20"/>
                <w:szCs w:val="20"/>
                <w:color w:val="auto"/>
              </w:rPr>
              <w:t>Quarter 4</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52,780</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46,386</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39,431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31,109</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27,461</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00" w:type="dxa"/>
            <w:vAlign w:val="bottom"/>
            <w:gridSpan w:val="4"/>
          </w:tcPr>
          <w:p>
            <w:pPr>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221,348</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202,918</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164,661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129,031</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109,985</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gridSpan w:val="3"/>
            <w:vMerge w:val="restart"/>
          </w:tcPr>
          <w:p>
            <w:pPr>
              <w:spacing w:after="0"/>
              <w:rPr>
                <w:sz w:val="20"/>
                <w:szCs w:val="20"/>
                <w:color w:val="auto"/>
              </w:rPr>
            </w:pPr>
            <w:r>
              <w:rPr>
                <w:rFonts w:ascii="Arial" w:cs="Arial" w:eastAsia="Arial" w:hAnsi="Arial"/>
                <w:sz w:val="20"/>
                <w:szCs w:val="20"/>
                <w:color w:val="auto"/>
              </w:rPr>
              <w:t>Net Sales (in Thousands)</w:t>
            </w: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2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4"/>
          </w:tcPr>
          <w:p>
            <w:pPr>
              <w:spacing w:after="0"/>
              <w:rPr>
                <w:sz w:val="20"/>
                <w:szCs w:val="20"/>
                <w:color w:val="auto"/>
              </w:rPr>
            </w:pPr>
            <w:r>
              <w:rPr>
                <w:rFonts w:ascii="Arial" w:cs="Arial" w:eastAsia="Arial" w:hAnsi="Arial"/>
                <w:sz w:val="20"/>
                <w:szCs w:val="20"/>
                <w:color w:val="auto"/>
              </w:rPr>
              <w:t>Quarter 1</w:t>
            </w:r>
          </w:p>
        </w:tc>
        <w:tc>
          <w:tcPr>
            <w:tcW w:w="36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484,223</w:t>
            </w:r>
          </w:p>
        </w:tc>
        <w:tc>
          <w:tcPr>
            <w:tcW w:w="300" w:type="dxa"/>
            <w:vAlign w:val="bottom"/>
          </w:tcPr>
          <w:p>
            <w:pPr>
              <w:spacing w:after="0"/>
              <w:rPr>
                <w:sz w:val="20"/>
                <w:szCs w:val="20"/>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454,605</w:t>
            </w:r>
          </w:p>
        </w:tc>
        <w:tc>
          <w:tcPr>
            <w:tcW w:w="280" w:type="dxa"/>
            <w:vAlign w:val="bottom"/>
          </w:tcPr>
          <w:p>
            <w:pPr>
              <w:spacing w:after="0"/>
              <w:rPr>
                <w:sz w:val="20"/>
                <w:szCs w:val="20"/>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356,419</w:t>
            </w:r>
          </w:p>
        </w:tc>
        <w:tc>
          <w:tcPr>
            <w:tcW w:w="280" w:type="dxa"/>
            <w:vAlign w:val="bottom"/>
          </w:tcPr>
          <w:p>
            <w:pPr>
              <w:spacing w:after="0"/>
              <w:rPr>
                <w:sz w:val="20"/>
                <w:szCs w:val="20"/>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238,110</w:t>
            </w:r>
          </w:p>
        </w:tc>
        <w:tc>
          <w:tcPr>
            <w:tcW w:w="300" w:type="dxa"/>
            <w:vAlign w:val="bottom"/>
          </w:tcPr>
          <w:p>
            <w:pPr>
              <w:spacing w:after="0"/>
              <w:rPr>
                <w:sz w:val="20"/>
                <w:szCs w:val="20"/>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244,206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00" w:type="dxa"/>
            <w:vAlign w:val="bottom"/>
            <w:gridSpan w:val="4"/>
          </w:tcPr>
          <w:p>
            <w:pPr>
              <w:spacing w:after="0"/>
              <w:rPr>
                <w:sz w:val="20"/>
                <w:szCs w:val="20"/>
                <w:color w:val="auto"/>
              </w:rPr>
            </w:pPr>
            <w:r>
              <w:rPr>
                <w:rFonts w:ascii="Arial" w:cs="Arial" w:eastAsia="Arial" w:hAnsi="Arial"/>
                <w:sz w:val="20"/>
                <w:szCs w:val="20"/>
                <w:color w:val="auto"/>
              </w:rPr>
              <w:t>Quarter 2</w:t>
            </w:r>
          </w:p>
        </w:tc>
        <w:tc>
          <w:tcPr>
            <w:tcW w:w="3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630,934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592,640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462,145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365,701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300,250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4"/>
          </w:tcPr>
          <w:p>
            <w:pPr>
              <w:spacing w:after="0"/>
              <w:rPr>
                <w:sz w:val="20"/>
                <w:szCs w:val="20"/>
                <w:color w:val="auto"/>
              </w:rPr>
            </w:pPr>
            <w:r>
              <w:rPr>
                <w:rFonts w:ascii="Arial" w:cs="Arial" w:eastAsia="Arial" w:hAnsi="Arial"/>
                <w:sz w:val="20"/>
                <w:szCs w:val="20"/>
                <w:color w:val="auto"/>
              </w:rPr>
              <w:t>Quarter 3</w:t>
            </w:r>
          </w:p>
        </w:tc>
        <w:tc>
          <w:tcPr>
            <w:tcW w:w="3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590,422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541,940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474,709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381,466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307,929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300" w:type="dxa"/>
            <w:vAlign w:val="bottom"/>
            <w:gridSpan w:val="4"/>
          </w:tcPr>
          <w:p>
            <w:pPr>
              <w:spacing w:after="0"/>
              <w:rPr>
                <w:sz w:val="20"/>
                <w:szCs w:val="20"/>
                <w:color w:val="auto"/>
              </w:rPr>
            </w:pPr>
            <w:r>
              <w:rPr>
                <w:rFonts w:ascii="Arial" w:cs="Arial" w:eastAsia="Arial" w:hAnsi="Arial"/>
                <w:sz w:val="20"/>
                <w:szCs w:val="20"/>
                <w:color w:val="auto"/>
              </w:rPr>
              <w:t>Quarter 4</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540,849</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471,517</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409,957</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318,665</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290,914</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00" w:type="dxa"/>
            <w:vAlign w:val="bottom"/>
            <w:gridSpan w:val="4"/>
          </w:tcPr>
          <w:p>
            <w:pPr>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2,246,428</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2,060,702</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1,703,230</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1,303,942</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1,143,299</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gridSpan w:val="2"/>
            <w:vMerge w:val="restart"/>
          </w:tcPr>
          <w:p>
            <w:pPr>
              <w:spacing w:after="0"/>
              <w:rPr>
                <w:sz w:val="20"/>
                <w:szCs w:val="20"/>
                <w:color w:val="auto"/>
              </w:rPr>
            </w:pPr>
            <w:r>
              <w:rPr>
                <w:rFonts w:ascii="Arial" w:cs="Arial" w:eastAsia="Arial" w:hAnsi="Arial"/>
                <w:sz w:val="20"/>
                <w:szCs w:val="20"/>
                <w:color w:val="auto"/>
                <w:w w:val="85"/>
              </w:rPr>
              <w:t>Average Net Sales Per Case</w:t>
            </w:r>
          </w:p>
        </w:tc>
        <w:tc>
          <w:tcPr>
            <w:tcW w:w="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0" w:type="dxa"/>
            <w:vAlign w:val="bottom"/>
          </w:tcPr>
          <w:p>
            <w:pPr>
              <w:spacing w:after="0"/>
              <w:rPr>
                <w:sz w:val="24"/>
                <w:szCs w:val="24"/>
                <w:color w:val="auto"/>
              </w:rPr>
            </w:pPr>
          </w:p>
        </w:tc>
        <w:tc>
          <w:tcPr>
            <w:tcW w:w="2200" w:type="dxa"/>
            <w:vAlign w:val="bottom"/>
            <w:tcBorders>
              <w:bottom w:val="single" w:sz="8" w:color="auto"/>
            </w:tcBorders>
            <w:gridSpan w:val="2"/>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300" w:type="dxa"/>
            <w:vAlign w:val="bottom"/>
            <w:gridSpan w:val="4"/>
          </w:tcPr>
          <w:p>
            <w:pPr>
              <w:spacing w:after="0"/>
              <w:rPr>
                <w:sz w:val="20"/>
                <w:szCs w:val="20"/>
                <w:color w:val="auto"/>
              </w:rPr>
            </w:pPr>
            <w:r>
              <w:rPr>
                <w:rFonts w:ascii="Arial" w:cs="Arial" w:eastAsia="Arial" w:hAnsi="Arial"/>
                <w:sz w:val="20"/>
                <w:szCs w:val="20"/>
                <w:color w:val="auto"/>
              </w:rPr>
              <w:t>Quarter 1</w:t>
            </w:r>
          </w:p>
        </w:tc>
        <w:tc>
          <w:tcPr>
            <w:tcW w:w="36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10.14</w:t>
            </w:r>
          </w:p>
        </w:tc>
        <w:tc>
          <w:tcPr>
            <w:tcW w:w="300" w:type="dxa"/>
            <w:vAlign w:val="bottom"/>
          </w:tcPr>
          <w:p>
            <w:pPr>
              <w:spacing w:after="0"/>
              <w:rPr>
                <w:sz w:val="20"/>
                <w:szCs w:val="20"/>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10.24</w:t>
            </w:r>
          </w:p>
        </w:tc>
        <w:tc>
          <w:tcPr>
            <w:tcW w:w="280" w:type="dxa"/>
            <w:vAlign w:val="bottom"/>
          </w:tcPr>
          <w:p>
            <w:pPr>
              <w:spacing w:after="0"/>
              <w:rPr>
                <w:sz w:val="20"/>
                <w:szCs w:val="20"/>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10.28</w:t>
            </w:r>
          </w:p>
        </w:tc>
        <w:tc>
          <w:tcPr>
            <w:tcW w:w="280" w:type="dxa"/>
            <w:vAlign w:val="bottom"/>
          </w:tcPr>
          <w:p>
            <w:pPr>
              <w:spacing w:after="0"/>
              <w:rPr>
                <w:sz w:val="20"/>
                <w:szCs w:val="20"/>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9.84</w:t>
            </w:r>
          </w:p>
        </w:tc>
        <w:tc>
          <w:tcPr>
            <w:tcW w:w="300" w:type="dxa"/>
            <w:vAlign w:val="bottom"/>
          </w:tcPr>
          <w:p>
            <w:pPr>
              <w:spacing w:after="0"/>
              <w:rPr>
                <w:sz w:val="20"/>
                <w:szCs w:val="20"/>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10.41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00" w:type="dxa"/>
            <w:vAlign w:val="bottom"/>
            <w:gridSpan w:val="4"/>
          </w:tcPr>
          <w:p>
            <w:pPr>
              <w:spacing w:after="0"/>
              <w:rPr>
                <w:sz w:val="20"/>
                <w:szCs w:val="20"/>
                <w:color w:val="auto"/>
              </w:rPr>
            </w:pPr>
            <w:r>
              <w:rPr>
                <w:rFonts w:ascii="Arial" w:cs="Arial" w:eastAsia="Arial" w:hAnsi="Arial"/>
                <w:sz w:val="20"/>
                <w:szCs w:val="20"/>
                <w:color w:val="auto"/>
              </w:rPr>
              <w:t>Quarter 2</w:t>
            </w:r>
          </w:p>
        </w:tc>
        <w:tc>
          <w:tcPr>
            <w:tcW w:w="3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10.24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10.30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10.44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10.20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4"/>
          </w:tcPr>
          <w:p>
            <w:pPr>
              <w:spacing w:after="0"/>
              <w:rPr>
                <w:sz w:val="20"/>
                <w:szCs w:val="20"/>
                <w:color w:val="auto"/>
              </w:rPr>
            </w:pPr>
            <w:r>
              <w:rPr>
                <w:rFonts w:ascii="Arial" w:cs="Arial" w:eastAsia="Arial" w:hAnsi="Arial"/>
                <w:sz w:val="20"/>
                <w:szCs w:val="20"/>
                <w:color w:val="auto"/>
              </w:rPr>
              <w:t>Quarter 3</w:t>
            </w:r>
          </w:p>
        </w:tc>
        <w:tc>
          <w:tcPr>
            <w:tcW w:w="3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9.97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9.92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10.26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10.08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300" w:type="dxa"/>
            <w:vAlign w:val="bottom"/>
            <w:gridSpan w:val="4"/>
          </w:tcPr>
          <w:p>
            <w:pPr>
              <w:spacing w:after="0"/>
              <w:rPr>
                <w:sz w:val="20"/>
                <w:szCs w:val="20"/>
                <w:color w:val="auto"/>
              </w:rPr>
            </w:pPr>
            <w:r>
              <w:rPr>
                <w:rFonts w:ascii="Arial" w:cs="Arial" w:eastAsia="Arial" w:hAnsi="Arial"/>
                <w:sz w:val="20"/>
                <w:szCs w:val="20"/>
                <w:color w:val="auto"/>
              </w:rPr>
              <w:t>Quarter 4</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10.25</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10.17</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10.40</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10.24</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10.59</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00" w:type="dxa"/>
            <w:vAlign w:val="bottom"/>
            <w:gridSpan w:val="4"/>
          </w:tcPr>
          <w:p>
            <w:pPr>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10.15</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10.16</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10.34</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10.11</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10.40</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that inflation had a significant impact on our results of operations for the years ended December 31, 2013, 2012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Cash flows provided by operating activities – </w:t>
      </w:r>
      <w:r>
        <w:rPr>
          <w:rFonts w:ascii="Arial" w:cs="Arial" w:eastAsia="Arial" w:hAnsi="Arial"/>
          <w:sz w:val="18"/>
          <w:szCs w:val="18"/>
          <w:color w:val="auto"/>
        </w:rPr>
        <w:t>Net cash provided by operating activities was $342.0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as compared with net cash provided by operating activities of $287.7 million for the year ended December 31, 2012. For the year ended December 31, 2013, cash provided by operating activities was primarily attributable to net income earned of $338.7 million and adjustments for certain non-cash expenses consisting of $28.8 million of stock-based compensation and $22.7 million of depreciation and other</w:t>
      </w:r>
    </w:p>
    <w:p>
      <w:pPr>
        <w:sectPr>
          <w:pgSz w:w="11900" w:h="16840" w:orient="portrait"/>
          <w:cols w:equalWidth="0" w:num="1">
            <w:col w:w="11420"/>
          </w:cols>
          <w:pgMar w:left="240" w:top="121" w:right="239" w:bottom="0" w:gutter="0" w:footer="0" w:header="0"/>
        </w:sectPr>
      </w:pPr>
    </w:p>
    <w:bookmarkStart w:id="32" w:name="page33"/>
    <w:bookmarkEnd w:id="32"/>
    <w:p>
      <w:pPr>
        <w:jc w:val="both"/>
        <w:spacing w:after="0" w:line="274" w:lineRule="auto"/>
        <w:rPr>
          <w:sz w:val="20"/>
          <w:szCs w:val="20"/>
          <w:color w:val="auto"/>
        </w:rPr>
      </w:pPr>
      <w:r>
        <w:rPr>
          <w:rFonts w:ascii="Arial" w:cs="Arial" w:eastAsia="Arial" w:hAnsi="Arial"/>
          <w:sz w:val="18"/>
          <w:szCs w:val="18"/>
          <w:color w:val="auto"/>
        </w:rPr>
        <w:t>amortization. For the year ended December 31, 2013, cash provided by operating activities also increased due to a $34.3 million increase in income taxes payable, a $24.0 million decrease in prepaid income taxes, a $8.9 million increase in accrued promotional allowances, a $3.0 million increase in deferred revenue, a $2.3 million increase in accrued liabilities, a $2.0 increase in accrued compensation and a $1.6 million increase in accrued distributor terminations. For the year ended December 31, 2013, cash provided by operating activities was reduced due to a $43.0 million increase in accounts receivable, a $30.3 million increase in tax benefit from the exercise of stock options, a $21.6 million increase in inventory, a $7.1 million increase in deferred income taxes, a $8.2 million decrease in accounts payable, a $4.5 million increase in prepaid expenses and other current assets, a $7.4 million increase in distributor receivables, and a $3.6 million gain on investments.</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For the year ended December 31, 2012, cash provided by operating activities was primarily attributable to net income earned of $340.0 million and adjustments for certain non-cash expenses consisting of $28.4 million of stock-based compensation, $20.5 million of depreciation and other amortization and a $1.1 million loss on put options. For the year ended December 31, 2012, cash provided by operating activities also increased due to a $14.2 million increase in income taxes payable, a $6.5 million increase in accrued liabilities, a $3.7 million increase in accounts payable, a $2.7 million increase in accrued promotional allowances and a $2.5 million increase in accrued compensation. For the year ended December 31, 2012, cash provided by operating activities was reduced due to a $47.6 million increase in inventory, a $33.2 million increase in prepaid income taxes, a $19.7 million increase in tax benefit from the exercise of stock options, a $17.8 million increase in accounts receivable, a $5.7 million decrease in deferred revenue, a $4.5 million increase in prepaid expenses and other current assets, a $2.5 million increase in deferred income taxes and a $1.9 million gain on investments.</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Cash flows (used in) provided by investing activities – </w:t>
      </w:r>
      <w:r>
        <w:rPr>
          <w:rFonts w:ascii="Arial" w:cs="Arial" w:eastAsia="Arial" w:hAnsi="Arial"/>
          <w:sz w:val="20"/>
          <w:szCs w:val="20"/>
          <w:color w:val="auto"/>
        </w:rPr>
        <w:t>Net cash used in investing activities was $339.8 million for the year ended</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31, 2013, as compared to net cash provided by investing activities of $271.8 million for the year ended December 31, 2012. For the year ended December 31, 2013, cash used in investing activities was primarily attributable to purchases of held-to-maturity investments, purchases of property and equipment (including the Company’s new corporate offices), and additions to intangibles. For the year ended December 31 2012, cash used in investing activities was primarily attributable to purchases of held-to-maturity investments, purchases of available-for-sale investments, purchases of property and equipment, including the purchase of real property and additions to intangibles. For the year ended December 31, 2013, cash provided by investing activities was primarily attributable to maturities of held-to-maturity investments and proceeds from the sale of property and equipment. For the year ended December 31, 2012, cash provided by investing activities was primarily attributable to maturities of held-to-maturity investments, sales of available-for-sale investments and sales of trading investments.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both the years ended December 31, 2013 and 2012,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portion of our cash in excess of our requirements for operations for purchasing short-term and long-term investments, and for other corporate purposes, including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Cash flows used in financing activities – </w:t>
      </w:r>
      <w:r>
        <w:rPr>
          <w:rFonts w:ascii="Arial" w:cs="Arial" w:eastAsia="Arial" w:hAnsi="Arial"/>
          <w:sz w:val="18"/>
          <w:szCs w:val="18"/>
          <w:color w:val="auto"/>
        </w:rPr>
        <w:t>Net cash used in financing activities was $17.9 million for the year ended December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net cash used in financing activities of $699.1 million for the year ended December 31, 2012. For the year ended December 31, 2013, cash provided by financing activities was primarily attributable to a $30.3 million tax benefit from the exercise of stock options and $21.3 million received from the issuance of common stock in connection with the exercise of certain stock options. For the year ended December 31, 2013, cash used in financing activities was primarily attributable to $67.6 million of re-purchases of common stock. For the year ended December 31, 2012, cash used in financing activities was primarily attributable to $727.7 million of purchases of common stock. For the year ended December 31, 2012, cash provided by financing activities was primarily attributable to $11.0 million received from the issuance of common stock in connection with the exercise of certain stock options and a $19.7 million tax benefit from the exercise of stock options.</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Purchases of inventories, increases in accounts receivable and other assets, acquisition of property and equipment, leasehold improvements, acquisition and maintenance of trademarks, payments of accounts payable, income taxes payable and purchases of our common stock are expected to remain our principal recurring use of cash.</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Cash and cash equivalents, short-term and long-term investments – </w:t>
      </w:r>
      <w:r>
        <w:rPr>
          <w:rFonts w:ascii="Arial" w:cs="Arial" w:eastAsia="Arial" w:hAnsi="Arial"/>
          <w:sz w:val="18"/>
          <w:szCs w:val="18"/>
          <w:color w:val="auto"/>
        </w:rPr>
        <w:t>As of December 31, 2013, we had $211.3 million in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$412.0 million in short-term and long-term investments. We have historically invested these amounts in U.S. Treasury bills, U.S. government agency securities and municipal securities (which may have an auction reset feature), corporate notes and bonds, certificates of deposit, commercial paper,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rating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We believe that cash available from operations, including our cash resources and our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purchases of capital assets, equipment and</w:t>
      </w:r>
    </w:p>
    <w:p>
      <w:pPr>
        <w:sectPr>
          <w:pgSz w:w="11900" w:h="16838" w:orient="portrait"/>
          <w:cols w:equalWidth="0" w:num="1">
            <w:col w:w="11420"/>
          </w:cols>
          <w:pgMar w:left="240" w:top="121" w:right="239" w:bottom="0" w:gutter="0" w:footer="0" w:header="0"/>
        </w:sectPr>
      </w:pPr>
    </w:p>
    <w:bookmarkStart w:id="33" w:name="page34"/>
    <w:bookmarkEnd w:id="33"/>
    <w:p>
      <w:pPr>
        <w:spacing w:after="0" w:line="20" w:lineRule="exact"/>
        <w:rPr>
          <w:sz w:val="20"/>
          <w:szCs w:val="20"/>
          <w:color w:val="auto"/>
        </w:rPr>
      </w:pPr>
    </w:p>
    <w:p>
      <w:pPr>
        <w:jc w:val="both"/>
        <w:ind w:right="20"/>
        <w:spacing w:after="0" w:line="317" w:lineRule="auto"/>
        <w:rPr>
          <w:sz w:val="20"/>
          <w:szCs w:val="20"/>
          <w:color w:val="auto"/>
        </w:rPr>
      </w:pPr>
      <w:r>
        <w:rPr>
          <w:rFonts w:ascii="Arial" w:cs="Arial" w:eastAsia="Arial" w:hAnsi="Arial"/>
          <w:sz w:val="18"/>
          <w:szCs w:val="18"/>
          <w:color w:val="auto"/>
        </w:rPr>
        <w:t>properties, through at least the next 12 months. Based on our current plans, at this time we estimate that capital expenditures are likely to be less than $100.0 million through December 31, 2014. However, future business opportunities may cause a change in this estimate.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December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8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240" w:type="dxa"/>
            <w:vAlign w:val="bottom"/>
            <w:tcBorders>
              <w:bottom w:val="single" w:sz="8" w:color="auto"/>
            </w:tcBorders>
            <w:gridSpan w:val="8"/>
          </w:tcPr>
          <w:p>
            <w:pPr>
              <w:ind w:left="320"/>
              <w:spacing w:after="0"/>
              <w:rPr>
                <w:sz w:val="20"/>
                <w:szCs w:val="20"/>
                <w:color w:val="auto"/>
              </w:rPr>
            </w:pPr>
            <w:r>
              <w:rPr>
                <w:rFonts w:ascii="Arial" w:cs="Arial" w:eastAsia="Arial" w:hAnsi="Arial"/>
                <w:sz w:val="22"/>
                <w:szCs w:val="22"/>
                <w:color w:val="auto"/>
              </w:rPr>
              <w:t>Payments due by period (in thousands)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r>
      <w:tr>
        <w:trPr>
          <w:trHeight w:val="215"/>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line="216" w:lineRule="exact"/>
              <w:rPr>
                <w:sz w:val="20"/>
                <w:szCs w:val="20"/>
                <w:color w:val="auto"/>
              </w:rPr>
            </w:pPr>
            <w:r>
              <w:rPr>
                <w:rFonts w:ascii="Arial" w:cs="Arial" w:eastAsia="Arial" w:hAnsi="Arial"/>
                <w:sz w:val="22"/>
                <w:szCs w:val="22"/>
                <w:color w:val="auto"/>
                <w:w w:val="85"/>
              </w:rPr>
              <w:t>Less than</w:t>
            </w:r>
          </w:p>
        </w:tc>
        <w:tc>
          <w:tcPr>
            <w:tcW w:w="320" w:type="dxa"/>
            <w:vAlign w:val="bottom"/>
          </w:tcPr>
          <w:p>
            <w:pPr>
              <w:spacing w:after="0"/>
              <w:rPr>
                <w:sz w:val="18"/>
                <w:szCs w:val="18"/>
                <w:color w:val="auto"/>
              </w:rPr>
            </w:pPr>
          </w:p>
        </w:tc>
        <w:tc>
          <w:tcPr>
            <w:tcW w:w="1060" w:type="dxa"/>
            <w:vAlign w:val="bottom"/>
          </w:tcPr>
          <w:p>
            <w:pPr>
              <w:jc w:val="right"/>
              <w:ind w:right="432"/>
              <w:spacing w:after="0" w:line="216" w:lineRule="exact"/>
              <w:rPr>
                <w:sz w:val="20"/>
                <w:szCs w:val="20"/>
                <w:color w:val="auto"/>
              </w:rPr>
            </w:pPr>
            <w:r>
              <w:rPr>
                <w:rFonts w:ascii="Arial" w:cs="Arial" w:eastAsia="Arial" w:hAnsi="Arial"/>
                <w:sz w:val="22"/>
                <w:szCs w:val="22"/>
                <w:color w:val="auto"/>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2"/>
              <w:spacing w:after="0" w:line="216" w:lineRule="exact"/>
              <w:rPr>
                <w:sz w:val="20"/>
                <w:szCs w:val="20"/>
                <w:color w:val="auto"/>
              </w:rPr>
            </w:pPr>
            <w:r>
              <w:rPr>
                <w:rFonts w:ascii="Arial" w:cs="Arial" w:eastAsia="Arial" w:hAnsi="Arial"/>
                <w:sz w:val="22"/>
                <w:szCs w:val="22"/>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32"/>
              <w:spacing w:after="0" w:line="216" w:lineRule="exact"/>
              <w:rPr>
                <w:sz w:val="20"/>
                <w:szCs w:val="20"/>
                <w:color w:val="auto"/>
              </w:rPr>
            </w:pPr>
            <w:r>
              <w:rPr>
                <w:rFonts w:ascii="Arial" w:cs="Arial" w:eastAsia="Arial" w:hAnsi="Arial"/>
                <w:sz w:val="22"/>
                <w:szCs w:val="22"/>
                <w:color w:val="auto"/>
                <w:w w:val="94"/>
              </w:rPr>
              <w:t>More than</w:t>
            </w:r>
          </w:p>
        </w:tc>
      </w:tr>
      <w:tr>
        <w:trPr>
          <w:trHeight w:val="265"/>
        </w:trPr>
        <w:tc>
          <w:tcPr>
            <w:tcW w:w="3960" w:type="dxa"/>
            <w:vAlign w:val="bottom"/>
            <w:gridSpan w:val="2"/>
          </w:tcPr>
          <w:p>
            <w:pPr>
              <w:ind w:left="1420"/>
              <w:spacing w:after="0"/>
              <w:rPr>
                <w:sz w:val="20"/>
                <w:szCs w:val="20"/>
                <w:color w:val="auto"/>
              </w:rPr>
            </w:pPr>
            <w:r>
              <w:rPr>
                <w:rFonts w:ascii="Arial" w:cs="Arial" w:eastAsia="Arial" w:hAnsi="Arial"/>
                <w:sz w:val="22"/>
                <w:szCs w:val="22"/>
                <w:color w:val="auto"/>
              </w:rPr>
              <w:t>Obligations</w:t>
            </w:r>
          </w:p>
        </w:tc>
        <w:tc>
          <w:tcPr>
            <w:tcW w:w="320" w:type="dxa"/>
            <w:vAlign w:val="bottom"/>
          </w:tcPr>
          <w:p>
            <w:pPr>
              <w:spacing w:after="0"/>
              <w:rPr>
                <w:sz w:val="23"/>
                <w:szCs w:val="23"/>
                <w:color w:val="auto"/>
              </w:rPr>
            </w:pPr>
          </w:p>
        </w:tc>
        <w:tc>
          <w:tcPr>
            <w:tcW w:w="1180" w:type="dxa"/>
            <w:vAlign w:val="bottom"/>
            <w:gridSpan w:val="2"/>
          </w:tcPr>
          <w:p>
            <w:pPr>
              <w:ind w:left="140"/>
              <w:spacing w:after="0"/>
              <w:rPr>
                <w:sz w:val="20"/>
                <w:szCs w:val="20"/>
                <w:color w:val="auto"/>
              </w:rPr>
            </w:pPr>
            <w:r>
              <w:rPr>
                <w:rFonts w:ascii="Arial" w:cs="Arial" w:eastAsia="Arial" w:hAnsi="Arial"/>
                <w:sz w:val="22"/>
                <w:szCs w:val="22"/>
                <w:color w:val="auto"/>
              </w:rPr>
              <w:t>Total</w:t>
            </w:r>
          </w:p>
        </w:tc>
        <w:tc>
          <w:tcPr>
            <w:tcW w:w="22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22"/>
                <w:szCs w:val="22"/>
                <w:color w:val="auto"/>
                <w:w w:val="88"/>
              </w:rPr>
              <w:t>1 year</w:t>
            </w:r>
          </w:p>
        </w:tc>
        <w:tc>
          <w:tcPr>
            <w:tcW w:w="320" w:type="dxa"/>
            <w:vAlign w:val="bottom"/>
          </w:tcPr>
          <w:p>
            <w:pPr>
              <w:spacing w:after="0"/>
              <w:rPr>
                <w:sz w:val="23"/>
                <w:szCs w:val="23"/>
                <w:color w:val="auto"/>
              </w:rPr>
            </w:pPr>
          </w:p>
        </w:tc>
        <w:tc>
          <w:tcPr>
            <w:tcW w:w="1180" w:type="dxa"/>
            <w:vAlign w:val="bottom"/>
            <w:gridSpan w:val="2"/>
          </w:tcPr>
          <w:p>
            <w:pPr>
              <w:ind w:left="160"/>
              <w:spacing w:after="0"/>
              <w:rPr>
                <w:sz w:val="20"/>
                <w:szCs w:val="20"/>
                <w:color w:val="auto"/>
              </w:rPr>
            </w:pPr>
            <w:r>
              <w:rPr>
                <w:rFonts w:ascii="Arial" w:cs="Arial" w:eastAsia="Arial" w:hAnsi="Arial"/>
                <w:sz w:val="22"/>
                <w:szCs w:val="22"/>
                <w:color w:val="auto"/>
              </w:rPr>
              <w:t>years</w:t>
            </w:r>
          </w:p>
        </w:tc>
        <w:tc>
          <w:tcPr>
            <w:tcW w:w="300" w:type="dxa"/>
            <w:vAlign w:val="bottom"/>
          </w:tcPr>
          <w:p>
            <w:pPr>
              <w:spacing w:after="0"/>
              <w:rPr>
                <w:sz w:val="23"/>
                <w:szCs w:val="23"/>
                <w:color w:val="auto"/>
              </w:rPr>
            </w:pPr>
          </w:p>
        </w:tc>
        <w:tc>
          <w:tcPr>
            <w:tcW w:w="1180" w:type="dxa"/>
            <w:vAlign w:val="bottom"/>
            <w:gridSpan w:val="2"/>
          </w:tcPr>
          <w:p>
            <w:pPr>
              <w:ind w:left="160"/>
              <w:spacing w:after="0"/>
              <w:rPr>
                <w:sz w:val="20"/>
                <w:szCs w:val="20"/>
                <w:color w:val="auto"/>
              </w:rPr>
            </w:pPr>
            <w:r>
              <w:rPr>
                <w:rFonts w:ascii="Arial" w:cs="Arial" w:eastAsia="Arial" w:hAnsi="Arial"/>
                <w:sz w:val="22"/>
                <w:szCs w:val="22"/>
                <w:color w:val="auto"/>
              </w:rPr>
              <w:t>years</w:t>
            </w:r>
          </w:p>
        </w:tc>
        <w:tc>
          <w:tcPr>
            <w:tcW w:w="200" w:type="dxa"/>
            <w:vAlign w:val="bottom"/>
          </w:tcPr>
          <w:p>
            <w:pPr>
              <w:spacing w:after="0"/>
              <w:rPr>
                <w:sz w:val="23"/>
                <w:szCs w:val="23"/>
                <w:color w:val="auto"/>
              </w:rPr>
            </w:pPr>
          </w:p>
        </w:tc>
        <w:tc>
          <w:tcPr>
            <w:tcW w:w="1300" w:type="dxa"/>
            <w:vAlign w:val="bottom"/>
          </w:tcPr>
          <w:p>
            <w:pPr>
              <w:jc w:val="right"/>
              <w:ind w:right="372"/>
              <w:spacing w:after="0"/>
              <w:rPr>
                <w:sz w:val="20"/>
                <w:szCs w:val="20"/>
                <w:color w:val="auto"/>
              </w:rPr>
            </w:pPr>
            <w:r>
              <w:rPr>
                <w:rFonts w:ascii="Arial" w:cs="Arial" w:eastAsia="Arial" w:hAnsi="Arial"/>
                <w:sz w:val="22"/>
                <w:szCs w:val="22"/>
                <w:color w:val="auto"/>
              </w:rPr>
              <w:t>5 years</w:t>
            </w:r>
          </w:p>
        </w:tc>
      </w:tr>
      <w:tr>
        <w:trPr>
          <w:trHeight w:val="458"/>
        </w:trPr>
        <w:tc>
          <w:tcPr>
            <w:tcW w:w="396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Contractual Obligations¹</w:t>
            </w:r>
          </w:p>
        </w:tc>
        <w:tc>
          <w:tcPr>
            <w:tcW w:w="320" w:type="dxa"/>
            <w:vAlign w:val="bottom"/>
            <w:tcBorders>
              <w:top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93,940</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60,241</w:t>
            </w:r>
          </w:p>
        </w:tc>
        <w:tc>
          <w:tcPr>
            <w:tcW w:w="100" w:type="dxa"/>
            <w:vAlign w:val="bottom"/>
          </w:tcPr>
          <w:p>
            <w:pPr>
              <w:spacing w:after="0"/>
              <w:rPr>
                <w:sz w:val="24"/>
                <w:szCs w:val="24"/>
                <w:color w:val="auto"/>
              </w:rPr>
            </w:pPr>
          </w:p>
        </w:tc>
        <w:tc>
          <w:tcPr>
            <w:tcW w:w="320" w:type="dxa"/>
            <w:vAlign w:val="bottom"/>
            <w:tcBorders>
              <w:top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33,199</w:t>
            </w:r>
          </w:p>
        </w:tc>
        <w:tc>
          <w:tcPr>
            <w:tcW w:w="120" w:type="dxa"/>
            <w:vAlign w:val="bottom"/>
          </w:tcPr>
          <w:p>
            <w:pPr>
              <w:spacing w:after="0"/>
              <w:rPr>
                <w:sz w:val="24"/>
                <w:szCs w:val="24"/>
                <w:color w:val="auto"/>
              </w:rPr>
            </w:pPr>
          </w:p>
        </w:tc>
        <w:tc>
          <w:tcPr>
            <w:tcW w:w="300" w:type="dxa"/>
            <w:vAlign w:val="bottom"/>
            <w:tcBorders>
              <w:top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500</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43"/>
        </w:trPr>
        <w:tc>
          <w:tcPr>
            <w:tcW w:w="396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32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1,287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1,287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43"/>
        </w:trPr>
        <w:tc>
          <w:tcPr>
            <w:tcW w:w="3960" w:type="dxa"/>
            <w:vAlign w:val="bottom"/>
            <w:gridSpan w:val="2"/>
          </w:tcPr>
          <w:p>
            <w:pPr>
              <w:spacing w:after="0" w:line="243" w:lineRule="exact"/>
              <w:rPr>
                <w:sz w:val="20"/>
                <w:szCs w:val="20"/>
                <w:color w:val="auto"/>
              </w:rPr>
            </w:pPr>
            <w:r>
              <w:rPr>
                <w:rFonts w:ascii="Arial" w:cs="Arial" w:eastAsia="Arial" w:hAnsi="Arial"/>
                <w:sz w:val="22"/>
                <w:szCs w:val="22"/>
                <w:color w:val="auto"/>
              </w:rPr>
              <w:t>Operating Leases</w:t>
            </w:r>
          </w:p>
        </w:tc>
        <w:tc>
          <w:tcPr>
            <w:tcW w:w="32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17,374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5,050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9,165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1,582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1,577</w:t>
            </w:r>
          </w:p>
        </w:tc>
      </w:tr>
      <w:tr>
        <w:trPr>
          <w:trHeight w:val="265"/>
        </w:trPr>
        <w:tc>
          <w:tcPr>
            <w:tcW w:w="3960" w:type="dxa"/>
            <w:vAlign w:val="bottom"/>
            <w:gridSpan w:val="2"/>
          </w:tcPr>
          <w:p>
            <w:pPr>
              <w:spacing w:after="0"/>
              <w:rPr>
                <w:sz w:val="20"/>
                <w:szCs w:val="20"/>
                <w:color w:val="auto"/>
              </w:rPr>
            </w:pPr>
            <w:r>
              <w:rPr>
                <w:rFonts w:ascii="Arial" w:cs="Arial" w:eastAsia="Arial" w:hAnsi="Arial"/>
                <w:sz w:val="22"/>
                <w:szCs w:val="22"/>
                <w:color w:val="auto"/>
              </w:rPr>
              <w:t>Purchase Commitments²</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44,459</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44,459</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37"/>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157,060</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111,037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42,364</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2,082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1,577</w:t>
            </w: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¹Contractual obligations include our obligations related to sponsorships and other commitments.</w:t>
      </w:r>
    </w:p>
    <w:p>
      <w:pPr>
        <w:spacing w:after="0" w:line="3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approximately $0.9 million of recognized tax benefits have been recorded as liabilities as of December 31, 2013. It is expected that the amount of unrecognized tax benefits will not significantly change within the next 12 months. We have also recorded a liability for potential penalties and interest of $0.4 million as of December 31, 2013.</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Policies and Pronouncements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Critical Accounting Policies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consolidated financial statements are prepared in accordance with GAAP. GAAP requires us to make estimates and assumptions that affect the reported amounts in our consolidated financial statements. The following summarizes our most significant accounting and reporting policies and practices:</w:t>
      </w:r>
    </w:p>
    <w:p>
      <w:pPr>
        <w:spacing w:after="0" w:line="200" w:lineRule="exact"/>
        <w:rPr>
          <w:sz w:val="20"/>
          <w:szCs w:val="20"/>
          <w:color w:val="auto"/>
        </w:rPr>
      </w:pPr>
    </w:p>
    <w:p>
      <w:pPr>
        <w:jc w:val="both"/>
        <w:ind w:left="660"/>
        <w:spacing w:after="0" w:line="305"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Our investments in debt securities are classified as either held-to-maturity, available-for-sale or trading,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Financial Accounting Standards Board (the “FASB”) Accounting Standards Codification (“ASC”) 320. Held-to-maturity securities are those securities that we have the positive intent and ability to hold until maturity. Trading securities are those securities that we intend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income (loss) as a separate component of stockholders’ equity.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(see Note 3 “Fair Value of Certain Financial Assets and Liabilities” in the notes to consolidated financial statements). Under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income (loss), net of applicable taxes. We evaluate whether the decline in fair value of our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investments is other-than-temporary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207" w:lineRule="exact"/>
        <w:rPr>
          <w:sz w:val="20"/>
          <w:szCs w:val="20"/>
          <w:color w:val="auto"/>
        </w:rPr>
      </w:pPr>
    </w:p>
    <w:p>
      <w:pPr>
        <w:jc w:val="both"/>
        <w:ind w:left="660"/>
        <w:spacing w:after="0" w:line="316"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 We evaluate the collectability of our trade accounts receivable based on a number of factors.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where we become aware of a specific customer’s inability to meet its financial obligations to us, a specific reserve for bad debts is</w:t>
      </w:r>
    </w:p>
    <w:p>
      <w:pPr>
        <w:sectPr>
          <w:pgSz w:w="11900" w:h="16858" w:orient="portrait"/>
          <w:cols w:equalWidth="0" w:num="1">
            <w:col w:w="11420"/>
          </w:cols>
          <w:pgMar w:left="240" w:top="121" w:right="239" w:bottom="0" w:gutter="0" w:footer="0" w:header="0"/>
        </w:sectPr>
      </w:pPr>
    </w:p>
    <w:bookmarkStart w:id="34" w:name="page35"/>
    <w:bookmarkEnd w:id="34"/>
    <w:p>
      <w:pPr>
        <w:jc w:val="both"/>
        <w:ind w:left="660"/>
        <w:spacing w:after="0" w:line="250" w:lineRule="auto"/>
        <w:rPr>
          <w:sz w:val="20"/>
          <w:szCs w:val="20"/>
          <w:color w:val="auto"/>
        </w:rPr>
      </w:pPr>
      <w:r>
        <w:rPr>
          <w:rFonts w:ascii="Arial" w:cs="Arial" w:eastAsia="Arial" w:hAnsi="Arial"/>
          <w:sz w:val="20"/>
          <w:szCs w:val="20"/>
          <w:color w:val="auto"/>
        </w:rPr>
        <w:t>estimated and recorded, which reduces the recognized receivable to the estimated amount we believe will ultimately be collected. In addition to specific customer identification of potential bad debts, bad debt charges are recorded based on our recent loss history and an overall assessment of past due trade accounts receivable outstanding.</w:t>
      </w:r>
    </w:p>
    <w:p>
      <w:pPr>
        <w:spacing w:after="0" w:line="201"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i w:val="1"/>
          <w:iCs w:val="1"/>
          <w:color w:val="auto"/>
        </w:rPr>
        <w:t xml:space="preserve">Inventories </w:t>
      </w:r>
      <w:r>
        <w:rPr>
          <w:rFonts w:ascii="Arial" w:cs="Arial" w:eastAsia="Arial" w:hAnsi="Arial"/>
          <w:sz w:val="19"/>
          <w:szCs w:val="19"/>
          <w:color w:val="auto"/>
        </w:rPr>
        <w:t>– Inventories are stated at the lower of cost to purchase and/or manufacture the inventory or the current estimated market</w:t>
      </w:r>
      <w:r>
        <w:rPr>
          <w:rFonts w:ascii="Arial" w:cs="Arial" w:eastAsia="Arial" w:hAnsi="Arial"/>
          <w:sz w:val="19"/>
          <w:szCs w:val="19"/>
          <w:i w:val="1"/>
          <w:iCs w:val="1"/>
          <w:color w:val="auto"/>
        </w:rPr>
        <w:t xml:space="preserve"> </w:t>
      </w:r>
      <w:r>
        <w:rPr>
          <w:rFonts w:ascii="Arial" w:cs="Arial" w:eastAsia="Arial" w:hAnsi="Arial"/>
          <w:sz w:val="19"/>
          <w:szCs w:val="19"/>
          <w:color w:val="auto"/>
        </w:rPr>
        <w:t>value of the inventory. We regularly review our inventory quantities on hand and record a provision for excess and obsolete inventory based primarily on our estimated forecast of product demand, production availability and/or our ability to sell the product(s) concerned. Demand for our products can fluctuate significantly. Factors that could affect demand for our products include unanticipated changes in consumer preferences, general market and economic conditions or other factors that may result in cancellations of advance orders or reductions in the rate of reorders placed by customers and/or continued weakening of economic conditions. Additionally, management’s estimates of future product demand may be inaccurate, which could result in an understated or overstated provision required for excess and obsolete inventory.</w:t>
      </w:r>
    </w:p>
    <w:p>
      <w:pPr>
        <w:spacing w:after="0" w:line="195" w:lineRule="exact"/>
        <w:rPr>
          <w:sz w:val="20"/>
          <w:szCs w:val="20"/>
          <w:color w:val="auto"/>
        </w:rPr>
      </w:pPr>
    </w:p>
    <w:p>
      <w:pPr>
        <w:jc w:val="both"/>
        <w:ind w:left="660"/>
        <w:spacing w:after="0" w:line="256" w:lineRule="auto"/>
        <w:rPr>
          <w:sz w:val="20"/>
          <w:szCs w:val="20"/>
          <w:color w:val="auto"/>
        </w:rPr>
      </w:pPr>
      <w:r>
        <w:rPr>
          <w:rFonts w:ascii="Arial" w:cs="Arial" w:eastAsia="Arial" w:hAnsi="Arial"/>
          <w:sz w:val="19"/>
          <w:szCs w:val="19"/>
          <w:i w:val="1"/>
          <w:iCs w:val="1"/>
          <w:color w:val="auto"/>
        </w:rPr>
        <w:t xml:space="preserve">Long-Lived Assets </w:t>
      </w:r>
      <w:r>
        <w:rPr>
          <w:rFonts w:ascii="Arial" w:cs="Arial" w:eastAsia="Arial" w:hAnsi="Arial"/>
          <w:sz w:val="19"/>
          <w:szCs w:val="19"/>
          <w:color w:val="auto"/>
        </w:rPr>
        <w:t>– Management regularly reviews property and equipment and other long-lived assets, including certain definite-lived identifiable intangible assets, for possible impairment. This review occurs annually or more frequently if events or changes in circumstances indicate the carrying amount of the asset may not be recoverable. If there is indication of impairment of property and equipment or amortizable intangible assets, then management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at the present value of the future cash flows discounted at a rate commensurate with management’s estimates of the business risks. No impairment indicators were identified as of December 31, 2013 or 2012. Long-lived assets held for sale are recorded at the lower of their carrying amount or fair value less cost to sell.</w:t>
      </w:r>
    </w:p>
    <w:p>
      <w:pPr>
        <w:spacing w:after="0" w:line="198" w:lineRule="exact"/>
        <w:rPr>
          <w:sz w:val="20"/>
          <w:szCs w:val="20"/>
          <w:color w:val="auto"/>
        </w:rPr>
      </w:pPr>
    </w:p>
    <w:p>
      <w:pPr>
        <w:jc w:val="both"/>
        <w:ind w:left="660"/>
        <w:spacing w:after="0" w:line="259" w:lineRule="auto"/>
        <w:rPr>
          <w:sz w:val="20"/>
          <w:szCs w:val="20"/>
          <w:color w:val="auto"/>
        </w:rPr>
      </w:pPr>
      <w:r>
        <w:rPr>
          <w:rFonts w:ascii="Arial" w:cs="Arial" w:eastAsia="Arial" w:hAnsi="Arial"/>
          <w:sz w:val="19"/>
          <w:szCs w:val="19"/>
          <w:color w:val="auto"/>
        </w:rPr>
        <w:t>Management believes that the accounting estimate related to impairment of its long-lived assets, including its trademarks (as discussed below), is a “critical accounting estimate” because: (1) the estimate is highly susceptible to change from period to period because it requires Company management to make assumptions about cash flows and discount rates; and (2) the impact that recognizing an impairment would have on the assets reported on our consolidated balance sheet, as well as net income, could be material. Management’s assumptions about cash flows and discount rates require significant judgment because actual revenues and expenses have fluctuated in the past and are expected to continue to do so.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46" w:lineRule="exact"/>
        <w:rPr>
          <w:sz w:val="20"/>
          <w:szCs w:val="20"/>
          <w:color w:val="auto"/>
        </w:rPr>
      </w:pPr>
    </w:p>
    <w:p>
      <w:pPr>
        <w:jc w:val="both"/>
        <w:ind w:left="660"/>
        <w:spacing w:after="0" w:line="270" w:lineRule="auto"/>
        <w:rPr>
          <w:sz w:val="20"/>
          <w:szCs w:val="20"/>
          <w:color w:val="auto"/>
        </w:rPr>
      </w:pPr>
      <w:r>
        <w:rPr>
          <w:rFonts w:ascii="Arial" w:cs="Arial" w:eastAsia="Arial" w:hAnsi="Arial"/>
          <w:sz w:val="18"/>
          <w:szCs w:val="18"/>
          <w:i w:val="1"/>
          <w:iCs w:val="1"/>
          <w:color w:val="auto"/>
        </w:rPr>
        <w:t xml:space="preserve">Intangibles </w:t>
      </w:r>
      <w:r>
        <w:rPr>
          <w:rFonts w:ascii="Arial" w:cs="Arial" w:eastAsia="Arial" w:hAnsi="Arial"/>
          <w:sz w:val="18"/>
          <w:szCs w:val="18"/>
          <w:color w:val="auto"/>
        </w:rPr>
        <w:t xml:space="preserve">– Intangibles are comprised primarily of trademarks that represent our exclusive ownership of the Monster Energy®, </w:t>
      </w:r>
      <w:r>
        <w:rPr>
          <w:sz w:val="1"/>
          <w:szCs w:val="1"/>
          <w:color w:val="auto"/>
        </w:rPr>
        <w:drawing>
          <wp:inline distT="0" distB="0" distL="0" distR="0">
            <wp:extent cx="102870" cy="1371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8"/>
          <w:szCs w:val="18"/>
          <w:color w:val="auto"/>
        </w:rPr>
        <w:t>®, Monster Rehab®, Java Monster®, Muscle Monster®, Unleash the Beast®, Punch Monster™, Peace Tea®, Hansen’s®, Blue Sky®, and the Junior Juice® trademarks, all used in connection with the manufacture, sale and distribution of supplements and beverages. We also own in our own right a number of other trademarks in the United States, as well as in a number of countries around the world. During 2002, we adopted ASC 350. Under the provisions of ASC 350, we discontinued amortization on indefinite-lived trademarks while continuing to amortize remaining definite-lived trademarks over one to 25 years.</w:t>
      </w:r>
    </w:p>
    <w:p>
      <w:pPr>
        <w:spacing w:after="0" w:line="186" w:lineRule="exact"/>
        <w:rPr>
          <w:sz w:val="20"/>
          <w:szCs w:val="20"/>
          <w:color w:val="auto"/>
        </w:rPr>
      </w:pPr>
    </w:p>
    <w:p>
      <w:pPr>
        <w:jc w:val="both"/>
        <w:ind w:left="660"/>
        <w:spacing w:after="0" w:line="258" w:lineRule="auto"/>
        <w:rPr>
          <w:sz w:val="20"/>
          <w:szCs w:val="20"/>
          <w:color w:val="auto"/>
        </w:rPr>
      </w:pPr>
      <w:r>
        <w:rPr>
          <w:rFonts w:ascii="Arial" w:cs="Arial" w:eastAsia="Arial" w:hAnsi="Arial"/>
          <w:sz w:val="19"/>
          <w:szCs w:val="19"/>
          <w:color w:val="auto"/>
        </w:rPr>
        <w:t>In accordance with ASC 350, we evaluate our trademarks annually for impairment or earlier if there is an indication of impairment. If there is an indication of impairment of identified intangible assets not subject to amortization, management compares the estimated fair value with the carrying amount of the asset. An impairment loss is recognized to write down the intangible asset to its fair value if it is less than the carrying amount. The fair value is calculated using the income approach. However, preparation of estimated expected future cash flows is inherently subjective and is based on management’s best estimate of assumptions concerning expected future conditions. Based on management’s impairment analysis performed for the year ended December 31, 2013, the estimated fair values of trademarks exceeded the carrying values.</w:t>
      </w:r>
    </w:p>
    <w:p>
      <w:pPr>
        <w:spacing w:after="0" w:line="193"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In estimating future revenues, we use internal budgets. Internal budgets are developed based on recent revenue data and future marketing plans for existing product lines and planned timing of future introductions of new products and their impact on our future cash flows.</w:t>
      </w:r>
    </w:p>
    <w:p>
      <w:pPr>
        <w:spacing w:after="0" w:line="200" w:lineRule="exact"/>
        <w:rPr>
          <w:sz w:val="20"/>
          <w:szCs w:val="20"/>
          <w:color w:val="auto"/>
        </w:rPr>
      </w:pPr>
    </w:p>
    <w:p>
      <w:pPr>
        <w:jc w:val="both"/>
        <w:ind w:left="660"/>
        <w:spacing w:after="0" w:line="270"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We recognize revenue when persuasive evidence of an arrangement exists, delivery has occurred, the sales price</w:t>
      </w:r>
      <w:r>
        <w:rPr>
          <w:rFonts w:ascii="Arial" w:cs="Arial" w:eastAsia="Arial" w:hAnsi="Arial"/>
          <w:sz w:val="18"/>
          <w:szCs w:val="18"/>
          <w:i w:val="1"/>
          <w:iCs w:val="1"/>
          <w:color w:val="auto"/>
        </w:rPr>
        <w:t xml:space="preserve"> </w:t>
      </w:r>
      <w:r>
        <w:rPr>
          <w:rFonts w:ascii="Arial" w:cs="Arial" w:eastAsia="Arial" w:hAnsi="Arial"/>
          <w:sz w:val="18"/>
          <w:szCs w:val="18"/>
          <w:color w:val="auto"/>
        </w:rPr>
        <w:t>is fixed or determinable and collectability is reasonably assured. Generally, ownership of and title to our products pass to customers upon delivery of the products to customers. Certain of our distributors may also perform a separate function as a co-packer on our behalf. In such cases, ownership of and title to our products that are co-packed on our behalf by those co-packers who are also distributors, passes to such distributors when we are notified by them that they have taken transfer or possession of the relevant portion of our finished goods. Net sales are determined after deducting promotional and other allowances in accordance with ASC 605-50. The Company’s promotional and other allowances are calculated based on various programs with its distributors and retail customers, and accruals are established during the year for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 and actual expenses for promotional and other allowance costs have historically been insignificant and are recognized in earnings in the period such differences are determined. Amounts received pursuant to new and/or amended distribution agreements entered into with certain distributors, relating to the costs associated with terminating our prior distributors, are accounted for as revenue ratably over the anticipated life of the respective distribution agreement, which is generally 20 years.</w:t>
      </w:r>
    </w:p>
    <w:p>
      <w:pPr>
        <w:spacing w:after="0" w:line="184"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our historical experience.</w:t>
      </w:r>
    </w:p>
    <w:p>
      <w:pPr>
        <w:sectPr>
          <w:pgSz w:w="11900" w:h="16838" w:orient="portrait"/>
          <w:cols w:equalWidth="0" w:num="1">
            <w:col w:w="11420"/>
          </w:cols>
          <w:pgMar w:left="240" w:top="122" w:right="239" w:bottom="0" w:gutter="0" w:footer="0" w:header="0"/>
        </w:sectPr>
      </w:pPr>
    </w:p>
    <w:bookmarkStart w:id="35" w:name="page36"/>
    <w:bookmarkEnd w:id="35"/>
    <w:p>
      <w:pPr>
        <w:spacing w:after="0" w:line="18" w:lineRule="exact"/>
        <w:rPr>
          <w:sz w:val="20"/>
          <w:szCs w:val="20"/>
          <w:color w:val="auto"/>
        </w:rPr>
      </w:pPr>
    </w:p>
    <w:p>
      <w:pPr>
        <w:jc w:val="both"/>
        <w:ind w:left="660"/>
        <w:spacing w:after="0" w:line="264" w:lineRule="auto"/>
        <w:rPr>
          <w:sz w:val="20"/>
          <w:szCs w:val="20"/>
          <w:color w:val="auto"/>
        </w:rPr>
      </w:pPr>
      <w:r>
        <w:rPr>
          <w:rFonts w:ascii="Arial" w:cs="Arial" w:eastAsia="Arial" w:hAnsi="Arial"/>
          <w:sz w:val="19"/>
          <w:szCs w:val="19"/>
          <w:i w:val="1"/>
          <w:iCs w:val="1"/>
          <w:color w:val="auto"/>
        </w:rPr>
        <w:t xml:space="preserve">Cost of Sales </w:t>
      </w:r>
      <w:r>
        <w:rPr>
          <w:rFonts w:ascii="Arial" w:cs="Arial" w:eastAsia="Arial" w:hAnsi="Arial"/>
          <w:sz w:val="19"/>
          <w:szCs w:val="19"/>
          <w:color w:val="auto"/>
        </w:rPr>
        <w:t>– Cost of sales consists of the costs of raw materials utilized in the manufacture of products, co-packing fees, repacking</w:t>
      </w:r>
      <w:r>
        <w:rPr>
          <w:rFonts w:ascii="Arial" w:cs="Arial" w:eastAsia="Arial" w:hAnsi="Arial"/>
          <w:sz w:val="19"/>
          <w:szCs w:val="19"/>
          <w:i w:val="1"/>
          <w:iCs w:val="1"/>
          <w:color w:val="auto"/>
        </w:rPr>
        <w:t xml:space="preserve"> </w:t>
      </w:r>
      <w:r>
        <w:rPr>
          <w:rFonts w:ascii="Arial" w:cs="Arial" w:eastAsia="Arial" w:hAnsi="Arial"/>
          <w:sz w:val="19"/>
          <w:szCs w:val="19"/>
          <w:color w:val="auto"/>
        </w:rPr>
        <w:t>fees, in-bound freight charges, as well as certain internal transfer costs, warehouse expenses incurred prior to the manufacture of our finished products and certain quality control costs. Raw materials account for the largest portion of the cost of sales. Raw materials include cans, bottles, other containers, flavors, ingredients and packaging materials.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i w:val="1"/>
          <w:iCs w:val="1"/>
          <w:color w:val="auto"/>
        </w:rPr>
        <w:t xml:space="preserve">Operating Expenses </w:t>
      </w:r>
      <w:r>
        <w:rPr>
          <w:rFonts w:ascii="Arial" w:cs="Arial" w:eastAsia="Arial" w:hAnsi="Arial"/>
          <w:sz w:val="20"/>
          <w:szCs w:val="20"/>
          <w:color w:val="auto"/>
        </w:rPr>
        <w:t>– Operating expenses include selling expenses such as distribution expenses to transport products to customers and</w:t>
      </w:r>
      <w:r>
        <w:rPr>
          <w:rFonts w:ascii="Arial" w:cs="Arial" w:eastAsia="Arial" w:hAnsi="Arial"/>
          <w:sz w:val="20"/>
          <w:szCs w:val="20"/>
          <w:i w:val="1"/>
          <w:iCs w:val="1"/>
          <w:color w:val="auto"/>
        </w:rPr>
        <w:t xml:space="preserve"> </w:t>
      </w:r>
      <w:r>
        <w:rPr>
          <w:rFonts w:ascii="Arial" w:cs="Arial" w:eastAsia="Arial" w:hAnsi="Arial"/>
          <w:sz w:val="20"/>
          <w:szCs w:val="20"/>
          <w:color w:val="auto"/>
        </w:rPr>
        <w:t>warehousing expenses after manufacture, as well as expenses for advertising, commissions, sampling and in-store demonstration costs, costs for merchandise displays, point-of-sale materials and premium items, sponsorship expenses, other marketing expenses and design expenses. Operating expenses also include payroll costs, travel costs, professional service fees including legal fees, termination payments made to certain of our prior distributors, entertainment costs, insurance costs, postage costs, depreciation and other general and administrative costs.</w:t>
      </w:r>
    </w:p>
    <w:p>
      <w:pPr>
        <w:spacing w:after="0" w:line="210"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accounts for stock-based compensation under the provisions of ASC 718.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on which a commitment for performance by the non-employee to earn the stock option is reached or (2) the date on which the non-employee’s performance is complete, using the Black-Scholes-Merton option pricing formula. 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183" w:lineRule="exact"/>
        <w:rPr>
          <w:sz w:val="20"/>
          <w:szCs w:val="20"/>
          <w:color w:val="auto"/>
        </w:rPr>
      </w:pPr>
    </w:p>
    <w:p>
      <w:pPr>
        <w:jc w:val="both"/>
        <w:ind w:left="660"/>
        <w:spacing w:after="0" w:line="258"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 We utilize the liability method of accounting for income taxes as set forth in ASC 740. Under the liability method,</w:t>
      </w:r>
      <w:r>
        <w:rPr>
          <w:rFonts w:ascii="Arial" w:cs="Arial" w:eastAsia="Arial" w:hAnsi="Arial"/>
          <w:sz w:val="19"/>
          <w:szCs w:val="19"/>
          <w:i w:val="1"/>
          <w:iCs w:val="1"/>
          <w:color w:val="auto"/>
        </w:rPr>
        <w:t xml:space="preserve"> </w:t>
      </w:r>
      <w:r>
        <w:rPr>
          <w:rFonts w:ascii="Arial" w:cs="Arial" w:eastAsia="Arial" w:hAnsi="Arial"/>
          <w:sz w:val="19"/>
          <w:szCs w:val="19"/>
          <w:color w:val="auto"/>
        </w:rPr>
        <w:t>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we consider projected future taxable income and the availability of tax planning strategies. If in the future we determine that we would not be able to realize our recorded deferred tax assets, an increase in the valuation allowance would be recorded, decreasing earnings in the period in which such determination is made.</w:t>
      </w:r>
    </w:p>
    <w:p>
      <w:pPr>
        <w:spacing w:after="0" w:line="193"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color w:val="auto"/>
        </w:rPr>
        <w:t>We assess our income tax positions and record tax benefits for all years subject to examination based upon our evaluation of the facts, circumstances and information available as of the reporting date. For those tax positions where there is a greater than 50% likelihood that a tax benefit will be sustained, we have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See “Part II, Item 8 – Financial Statements and Supplementary Data – Note 1 – Organization and Summary of Significant Accounting Policies – Recent Accounting Pronouncements” for a full description of recent accounting pronouncements including the respective expected dates of adoption and expected effects on the Company’s consolidated financial position, results of operations or liquidity.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(the “Securities Act”), and Section 21E of the Exchange Act, as amended) regarding our expectations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“estimates,” and similar expressions are intended to identify forward-looking statements.</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340" w:right="60" w:hanging="332"/>
        <w:spacing w:after="0" w:line="247" w:lineRule="auto"/>
        <w:tabs>
          <w:tab w:leader="none" w:pos="322" w:val="left"/>
        </w:tabs>
        <w:numPr>
          <w:ilvl w:val="0"/>
          <w:numId w:val="19"/>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Lack of anticipated demand for our products in international markets;</w:t>
      </w:r>
    </w:p>
    <w:p>
      <w:pPr>
        <w:ind w:left="280" w:hanging="272"/>
        <w:spacing w:after="0"/>
        <w:tabs>
          <w:tab w:leader="none" w:pos="2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and/or trade restrictions;</w:t>
      </w:r>
    </w:p>
    <w:p>
      <w:pPr>
        <w:sectPr>
          <w:pgSz w:w="11900" w:h="16856" w:orient="portrait"/>
          <w:cols w:equalWidth="0" w:num="1">
            <w:col w:w="11420"/>
          </w:cols>
          <w:pgMar w:left="240" w:top="121" w:right="239" w:bottom="0" w:gutter="0" w:footer="0" w:header="0"/>
        </w:sectPr>
      </w:pPr>
    </w:p>
    <w:bookmarkStart w:id="36" w:name="page37"/>
    <w:bookmarkEnd w:id="36"/>
    <w:p>
      <w:pPr>
        <w:jc w:val="both"/>
        <w:ind w:left="340" w:hanging="332"/>
        <w:spacing w:after="0" w:line="244" w:lineRule="auto"/>
        <w:tabs>
          <w:tab w:leader="none" w:pos="362"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effect of inquiries from and/or actions by state attorneys general, the Federal Trade Commission (the “FTC”), the FDA, municipalities or city attorneys and/or other government agencies and/or quasi-government agencies and/or government officials, including members of Congress, into the advertising, marketing, promotion, ingredients, sale and/or consumption of our energy drink products, including voluntary changes to our business practices;</w:t>
      </w:r>
    </w:p>
    <w:p>
      <w:pPr>
        <w:ind w:left="280" w:hanging="272"/>
        <w:spacing w:after="0"/>
        <w:tabs>
          <w:tab w:leader="none" w:pos="2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ability to achieve profitability from our operations outside the United States;</w:t>
      </w:r>
    </w:p>
    <w:p>
      <w:pPr>
        <w:ind w:left="340" w:right="20" w:hanging="332"/>
        <w:spacing w:after="0" w:line="252" w:lineRule="auto"/>
        <w:tabs>
          <w:tab w:leader="none" w:pos="538" w:val="left"/>
        </w:tabs>
        <w:numPr>
          <w:ilvl w:val="0"/>
          <w:numId w:val="20"/>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spacing w:after="0" w:line="22" w:lineRule="exact"/>
        <w:rPr>
          <w:rFonts w:ascii="Arial" w:cs="Arial" w:eastAsia="Arial" w:hAnsi="Arial"/>
          <w:sz w:val="18"/>
          <w:szCs w:val="18"/>
          <w:color w:val="auto"/>
        </w:rPr>
      </w:pPr>
    </w:p>
    <w:p>
      <w:pPr>
        <w:ind w:left="280" w:hanging="272"/>
        <w:spacing w:after="0"/>
        <w:tabs>
          <w:tab w:leader="none" w:pos="2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jc w:val="both"/>
        <w:ind w:left="340" w:hanging="332"/>
        <w:spacing w:after="0" w:line="239" w:lineRule="auto"/>
        <w:tabs>
          <w:tab w:leader="none" w:pos="43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 since we do not use derivative financial instruments to reduce our net exposure to currency fluctuations;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340" w:hanging="332"/>
        <w:spacing w:after="0" w:line="239" w:lineRule="auto"/>
        <w:tabs>
          <w:tab w:leader="none" w:pos="43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340" w:right="20" w:hanging="332"/>
        <w:spacing w:after="0" w:line="239" w:lineRule="auto"/>
        <w:tabs>
          <w:tab w:leader="none" w:pos="376"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outcome of shareholder securities litigation and/or shareholder derivative actions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possibility of future shareholder derivative actions or shareholder securities litigation filed against us;</w:t>
      </w:r>
    </w:p>
    <w:p>
      <w:pPr>
        <w:jc w:val="both"/>
        <w:ind w:left="340" w:hanging="332"/>
        <w:spacing w:after="0" w:line="239" w:lineRule="auto"/>
        <w:tabs>
          <w:tab w:leader="none" w:pos="335"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left="340" w:hanging="332"/>
        <w:spacing w:after="0" w:line="245" w:lineRule="auto"/>
        <w:tabs>
          <w:tab w:leader="none" w:pos="416"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outcome of future auctions of auction rate securities and/or our ability to recover payments thereunder and/or the creditworthiness of issuers of our auction rate securities and/or our 2011 Put Option (as defined in Note 4 of Notes to the Condensed Consolidated Financial Statements) and/or their ability to make payment thereunder;</w:t>
      </w:r>
    </w:p>
    <w:p>
      <w:pPr>
        <w:ind w:left="280" w:hanging="272"/>
        <w:spacing w:after="0"/>
        <w:tabs>
          <w:tab w:leader="none" w:pos="2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 over financial reporting;</w:t>
      </w:r>
    </w:p>
    <w:p>
      <w:pPr>
        <w:ind w:left="280" w:hanging="272"/>
        <w:spacing w:after="0"/>
        <w:tabs>
          <w:tab w:leader="none" w:pos="2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ability to generate sufficient cash flows to support capital expansion plans and general operating activities;</w:t>
      </w:r>
    </w:p>
    <w:p>
      <w:pPr>
        <w:ind w:left="340" w:right="20" w:hanging="332"/>
        <w:spacing w:after="0" w:line="239" w:lineRule="auto"/>
        <w:tabs>
          <w:tab w:leader="none" w:pos="686" w:val="left"/>
        </w:tabs>
        <w:numPr>
          <w:ilvl w:val="0"/>
          <w:numId w:val="21"/>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and/or from decreased consumer discretionary spending power and/or from high gasoline prices;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Changes in demand that are weather related, particularly in areas outside of California;</w:t>
      </w:r>
    </w:p>
    <w:p>
      <w:pPr>
        <w:ind w:left="340" w:hanging="332"/>
        <w:spacing w:after="0" w:line="239" w:lineRule="auto"/>
        <w:tabs>
          <w:tab w:leader="none" w:pos="322"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280" w:hanging="272"/>
        <w:spacing w:after="0"/>
        <w:tabs>
          <w:tab w:leader="none" w:pos="2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340" w:hanging="332"/>
        <w:spacing w:after="0" w:line="239" w:lineRule="auto"/>
        <w:tabs>
          <w:tab w:leader="none" w:pos="295"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increase the sales of our Monster Energy® brand energy drinks and/or our Peace Tea® iced teas and/or our other products;</w:t>
      </w:r>
    </w:p>
    <w:p>
      <w:pPr>
        <w:spacing w:after="0" w:line="1" w:lineRule="exact"/>
        <w:rPr>
          <w:rFonts w:ascii="Arial" w:cs="Arial" w:eastAsia="Arial" w:hAnsi="Arial"/>
          <w:sz w:val="20"/>
          <w:szCs w:val="20"/>
          <w:color w:val="auto"/>
        </w:rPr>
      </w:pPr>
    </w:p>
    <w:p>
      <w:pPr>
        <w:jc w:val="both"/>
        <w:ind w:left="340" w:hanging="332"/>
        <w:spacing w:after="0" w:line="266" w:lineRule="auto"/>
        <w:tabs>
          <w:tab w:leader="none" w:pos="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or impose age restrictions for the sale of energy drinks;</w:t>
      </w:r>
    </w:p>
    <w:p>
      <w:pPr>
        <w:jc w:val="both"/>
        <w:ind w:left="340" w:hanging="332"/>
        <w:spacing w:after="0" w:line="266" w:lineRule="auto"/>
        <w:tabs>
          <w:tab w:leader="none" w:pos="3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and/or sales and/or other taxes on our products and revised tax law interpretations) and environmental laws, as well as the FFDC Act, including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sizes, or impose age restrictions for the sale of energy drinks, as well as laws and regulations or rules made or enforced by the FDA, and/or the Bureau of Alcohol, Tobacco and Firearms and Explosives, and/or the Federal Trade Commission;</w:t>
      </w:r>
    </w:p>
    <w:p>
      <w:pPr>
        <w:spacing w:after="0" w:line="1" w:lineRule="exact"/>
        <w:rPr>
          <w:rFonts w:ascii="Arial" w:cs="Arial" w:eastAsia="Arial" w:hAnsi="Arial"/>
          <w:sz w:val="18"/>
          <w:szCs w:val="18"/>
          <w:color w:val="auto"/>
        </w:rPr>
      </w:pPr>
    </w:p>
    <w:p>
      <w:pPr>
        <w:jc w:val="both"/>
        <w:ind w:left="340" w:hanging="332"/>
        <w:spacing w:after="0" w:line="239" w:lineRule="auto"/>
        <w:tabs>
          <w:tab w:leader="none" w:pos="632"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ability to satisfy all criteria set forth in any model energy drink guidelines, including, without limitation, those proposed by the Company in letters to senators or proposed by the American Beverage Association, of which the Company is a member, and the impact on the Company of such guidelines;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effect of unfavorable press and/or articles, comments and/or media attention;</w:t>
      </w:r>
    </w:p>
    <w:p>
      <w:pPr>
        <w:jc w:val="both"/>
        <w:ind w:left="340" w:hanging="332"/>
        <w:spacing w:after="0" w:line="239" w:lineRule="auto"/>
        <w:tabs>
          <w:tab w:leader="none" w:pos="335" w:val="left"/>
        </w:tabs>
        <w:numPr>
          <w:ilvl w:val="0"/>
          <w:numId w:val="21"/>
        </w:numPr>
        <w:rPr>
          <w:rFonts w:ascii="Arial" w:cs="Arial" w:eastAsia="Arial" w:hAnsi="Arial"/>
          <w:sz w:val="20"/>
          <w:szCs w:val="20"/>
          <w:color w:val="auto"/>
        </w:rPr>
      </w:pPr>
      <w:r>
        <w:rPr>
          <w:rFonts w:ascii="Arial" w:cs="Arial" w:eastAsia="Arial" w:hAnsi="Arial"/>
          <w:sz w:val="20"/>
          <w:szCs w:val="20"/>
          <w:color w:val="auto"/>
        </w:rPr>
        <w:t>Changes in the cost, quality and availability of containers, packaging materials, raw materials,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Arial" w:cs="Arial" w:eastAsia="Arial" w:hAnsi="Arial"/>
          <w:sz w:val="20"/>
          <w:szCs w:val="20"/>
          <w:color w:val="auto"/>
        </w:rPr>
      </w:pPr>
    </w:p>
    <w:p>
      <w:pPr>
        <w:ind w:left="340" w:hanging="332"/>
        <w:spacing w:after="0" w:line="239" w:lineRule="auto"/>
        <w:tabs>
          <w:tab w:leader="none" w:pos="605"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the increasing costs of fuel and/or raw materials and/or ingredients and/or commodities affecting our business;</w:t>
      </w:r>
    </w:p>
    <w:p>
      <w:pPr>
        <w:spacing w:after="0" w:line="1" w:lineRule="exact"/>
        <w:rPr>
          <w:rFonts w:ascii="Arial" w:cs="Arial" w:eastAsia="Arial" w:hAnsi="Arial"/>
          <w:sz w:val="20"/>
          <w:szCs w:val="20"/>
          <w:color w:val="auto"/>
        </w:rPr>
      </w:pPr>
    </w:p>
    <w:p>
      <w:pPr>
        <w:jc w:val="both"/>
        <w:ind w:left="340" w:right="20" w:hanging="332"/>
        <w:spacing w:after="0" w:line="241" w:lineRule="auto"/>
        <w:tabs>
          <w:tab w:leader="none" w:pos="308"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ability to achieve both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ectPr>
          <w:pgSz w:w="11900" w:h="16838" w:orient="portrait"/>
          <w:cols w:equalWidth="0" w:num="1">
            <w:col w:w="11420"/>
          </w:cols>
          <w:pgMar w:left="240" w:top="121" w:right="239" w:bottom="155"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55" w:gutter="0" w:footer="0" w:header="0"/>
          <w:type w:val="continuous"/>
        </w:sectPr>
      </w:pPr>
    </w:p>
    <w:bookmarkStart w:id="37" w:name="page38"/>
    <w:bookmarkEnd w:id="37"/>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30" w:lineRule="exact"/>
        <w:rPr>
          <w:sz w:val="20"/>
          <w:szCs w:val="20"/>
          <w:color w:val="auto"/>
        </w:rPr>
      </w:pPr>
    </w:p>
    <w:p>
      <w:pPr>
        <w:ind w:left="340" w:hanging="332"/>
        <w:spacing w:after="0" w:line="247" w:lineRule="auto"/>
        <w:tabs>
          <w:tab w:leader="none" w:pos="403"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280" w:hanging="272"/>
        <w:spacing w:after="0"/>
        <w:tabs>
          <w:tab w:leader="none" w:pos="2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secure and/or retain competent and/or effective distributors internationally;</w:t>
      </w:r>
    </w:p>
    <w:p>
      <w:pPr>
        <w:ind w:left="340" w:right="20" w:hanging="332"/>
        <w:spacing w:after="0" w:line="239" w:lineRule="auto"/>
        <w:tabs>
          <w:tab w:leader="none" w:pos="443"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of distributors of our products, most of which distribute products that are competitive with our products;</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7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280" w:hanging="272"/>
        <w:spacing w:after="0"/>
        <w:tabs>
          <w:tab w:leader="none" w:pos="2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Changes in product category consumption;</w:t>
      </w:r>
    </w:p>
    <w:p>
      <w:pPr>
        <w:ind w:left="300" w:hanging="274"/>
        <w:spacing w:after="0"/>
        <w:tabs>
          <w:tab w:leader="none" w:pos="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280" w:hanging="272"/>
        <w:spacing w:after="0"/>
        <w:tabs>
          <w:tab w:leader="none" w:pos="2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340" w:hanging="332"/>
        <w:spacing w:after="0" w:line="239" w:lineRule="auto"/>
        <w:tabs>
          <w:tab w:leader="none" w:pos="295"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co-packing of any of our products both domestically and internationally and/or the timely replacement of discontinued co-packing arrangements;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procurement of non-defective raw materials;</w:t>
      </w:r>
    </w:p>
    <w:p>
      <w:pPr>
        <w:ind w:left="340" w:hanging="332"/>
        <w:spacing w:after="0" w:line="239" w:lineRule="auto"/>
        <w:tabs>
          <w:tab w:leader="none" w:pos="43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ind w:left="340" w:hanging="332"/>
        <w:spacing w:after="0" w:line="239" w:lineRule="auto"/>
        <w:tabs>
          <w:tab w:leader="none" w:pos="322" w:val="left"/>
        </w:tabs>
        <w:numPr>
          <w:ilvl w:val="0"/>
          <w:numId w:val="22"/>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failure of our bottlers and contract packers to manufacture our products on a timely basis or at all;</w:t>
      </w:r>
    </w:p>
    <w:p>
      <w:pPr>
        <w:ind w:left="280" w:hanging="272"/>
        <w:spacing w:after="0"/>
        <w:tabs>
          <w:tab w:leader="none" w:pos="2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340" w:hanging="332"/>
        <w:spacing w:after="0" w:line="239" w:lineRule="auto"/>
        <w:tabs>
          <w:tab w:leader="none" w:pos="565"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that disrupts our business or negatively impacts customer relationships; and</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foregoing list of important factors and other risks detailed from time to time in our reports filed with the Securities and Exchange Commission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20"/>
          <w:szCs w:val="20"/>
          <w:b w:val="1"/>
          <w:bCs w:val="1"/>
          <w:color w:val="auto"/>
        </w:rPr>
        <w:t>QUANTITATIVE AND QUALITATIVE DISCLOSURES ABOUT MARKET RISK</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the normal course of business, our financial position is routinely subject to a variety of risks. The principal market risks (i.e., the risk of loss arising from adverse changes in market rates and prices) to which we are exposed are fluctuations in commodity prices affecting the costs of juice concentrates and other raw materials (including, but not limited to, increases in the price of aluminum for cans, resin for PET plastic bottles, as well as cane sugar and other sweeteners, glucose, sucrose, milk, cream and protein, all of which are used in some or many of our products), fluctuations in energy and fuel prices, and limited availability of certain raw materials. We generally do not use hedging agreements or alternative instruments to manage the risks associated with securing sufficient ingredients or raw materials. We are also subject to market risks with respect to the cost of commodities because our ability to recover increased costs through higher pricing is limited by the competitive environment in which we operate.</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do not use derivative financial instruments to protect ourselves from fluctuations in interest rates and do not hedge against fluctuations in commodity prices.</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Our gross sales to customers outside of the United States were approximately 23% and 22% of consolidated gross sales for the years ended December 31, 2013 and 2012, respectively. Our growth strategy includes expanding our international business. As a result, we are subject to risks from changes in foreign currency exchange rates. These changes result in cumulative translation adjustments, which are included in accumulated other comprehensive income (loss). We do not consider the potential loss resulting from a hypothetical 10% adverse change in quoted foreign currency exchange rates as of December 31, 2013 to be significant. For the year ended December 31, 2013, we did not use derivative financial instruments to reduce our net exposure to currency fluctuations.</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are primarily exposed to market risks from fluctuations in interest rates and the effects of those fluctuations on the market values of our short-term and long-term investments. Certain of our short-term and long-term investments are subject to interest rate risk because these investments generally include a fixed interest rate. As a result, the market values of these investments are affected by changes in prevailing interest rates. We do not consider the potential loss resulting from a hypothetical 10% adverse change in interest rates as of December 31, 2013 to be significant.</w:t>
      </w:r>
    </w:p>
    <w:p>
      <w:pPr>
        <w:sectPr>
          <w:pgSz w:w="11900" w:h="16838" w:orient="portrait"/>
          <w:cols w:equalWidth="0" w:num="1">
            <w:col w:w="11420"/>
          </w:cols>
          <w:pgMar w:left="240" w:top="122" w:right="239" w:bottom="0" w:gutter="0" w:footer="0" w:header="0"/>
        </w:sectPr>
      </w:pPr>
    </w:p>
    <w:bookmarkStart w:id="38" w:name="page39"/>
    <w:bookmarkEnd w:id="38"/>
    <w:p>
      <w:pPr>
        <w:jc w:val="both"/>
        <w:ind w:firstLine="648"/>
        <w:spacing w:after="0" w:line="247" w:lineRule="auto"/>
        <w:rPr>
          <w:sz w:val="20"/>
          <w:szCs w:val="20"/>
          <w:color w:val="auto"/>
        </w:rPr>
      </w:pPr>
      <w:r>
        <w:rPr>
          <w:rFonts w:ascii="Arial" w:cs="Arial" w:eastAsia="Arial" w:hAnsi="Arial"/>
          <w:sz w:val="20"/>
          <w:szCs w:val="20"/>
          <w:color w:val="auto"/>
        </w:rPr>
        <w:t>As of December 31, 2013, we had $211.3 million in cash and cash equivalents and $412.0 million in short-term and long-term investments including U.S. treasuries, certificates of deposit and municipal securities which may have an auction reset feature. Certain of these investments are subject to general credit, liquidity, market and interest rate risks. At the current time, we are not increasing our investments in auction rate securities.</w:t>
      </w:r>
    </w:p>
    <w:p>
      <w:pPr>
        <w:spacing w:after="0" w:line="196"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information required to be furnished in response to this ITEM 8 follows the signature page and Index to Exhibits hereto at pages 69 through 106.</w:t>
      </w:r>
    </w:p>
    <w:p>
      <w:pPr>
        <w:spacing w:after="0" w:line="184"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 Under the supervision and with the participation of the Company’s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w:t>
      </w:r>
    </w:p>
    <w:p>
      <w:pPr>
        <w:spacing w:after="0" w:line="2" w:lineRule="exact"/>
        <w:rPr>
          <w:sz w:val="20"/>
          <w:szCs w:val="20"/>
          <w:color w:val="auto"/>
        </w:rPr>
      </w:pPr>
    </w:p>
    <w:p>
      <w:pPr>
        <w:ind w:firstLine="8"/>
        <w:spacing w:after="0" w:line="244" w:lineRule="auto"/>
        <w:tabs>
          <w:tab w:leader="none" w:pos="306" w:val="left"/>
        </w:tabs>
        <w:numPr>
          <w:ilvl w:val="0"/>
          <w:numId w:val="23"/>
        </w:numPr>
        <w:rPr>
          <w:rFonts w:ascii="Arial" w:cs="Arial" w:eastAsia="Arial" w:hAnsi="Arial"/>
          <w:sz w:val="20"/>
          <w:szCs w:val="20"/>
          <w:color w:val="auto"/>
        </w:rPr>
      </w:pPr>
      <w:r>
        <w:rPr>
          <w:rFonts w:ascii="Arial" w:cs="Arial" w:eastAsia="Arial" w:hAnsi="Arial"/>
          <w:sz w:val="20"/>
          <w:szCs w:val="20"/>
          <w:color w:val="auto"/>
        </w:rPr>
        <w:t>accumulated and communicated to our management, including our principal executive and principal financial officers as appropriate to allow timely decisions regarding required disclosures.</w:t>
      </w:r>
    </w:p>
    <w:p>
      <w:pPr>
        <w:spacing w:after="0" w:line="20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Management’s Report on Internal Control Over Financial Reporting </w:t>
      </w:r>
      <w:r>
        <w:rPr>
          <w:rFonts w:ascii="Arial" w:cs="Arial" w:eastAsia="Arial" w:hAnsi="Arial"/>
          <w:sz w:val="19"/>
          <w:szCs w:val="19"/>
          <w:color w:val="auto"/>
        </w:rPr>
        <w:t>– Our management is responsible for establishing and maintaining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adequate internal control over financial reporting, as defined in Exchange Act Rules 13a-15(f) and 15d-15(f). Under the supervision and with the participation of our management, including our Chief Executive Officer and Chief Financial Officer, our management conducted an evaluation of the effectiveness of our internal control over financial reporting as of December 31, 2013, based on the framework in </w:t>
      </w:r>
      <w:r>
        <w:rPr>
          <w:rFonts w:ascii="Arial" w:cs="Arial" w:eastAsia="Arial" w:hAnsi="Arial"/>
          <w:sz w:val="19"/>
          <w:szCs w:val="19"/>
          <w:i w:val="1"/>
          <w:iCs w:val="1"/>
          <w:color w:val="auto"/>
        </w:rPr>
        <w:t>Internal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Control – Integrated Framework (1992) </w:t>
      </w:r>
      <w:r>
        <w:rPr>
          <w:rFonts w:ascii="Arial" w:cs="Arial" w:eastAsia="Arial" w:hAnsi="Arial"/>
          <w:sz w:val="19"/>
          <w:szCs w:val="19"/>
          <w:color w:val="auto"/>
        </w:rPr>
        <w:t>issued by the Committee of Sponsoring Organizations of the Treadway Commission. Based on our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management’s evaluation under the framework in </w:t>
      </w:r>
      <w:r>
        <w:rPr>
          <w:rFonts w:ascii="Arial" w:cs="Arial" w:eastAsia="Arial" w:hAnsi="Arial"/>
          <w:sz w:val="19"/>
          <w:szCs w:val="19"/>
          <w:i w:val="1"/>
          <w:iCs w:val="1"/>
          <w:color w:val="auto"/>
        </w:rPr>
        <w:t>Internal Control - Integrated Framework (1992)</w:t>
      </w:r>
      <w:r>
        <w:rPr>
          <w:rFonts w:ascii="Arial" w:cs="Arial" w:eastAsia="Arial" w:hAnsi="Arial"/>
          <w:sz w:val="19"/>
          <w:szCs w:val="19"/>
          <w:color w:val="auto"/>
        </w:rPr>
        <w:t>, our management concluded that our internal control over financial reporting was effective as of December 31, 2013.</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internal control over financial reporting as of December 31, 2013, has been audited by Deloitte &amp; Touche LLP, an independent registered public accounting firm, as stated in their attestation report, which is included herein.</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December 31, 2013, that have materially affected, or are reasonably likely to materially affect, our internal control over financial reporting.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and Stockholders of</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Monster Beverage Corporation</w:t>
      </w:r>
    </w:p>
    <w:p>
      <w:pPr>
        <w:spacing w:after="0"/>
        <w:rPr>
          <w:sz w:val="20"/>
          <w:szCs w:val="20"/>
          <w:color w:val="auto"/>
        </w:rPr>
      </w:pPr>
      <w:r>
        <w:rPr>
          <w:rFonts w:ascii="Arial" w:cs="Arial" w:eastAsia="Arial" w:hAnsi="Arial"/>
          <w:sz w:val="19"/>
          <w:szCs w:val="19"/>
          <w:color w:val="auto"/>
        </w:rPr>
        <w:t>Corona, California</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Monster Beverage Corporation and subsidiaries (the “Company”) as of December 31, 2013, based on criteria established in </w:t>
      </w:r>
      <w:r>
        <w:rPr>
          <w:rFonts w:ascii="Arial" w:cs="Arial" w:eastAsia="Arial" w:hAnsi="Arial"/>
          <w:sz w:val="17"/>
          <w:szCs w:val="17"/>
          <w:i w:val="1"/>
          <w:iCs w:val="1"/>
          <w:color w:val="auto"/>
        </w:rPr>
        <w:t>Internal Control — Integrated Framework (1992)</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w:t>
      </w:r>
    </w:p>
    <w:p>
      <w:pPr>
        <w:sectPr>
          <w:pgSz w:w="11900" w:h="16838" w:orient="portrait"/>
          <w:cols w:equalWidth="0" w:num="1">
            <w:col w:w="11420"/>
          </w:cols>
          <w:pgMar w:left="240" w:top="122" w:right="239" w:bottom="0" w:gutter="0" w:footer="0" w:header="0"/>
        </w:sectPr>
      </w:pPr>
    </w:p>
    <w:bookmarkStart w:id="39" w:name="page40"/>
    <w:bookmarkEnd w:id="39"/>
    <w:p>
      <w:pPr>
        <w:jc w:val="both"/>
        <w:spacing w:after="0" w:line="278" w:lineRule="auto"/>
        <w:rPr>
          <w:sz w:val="20"/>
          <w:szCs w:val="20"/>
          <w:color w:val="auto"/>
        </w:rPr>
      </w:pPr>
      <w:r>
        <w:rPr>
          <w:rFonts w:ascii="Arial" w:cs="Arial" w:eastAsia="Arial" w:hAnsi="Arial"/>
          <w:sz w:val="17"/>
          <w:szCs w:val="17"/>
          <w:color w:val="auto"/>
        </w:rPr>
        <w:t>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3"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 xml:space="preserve">In our opinion, the Company maintained, in all material respects, effective internal control over financial reporting as of December 31, 2013, based on the criteria established in </w:t>
      </w:r>
      <w:r>
        <w:rPr>
          <w:rFonts w:ascii="Arial" w:cs="Arial" w:eastAsia="Arial" w:hAnsi="Arial"/>
          <w:sz w:val="19"/>
          <w:szCs w:val="19"/>
          <w:i w:val="1"/>
          <w:iCs w:val="1"/>
          <w:color w:val="auto"/>
        </w:rPr>
        <w:t>Internal Control — Integrated Framework (1992)</w:t>
      </w:r>
      <w:r>
        <w:rPr>
          <w:rFonts w:ascii="Arial" w:cs="Arial" w:eastAsia="Arial" w:hAnsi="Arial"/>
          <w:sz w:val="19"/>
          <w:szCs w:val="19"/>
          <w:color w:val="auto"/>
        </w:rPr>
        <w:t xml:space="preserve"> issued by the Committee of Sponsoring Organizations of the Treadway Commission.</w:t>
      </w:r>
    </w:p>
    <w:p>
      <w:pPr>
        <w:spacing w:after="0" w:line="184"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We have also audited, in accordance with the standards of the Public Company Accounting Oversight Board (United States), the consolidated financial statements and financial statement schedule as of and for the year ended December 31, 2013 of the Company and our report dated March 3, 2014 expressed an unqualified opinion on those financial statements and financial statement schedule.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Costa Mesa, California</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March 3, 2014</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20"/>
          <w:szCs w:val="20"/>
          <w:b w:val="1"/>
          <w:bCs w:val="1"/>
          <w:color w:val="auto"/>
        </w:rPr>
        <w:t>OTHER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22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by this item regarding our directors is included under the caption “Proposal One – Election of Directors” in our Proxy Statement for our 2014 Annual Meeting of Stockholders to be filed with the SEC within 120 days after the end of the fiscal year ended December 31, 2013 (the “2014 Proxy Statement”) and is incorporated herein by reference.</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Information concerning compliance with Section 16(a) of the Exchange Act is included under the caption “Section 16(a) Beneficial Ownership Reporting Compliance” in our 2014 Proxy Statement and is incorporated herein by reference.</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Information concerning the Audit Committee and the Audit Committee Financial expert is reported under the caption “Audit Committee; Report of the Audit Committee; Duties and Responsibilities” in our 2014 Proxy Statement and is incorporated herein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We have adopted a Code of Business Conduct and Ethics that applies to all our directors, officers (including our principal executive officer, principal financial officer, principal accounting officer and controllers) and employees and is available at </w:t>
      </w:r>
      <w:r>
        <w:rPr>
          <w:rFonts w:ascii="Arial" w:cs="Arial" w:eastAsia="Arial" w:hAnsi="Arial"/>
          <w:sz w:val="20"/>
          <w:szCs w:val="20"/>
          <w:u w:val="single" w:color="auto"/>
          <w:color w:val="auto"/>
        </w:rPr>
        <w:t>http://investors.monsterbevcorp.com/governance.cfm</w:t>
      </w:r>
      <w:r>
        <w:rPr>
          <w:rFonts w:ascii="Arial" w:cs="Arial" w:eastAsia="Arial" w:hAnsi="Arial"/>
          <w:sz w:val="20"/>
          <w:szCs w:val="20"/>
          <w:color w:val="auto"/>
        </w:rPr>
        <w:t>. The Code of Business Conduct and Ethics and any amendment thereto, as well as any waivers that are required to be disclosed by the rules of the SEC or NASDAQ, may be obtained at no cost to you by writing or telephoning us at the following address or telephone number: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Monster Beverage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 Monster Way</w:t>
      </w:r>
    </w:p>
    <w:p>
      <w:pPr>
        <w:jc w:val="center"/>
        <w:spacing w:after="0"/>
        <w:rPr>
          <w:sz w:val="20"/>
          <w:szCs w:val="20"/>
          <w:color w:val="auto"/>
        </w:rPr>
      </w:pPr>
      <w:r>
        <w:rPr>
          <w:rFonts w:ascii="Arial" w:cs="Arial" w:eastAsia="Arial" w:hAnsi="Arial"/>
          <w:sz w:val="20"/>
          <w:szCs w:val="20"/>
          <w:color w:val="auto"/>
        </w:rPr>
        <w:t>Corona, CA 92879</w:t>
      </w:r>
    </w:p>
    <w:p>
      <w:pPr>
        <w:ind w:left="5580" w:hanging="484"/>
        <w:spacing w:after="0"/>
        <w:tabs>
          <w:tab w:leader="none" w:pos="55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739-6200</w:t>
      </w:r>
    </w:p>
    <w:p>
      <w:pPr>
        <w:ind w:left="5600" w:hanging="480"/>
        <w:spacing w:after="0"/>
        <w:tabs>
          <w:tab w:leader="none" w:pos="56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426-7367</w:t>
      </w:r>
    </w:p>
    <w:p>
      <w:pPr>
        <w:spacing w:after="0" w:line="207"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20"/>
          <w:szCs w:val="20"/>
          <w:b w:val="1"/>
          <w:bCs w:val="1"/>
          <w:color w:val="auto"/>
        </w:rPr>
        <w:t>EXECUTIVE COMPENSATION</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Information concerning the compensation of our directors and executive officers and Compensation Committee Interlocks and Insider Participation is reported under the captions “Compensation Discussion and Analysis,” and “Compensation Committee,” respectively, in our 2014 Proxy Statement and is incorporated herein by reference.</w:t>
      </w:r>
    </w:p>
    <w:p>
      <w:pPr>
        <w:spacing w:after="0" w:line="194" w:lineRule="exact"/>
        <w:rPr>
          <w:sz w:val="20"/>
          <w:szCs w:val="20"/>
          <w:color w:val="auto"/>
        </w:rPr>
      </w:pPr>
    </w:p>
    <w:p>
      <w:pPr>
        <w:ind w:right="860"/>
        <w:spacing w:after="0" w:line="26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8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disclosure set forth in Item 5, “Market for the Registrant’s Common Equity, Related Stockholder Matters and Issuer Repurchases of Equity Securities”, of this report is incorporated herein.</w:t>
      </w:r>
    </w:p>
    <w:p>
      <w:pPr>
        <w:sectPr>
          <w:pgSz w:w="11900" w:h="16838" w:orient="portrait"/>
          <w:cols w:equalWidth="0" w:num="1">
            <w:col w:w="11420"/>
          </w:cols>
          <w:pgMar w:left="240" w:top="118" w:right="239" w:bottom="0" w:gutter="0" w:footer="0" w:header="0"/>
        </w:sectPr>
      </w:pPr>
    </w:p>
    <w:bookmarkStart w:id="40" w:name="page41"/>
    <w:bookmarkEnd w:id="40"/>
    <w:p>
      <w:pPr>
        <w:ind w:firstLine="648"/>
        <w:spacing w:after="0" w:line="276" w:lineRule="auto"/>
        <w:rPr>
          <w:sz w:val="20"/>
          <w:szCs w:val="20"/>
          <w:color w:val="auto"/>
        </w:rPr>
      </w:pPr>
      <w:r>
        <w:rPr>
          <w:rFonts w:ascii="Arial" w:cs="Arial" w:eastAsia="Arial" w:hAnsi="Arial"/>
          <w:sz w:val="18"/>
          <w:szCs w:val="18"/>
          <w:color w:val="auto"/>
        </w:rPr>
        <w:t>Information concerning the beneficial ownership of the Company’s Common Stock of (a) those persons known to the Company to be the beneficial owners of more than 5% of the Company’s common stock; (b) each of the Company’s directors and nominees for director; and</w:t>
      </w:r>
    </w:p>
    <w:p>
      <w:pPr>
        <w:ind w:firstLine="8"/>
        <w:spacing w:after="0" w:line="298" w:lineRule="auto"/>
        <w:tabs>
          <w:tab w:leader="none" w:pos="2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executive officers and all of the Company’s current directors and executive officers as a group is reported under the caption “Principal Stockholders and Security Ownership of Management” in our 2014 Proxy Statement and is incorporated herein by reference.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Information concerning certain relationships and related transactions is reported under the caption “Certain Relationships and Related Transactions and Director Independence” in our 2014 Proxy Statement and is incorporated herein by reference.</w:t>
      </w:r>
    </w:p>
    <w:p>
      <w:pPr>
        <w:spacing w:after="0" w:line="18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9"/>
          <w:szCs w:val="19"/>
          <w:b w:val="1"/>
          <w:bCs w:val="1"/>
          <w:color w:val="auto"/>
        </w:rPr>
        <w:t>PRINCIPAL ACCOUNTING FEES AND SERVICES</w:t>
      </w:r>
    </w:p>
    <w:p>
      <w:pPr>
        <w:spacing w:after="0" w:line="23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2014 Proxy Statement and is incorporated herein by reference.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20" w:type="dxa"/>
            <w:vAlign w:val="bottom"/>
            <w:gridSpan w:val="2"/>
          </w:tcPr>
          <w:p>
            <w:pPr>
              <w:spacing w:after="0"/>
              <w:rPr>
                <w:sz w:val="20"/>
                <w:szCs w:val="20"/>
                <w:color w:val="auto"/>
              </w:rPr>
            </w:pPr>
            <w:r>
              <w:rPr>
                <w:rFonts w:ascii="Arial" w:cs="Arial" w:eastAsia="Arial" w:hAnsi="Arial"/>
                <w:sz w:val="20"/>
                <w:szCs w:val="20"/>
                <w:b w:val="1"/>
                <w:bCs w:val="1"/>
                <w:color w:val="auto"/>
              </w:rPr>
              <w:t>PART IV</w:t>
            </w:r>
          </w:p>
        </w:tc>
        <w:tc>
          <w:tcPr>
            <w:tcW w:w="3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59"/>
        </w:trPr>
        <w:tc>
          <w:tcPr>
            <w:tcW w:w="1020" w:type="dxa"/>
            <w:vAlign w:val="bottom"/>
            <w:gridSpan w:val="2"/>
          </w:tcPr>
          <w:p>
            <w:pPr>
              <w:spacing w:after="0"/>
              <w:rPr>
                <w:sz w:val="20"/>
                <w:szCs w:val="20"/>
                <w:color w:val="auto"/>
              </w:rPr>
            </w:pPr>
            <w:r>
              <w:rPr>
                <w:rFonts w:ascii="Arial" w:cs="Arial" w:eastAsia="Arial" w:hAnsi="Arial"/>
                <w:sz w:val="20"/>
                <w:szCs w:val="20"/>
                <w:b w:val="1"/>
                <w:bCs w:val="1"/>
                <w:color w:val="auto"/>
              </w:rPr>
              <w:t>ITEM 15.</w:t>
            </w:r>
          </w:p>
        </w:tc>
        <w:tc>
          <w:tcPr>
            <w:tcW w:w="9320" w:type="dxa"/>
            <w:vAlign w:val="bottom"/>
            <w:gridSpan w:val="8"/>
          </w:tcPr>
          <w:p>
            <w:pPr>
              <w:ind w:left="200"/>
              <w:spacing w:after="0"/>
              <w:rPr>
                <w:sz w:val="20"/>
                <w:szCs w:val="20"/>
                <w:color w:val="auto"/>
              </w:rPr>
            </w:pPr>
            <w:r>
              <w:rPr>
                <w:rFonts w:ascii="Arial" w:cs="Arial" w:eastAsia="Arial" w:hAnsi="Arial"/>
                <w:sz w:val="20"/>
                <w:szCs w:val="20"/>
                <w:b w:val="1"/>
                <w:bCs w:val="1"/>
                <w:color w:val="auto"/>
              </w:rPr>
              <w:t>EXHIBITS, FINANCIAL STATEMENT SCHEDULES</w:t>
            </w:r>
          </w:p>
        </w:tc>
        <w:tc>
          <w:tcPr>
            <w:tcW w:w="1080" w:type="dxa"/>
            <w:vAlign w:val="bottom"/>
          </w:tcPr>
          <w:p>
            <w:pPr>
              <w:spacing w:after="0"/>
              <w:rPr>
                <w:sz w:val="24"/>
                <w:szCs w:val="24"/>
                <w:color w:val="auto"/>
              </w:rPr>
            </w:pPr>
          </w:p>
        </w:tc>
      </w:tr>
      <w:tr>
        <w:trPr>
          <w:trHeight w:val="486"/>
        </w:trPr>
        <w:tc>
          <w:tcPr>
            <w:tcW w:w="10340" w:type="dxa"/>
            <w:vAlign w:val="bottom"/>
            <w:gridSpan w:val="10"/>
          </w:tcPr>
          <w:p>
            <w:pPr>
              <w:ind w:left="280"/>
              <w:spacing w:after="0"/>
              <w:rPr>
                <w:sz w:val="20"/>
                <w:szCs w:val="20"/>
                <w:color w:val="auto"/>
              </w:rPr>
            </w:pPr>
            <w:r>
              <w:rPr>
                <w:rFonts w:ascii="Arial" w:cs="Arial" w:eastAsia="Arial" w:hAnsi="Arial"/>
                <w:sz w:val="20"/>
                <w:szCs w:val="20"/>
                <w:color w:val="auto"/>
              </w:rPr>
              <w:t>(a)   The following documents are filed as a part of this Form 10-K:</w:t>
            </w:r>
          </w:p>
        </w:tc>
        <w:tc>
          <w:tcPr>
            <w:tcW w:w="1080" w:type="dxa"/>
            <w:vAlign w:val="bottom"/>
          </w:tcPr>
          <w:p>
            <w:pPr>
              <w:spacing w:after="0"/>
              <w:rPr>
                <w:sz w:val="24"/>
                <w:szCs w:val="24"/>
                <w:color w:val="auto"/>
              </w:rPr>
            </w:pPr>
          </w:p>
        </w:tc>
      </w:tr>
      <w:tr>
        <w:trPr>
          <w:trHeight w:val="469"/>
        </w:trPr>
        <w:tc>
          <w:tcPr>
            <w:tcW w:w="780" w:type="dxa"/>
            <w:vAlign w:val="bottom"/>
          </w:tcPr>
          <w:p>
            <w:pPr>
              <w:spacing w:after="0"/>
              <w:rPr>
                <w:sz w:val="24"/>
                <w:szCs w:val="24"/>
                <w:color w:val="auto"/>
              </w:rPr>
            </w:pPr>
          </w:p>
        </w:tc>
        <w:tc>
          <w:tcPr>
            <w:tcW w:w="4640" w:type="dxa"/>
            <w:vAlign w:val="bottom"/>
            <w:tcBorders>
              <w:bottom w:val="single" w:sz="8" w:color="0000EE"/>
            </w:tcBorders>
            <w:gridSpan w:val="3"/>
          </w:tcPr>
          <w:p>
            <w:pPr>
              <w:spacing w:after="0"/>
              <w:rPr>
                <w:rFonts w:ascii="Arial" w:cs="Arial" w:eastAsia="Arial" w:hAnsi="Arial"/>
                <w:sz w:val="20"/>
                <w:szCs w:val="20"/>
                <w:color w:val="0000EE"/>
                <w:w w:val="90"/>
              </w:rPr>
            </w:pPr>
            <w:hyperlink w:anchor="page45">
              <w:r>
                <w:rPr>
                  <w:rFonts w:ascii="Arial" w:cs="Arial" w:eastAsia="Arial" w:hAnsi="Arial"/>
                  <w:sz w:val="20"/>
                  <w:szCs w:val="20"/>
                  <w:color w:val="0000EE"/>
                  <w:w w:val="90"/>
                </w:rPr>
                <w:t>Report of Independent Registered Public Accounting Firm</w:t>
              </w:r>
            </w:hyperlink>
          </w:p>
        </w:tc>
        <w:tc>
          <w:tcPr>
            <w:tcW w:w="4920" w:type="dxa"/>
            <w:vAlign w:val="bottom"/>
            <w:gridSpan w:val="6"/>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551"/>
        </w:trPr>
        <w:tc>
          <w:tcPr>
            <w:tcW w:w="78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20"/>
                <w:szCs w:val="20"/>
                <w:color w:val="auto"/>
              </w:rPr>
              <w:t>Financial Statements:</w:t>
            </w:r>
          </w:p>
        </w:tc>
        <w:tc>
          <w:tcPr>
            <w:tcW w:w="1080" w:type="dxa"/>
            <w:vAlign w:val="bottom"/>
          </w:tcPr>
          <w:p>
            <w:pPr>
              <w:spacing w:after="0"/>
              <w:rPr>
                <w:sz w:val="24"/>
                <w:szCs w:val="24"/>
                <w:color w:val="auto"/>
              </w:rPr>
            </w:pPr>
          </w:p>
        </w:tc>
      </w:tr>
      <w:tr>
        <w:trPr>
          <w:trHeight w:val="226"/>
        </w:trPr>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gridSpan w:val="8"/>
          </w:tcPr>
          <w:p>
            <w:pPr>
              <w:spacing w:after="0" w:line="226" w:lineRule="exact"/>
              <w:rPr>
                <w:rFonts w:ascii="Arial" w:cs="Arial" w:eastAsia="Arial" w:hAnsi="Arial"/>
                <w:sz w:val="20"/>
                <w:szCs w:val="20"/>
                <w:color w:val="0000EE"/>
              </w:rPr>
            </w:pPr>
            <w:hyperlink w:anchor="page45">
              <w:r>
                <w:rPr>
                  <w:rFonts w:ascii="Arial" w:cs="Arial" w:eastAsia="Arial" w:hAnsi="Arial"/>
                  <w:sz w:val="20"/>
                  <w:szCs w:val="20"/>
                  <w:color w:val="0000EE"/>
                </w:rPr>
                <w:t>Consolidated Balance Sheets as of December 31, 2013 and 2012</w:t>
              </w:r>
            </w:hyperlink>
          </w:p>
        </w:tc>
        <w:tc>
          <w:tcPr>
            <w:tcW w:w="1080" w:type="dxa"/>
            <w:vAlign w:val="bottom"/>
          </w:tcPr>
          <w:p>
            <w:pPr>
              <w:jc w:val="right"/>
              <w:spacing w:after="0" w:line="226" w:lineRule="exact"/>
              <w:rPr>
                <w:sz w:val="20"/>
                <w:szCs w:val="20"/>
                <w:color w:val="auto"/>
              </w:rPr>
            </w:pPr>
            <w:r>
              <w:rPr>
                <w:rFonts w:ascii="Arial" w:cs="Arial" w:eastAsia="Arial" w:hAnsi="Arial"/>
                <w:sz w:val="20"/>
                <w:szCs w:val="20"/>
                <w:color w:val="auto"/>
              </w:rPr>
              <w:t>70</w:t>
            </w: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20" w:type="dxa"/>
            <w:vAlign w:val="bottom"/>
            <w:gridSpan w:val="8"/>
          </w:tcPr>
          <w:p>
            <w:pPr>
              <w:spacing w:after="0"/>
              <w:rPr>
                <w:rFonts w:ascii="Arial" w:cs="Arial" w:eastAsia="Arial" w:hAnsi="Arial"/>
                <w:sz w:val="20"/>
                <w:szCs w:val="20"/>
                <w:color w:val="0000EE"/>
              </w:rPr>
            </w:pPr>
            <w:hyperlink w:anchor="page46">
              <w:r>
                <w:rPr>
                  <w:rFonts w:ascii="Arial" w:cs="Arial" w:eastAsia="Arial" w:hAnsi="Arial"/>
                  <w:sz w:val="20"/>
                  <w:szCs w:val="20"/>
                  <w:color w:val="0000EE"/>
                </w:rPr>
                <w:t>Consolidated Statements of Income for the years ended December 31, 2013, 2012 and 2011</w:t>
              </w:r>
            </w:hyperlink>
          </w:p>
        </w:tc>
        <w:tc>
          <w:tcPr>
            <w:tcW w:w="10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540" w:type="dxa"/>
            <w:vAlign w:val="bottom"/>
            <w:tcBorders>
              <w:bottom w:val="single" w:sz="8" w:color="0000EE"/>
            </w:tcBorders>
            <w:gridSpan w:val="7"/>
          </w:tcPr>
          <w:p>
            <w:pPr>
              <w:spacing w:after="0"/>
              <w:rPr>
                <w:rFonts w:ascii="Arial" w:cs="Arial" w:eastAsia="Arial" w:hAnsi="Arial"/>
                <w:sz w:val="20"/>
                <w:szCs w:val="20"/>
                <w:color w:val="0000EE"/>
                <w:w w:val="88"/>
              </w:rPr>
            </w:pPr>
            <w:hyperlink w:anchor="page46">
              <w:r>
                <w:rPr>
                  <w:rFonts w:ascii="Arial" w:cs="Arial" w:eastAsia="Arial" w:hAnsi="Arial"/>
                  <w:sz w:val="20"/>
                  <w:szCs w:val="20"/>
                  <w:color w:val="0000EE"/>
                  <w:w w:val="88"/>
                </w:rPr>
                <w:t>Consolidated Statements of Comprehensive Income for the years ended December 31, 2013, 2012 and 2011</w:t>
              </w:r>
            </w:hyperlink>
          </w:p>
        </w:tc>
        <w:tc>
          <w:tcPr>
            <w:tcW w:w="7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50"/>
        </w:trPr>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20" w:type="dxa"/>
            <w:vAlign w:val="bottom"/>
            <w:gridSpan w:val="8"/>
          </w:tcPr>
          <w:p>
            <w:pPr>
              <w:spacing w:after="0"/>
              <w:rPr>
                <w:rFonts w:ascii="Arial" w:cs="Arial" w:eastAsia="Arial" w:hAnsi="Arial"/>
                <w:sz w:val="20"/>
                <w:szCs w:val="20"/>
                <w:color w:val="0000EE"/>
                <w:w w:val="99"/>
              </w:rPr>
            </w:pPr>
            <w:hyperlink w:anchor="page47">
              <w:r>
                <w:rPr>
                  <w:rFonts w:ascii="Arial" w:cs="Arial" w:eastAsia="Arial" w:hAnsi="Arial"/>
                  <w:sz w:val="20"/>
                  <w:szCs w:val="20"/>
                  <w:color w:val="0000EE"/>
                  <w:w w:val="99"/>
                </w:rPr>
                <w:t>Consolidated Statements of Stockholders’ Equity for the years ended December 31, 2013, 2012 and 2011</w:t>
              </w:r>
            </w:hyperlink>
          </w:p>
        </w:tc>
        <w:tc>
          <w:tcPr>
            <w:tcW w:w="10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50"/>
        </w:trPr>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320" w:type="dxa"/>
            <w:vAlign w:val="bottom"/>
            <w:tcBorders>
              <w:top w:val="single" w:sz="8" w:color="0000EE"/>
            </w:tcBorders>
            <w:gridSpan w:val="6"/>
          </w:tcPr>
          <w:p>
            <w:pPr>
              <w:spacing w:after="0"/>
              <w:rPr>
                <w:rFonts w:ascii="Arial" w:cs="Arial" w:eastAsia="Arial" w:hAnsi="Arial"/>
                <w:sz w:val="20"/>
                <w:szCs w:val="20"/>
                <w:color w:val="0000EE"/>
                <w:w w:val="96"/>
              </w:rPr>
            </w:pPr>
            <w:hyperlink w:anchor="page48">
              <w:r>
                <w:rPr>
                  <w:rFonts w:ascii="Arial" w:cs="Arial" w:eastAsia="Arial" w:hAnsi="Arial"/>
                  <w:sz w:val="20"/>
                  <w:szCs w:val="20"/>
                  <w:color w:val="0000EE"/>
                  <w:w w:val="96"/>
                </w:rPr>
                <w:t>Consolidated Statements of Cash Flows for the years ended December 31, 2013, 2012 and 2011</w:t>
              </w:r>
            </w:hyperlink>
          </w:p>
        </w:tc>
        <w:tc>
          <w:tcPr>
            <w:tcW w:w="1000" w:type="dxa"/>
            <w:vAlign w:val="bottom"/>
            <w:gridSpan w:val="2"/>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50"/>
        </w:trPr>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60" w:type="dxa"/>
            <w:vAlign w:val="bottom"/>
            <w:tcBorders>
              <w:top w:val="single" w:sz="8" w:color="0000EE"/>
              <w:bottom w:val="single" w:sz="8" w:color="0000EE"/>
            </w:tcBorders>
          </w:tcPr>
          <w:p>
            <w:pPr>
              <w:spacing w:after="0"/>
              <w:rPr>
                <w:rFonts w:ascii="Arial" w:cs="Arial" w:eastAsia="Arial" w:hAnsi="Arial"/>
                <w:sz w:val="20"/>
                <w:szCs w:val="20"/>
                <w:color w:val="0000EE"/>
                <w:w w:val="88"/>
              </w:rPr>
            </w:pPr>
            <w:hyperlink w:anchor="page49">
              <w:r>
                <w:rPr>
                  <w:rFonts w:ascii="Arial" w:cs="Arial" w:eastAsia="Arial" w:hAnsi="Arial"/>
                  <w:sz w:val="20"/>
                  <w:szCs w:val="20"/>
                  <w:color w:val="0000EE"/>
                  <w:w w:val="88"/>
                </w:rPr>
                <w:t>Notes to Consolidated Financial Statements</w:t>
              </w:r>
            </w:hyperlink>
          </w:p>
        </w:tc>
        <w:tc>
          <w:tcPr>
            <w:tcW w:w="4120" w:type="dxa"/>
            <w:vAlign w:val="bottom"/>
            <w:tcBorders>
              <w:top w:val="single" w:sz="8" w:color="0000EE"/>
            </w:tcBorders>
            <w:gridSpan w:val="4"/>
          </w:tcPr>
          <w:p>
            <w:pPr>
              <w:spacing w:after="0"/>
              <w:rPr>
                <w:sz w:val="21"/>
                <w:szCs w:val="21"/>
                <w:color w:val="auto"/>
              </w:rPr>
            </w:pPr>
          </w:p>
        </w:tc>
        <w:tc>
          <w:tcPr>
            <w:tcW w:w="1740" w:type="dxa"/>
            <w:vAlign w:val="bottom"/>
            <w:gridSpan w:val="3"/>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538"/>
        </w:trPr>
        <w:tc>
          <w:tcPr>
            <w:tcW w:w="78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20"/>
                <w:szCs w:val="20"/>
                <w:color w:val="auto"/>
              </w:rPr>
              <w:t>Financial Statement Schedule:</w:t>
            </w:r>
          </w:p>
        </w:tc>
        <w:tc>
          <w:tcPr>
            <w:tcW w:w="1080" w:type="dxa"/>
            <w:vAlign w:val="bottom"/>
          </w:tcPr>
          <w:p>
            <w:pPr>
              <w:spacing w:after="0"/>
              <w:rPr>
                <w:sz w:val="24"/>
                <w:szCs w:val="24"/>
                <w:color w:val="auto"/>
              </w:rPr>
            </w:pPr>
          </w:p>
        </w:tc>
      </w:tr>
      <w:tr>
        <w:trPr>
          <w:trHeight w:val="280"/>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gridSpan w:val="8"/>
          </w:tcPr>
          <w:p>
            <w:pPr>
              <w:spacing w:after="0"/>
              <w:rPr>
                <w:rFonts w:ascii="Arial" w:cs="Arial" w:eastAsia="Arial" w:hAnsi="Arial"/>
                <w:sz w:val="20"/>
                <w:szCs w:val="20"/>
                <w:color w:val="0000EE"/>
              </w:rPr>
            </w:pPr>
            <w:hyperlink w:anchor="page69">
              <w:r>
                <w:rPr>
                  <w:rFonts w:ascii="Arial" w:cs="Arial" w:eastAsia="Arial" w:hAnsi="Arial"/>
                  <w:sz w:val="20"/>
                  <w:szCs w:val="20"/>
                  <w:color w:val="0000EE"/>
                </w:rPr>
                <w:t>Valuation and Qualifying Accounts for the years ended December 31, 2013, 2012 and 2011</w:t>
              </w:r>
            </w:hyperlink>
          </w:p>
        </w:tc>
        <w:tc>
          <w:tcPr>
            <w:tcW w:w="108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88" w:lineRule="exact"/>
        <w:rPr>
          <w:sz w:val="20"/>
          <w:szCs w:val="20"/>
          <w:color w:val="auto"/>
        </w:rPr>
      </w:pPr>
    </w:p>
    <w:p>
      <w:pPr>
        <w:ind w:left="780"/>
        <w:spacing w:after="0"/>
        <w:rPr>
          <w:sz w:val="20"/>
          <w:szCs w:val="20"/>
          <w:color w:val="auto"/>
        </w:rPr>
      </w:pPr>
      <w:r>
        <w:rPr>
          <w:rFonts w:ascii="Arial" w:cs="Arial" w:eastAsia="Arial" w:hAnsi="Arial"/>
          <w:sz w:val="20"/>
          <w:szCs w:val="20"/>
          <w:color w:val="auto"/>
        </w:rPr>
        <w:t>Exhibits:</w:t>
      </w:r>
    </w:p>
    <w:p>
      <w:pPr>
        <w:spacing w:after="0" w:line="94" w:lineRule="exact"/>
        <w:rPr>
          <w:sz w:val="20"/>
          <w:szCs w:val="20"/>
          <w:color w:val="auto"/>
        </w:rPr>
      </w:pPr>
    </w:p>
    <w:p>
      <w:pPr>
        <w:ind w:left="1020" w:right="1900"/>
        <w:spacing w:after="0" w:line="260" w:lineRule="auto"/>
        <w:rPr>
          <w:sz w:val="20"/>
          <w:szCs w:val="20"/>
          <w:color w:val="auto"/>
        </w:rPr>
      </w:pPr>
      <w:r>
        <w:rPr>
          <w:rFonts w:ascii="Arial" w:cs="Arial" w:eastAsia="Arial" w:hAnsi="Arial"/>
          <w:sz w:val="20"/>
          <w:szCs w:val="20"/>
          <w:color w:val="auto"/>
        </w:rPr>
        <w:t>The Exhibits listed in the Index of Exhibits, which appears immediately following the signature page and is incorporated herein by reference, as filed as part of this Form 10-K.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Pursuant to the requirements of Sections 13 or 15(d)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960" w:type="dxa"/>
            <w:vAlign w:val="bottom"/>
            <w:gridSpan w:val="2"/>
          </w:tcPr>
          <w:p>
            <w:pPr>
              <w:spacing w:after="0"/>
              <w:rPr>
                <w:sz w:val="20"/>
                <w:szCs w:val="20"/>
                <w:color w:val="auto"/>
              </w:rPr>
            </w:pPr>
            <w:r>
              <w:rPr>
                <w:rFonts w:ascii="Arial" w:cs="Arial" w:eastAsia="Arial" w:hAnsi="Arial"/>
                <w:sz w:val="20"/>
                <w:szCs w:val="20"/>
                <w:b w:val="1"/>
                <w:bCs w:val="1"/>
                <w:color w:val="auto"/>
              </w:rPr>
              <w:t>MONSTER BEVERAGE CORPORATION</w:t>
            </w:r>
          </w:p>
        </w:tc>
        <w:tc>
          <w:tcPr>
            <w:tcW w:w="33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415"/>
        </w:trPr>
        <w:tc>
          <w:tcPr>
            <w:tcW w:w="3960" w:type="dxa"/>
            <w:vAlign w:val="bottom"/>
            <w:gridSpan w:val="2"/>
          </w:tcPr>
          <w:p>
            <w:pPr>
              <w:spacing w:after="0"/>
              <w:rPr>
                <w:sz w:val="20"/>
                <w:szCs w:val="20"/>
                <w:color w:val="auto"/>
              </w:rPr>
            </w:pPr>
            <w:r>
              <w:rPr>
                <w:rFonts w:ascii="Arial" w:cs="Arial" w:eastAsia="Arial" w:hAnsi="Arial"/>
                <w:sz w:val="20"/>
                <w:szCs w:val="20"/>
                <w:color w:val="auto"/>
              </w:rPr>
              <w:t>/s/ RODNEY C. SACKS</w:t>
            </w:r>
          </w:p>
        </w:tc>
        <w:tc>
          <w:tcPr>
            <w:tcW w:w="3360" w:type="dxa"/>
            <w:vAlign w:val="bottom"/>
          </w:tcPr>
          <w:p>
            <w:pPr>
              <w:ind w:left="240"/>
              <w:spacing w:after="0"/>
              <w:rPr>
                <w:sz w:val="20"/>
                <w:szCs w:val="20"/>
                <w:color w:val="auto"/>
              </w:rPr>
            </w:pPr>
            <w:r>
              <w:rPr>
                <w:rFonts w:ascii="Arial" w:cs="Arial" w:eastAsia="Arial" w:hAnsi="Arial"/>
                <w:sz w:val="20"/>
                <w:szCs w:val="20"/>
                <w:color w:val="auto"/>
              </w:rPr>
              <w:t>Rodney C. Sacks</w:t>
            </w:r>
          </w:p>
        </w:tc>
        <w:tc>
          <w:tcPr>
            <w:tcW w:w="2980" w:type="dxa"/>
            <w:vAlign w:val="bottom"/>
          </w:tcPr>
          <w:p>
            <w:pPr>
              <w:ind w:left="1300"/>
              <w:spacing w:after="0"/>
              <w:rPr>
                <w:sz w:val="20"/>
                <w:szCs w:val="20"/>
                <w:color w:val="auto"/>
              </w:rPr>
            </w:pPr>
            <w:r>
              <w:rPr>
                <w:rFonts w:ascii="Arial" w:cs="Arial" w:eastAsia="Arial" w:hAnsi="Arial"/>
                <w:sz w:val="20"/>
                <w:szCs w:val="20"/>
                <w:color w:val="auto"/>
                <w:w w:val="91"/>
              </w:rPr>
              <w:t>Date: March 3, 2014</w:t>
            </w:r>
          </w:p>
        </w:tc>
      </w:tr>
      <w:tr>
        <w:trPr>
          <w:trHeight w:val="254"/>
        </w:trPr>
        <w:tc>
          <w:tcPr>
            <w:tcW w:w="1980" w:type="dxa"/>
            <w:vAlign w:val="bottom"/>
            <w:tcBorders>
              <w:top w:val="single" w:sz="8" w:color="auto"/>
            </w:tcBorders>
          </w:tcPr>
          <w:p>
            <w:pPr>
              <w:spacing w:after="0"/>
              <w:rPr>
                <w:sz w:val="22"/>
                <w:szCs w:val="22"/>
                <w:color w:val="auto"/>
              </w:rPr>
            </w:pPr>
          </w:p>
        </w:tc>
        <w:tc>
          <w:tcPr>
            <w:tcW w:w="1980" w:type="dxa"/>
            <w:vAlign w:val="bottom"/>
          </w:tcPr>
          <w:p>
            <w:pPr>
              <w:spacing w:after="0"/>
              <w:rPr>
                <w:sz w:val="22"/>
                <w:szCs w:val="22"/>
                <w:color w:val="auto"/>
              </w:rPr>
            </w:pPr>
          </w:p>
        </w:tc>
        <w:tc>
          <w:tcPr>
            <w:tcW w:w="3360" w:type="dxa"/>
            <w:vAlign w:val="bottom"/>
          </w:tcPr>
          <w:p>
            <w:pPr>
              <w:ind w:left="240"/>
              <w:spacing w:after="0"/>
              <w:rPr>
                <w:sz w:val="20"/>
                <w:szCs w:val="20"/>
                <w:color w:val="auto"/>
              </w:rPr>
            </w:pPr>
            <w:r>
              <w:rPr>
                <w:rFonts w:ascii="Arial" w:cs="Arial" w:eastAsia="Arial" w:hAnsi="Arial"/>
                <w:sz w:val="20"/>
                <w:szCs w:val="20"/>
                <w:color w:val="auto"/>
              </w:rPr>
              <w:t>Chairman of the Board</w:t>
            </w:r>
          </w:p>
        </w:tc>
        <w:tc>
          <w:tcPr>
            <w:tcW w:w="2980" w:type="dxa"/>
            <w:vAlign w:val="bottom"/>
          </w:tcPr>
          <w:p>
            <w:pPr>
              <w:spacing w:after="0"/>
              <w:rPr>
                <w:sz w:val="22"/>
                <w:szCs w:val="22"/>
                <w:color w:val="auto"/>
              </w:rPr>
            </w:pPr>
          </w:p>
        </w:tc>
      </w:tr>
    </w:tbl>
    <w:p>
      <w:pPr>
        <w:spacing w:after="0" w:line="20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420"/>
          </w:cols>
          <w:pgMar w:left="240" w:top="122" w:right="239" w:bottom="187"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4523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523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Rodney C. Sacks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40" w:type="dxa"/>
            <w:vAlign w:val="bottom"/>
            <w:gridSpan w:val="2"/>
          </w:tcPr>
          <w:p>
            <w:pPr>
              <w:spacing w:after="0"/>
              <w:rPr>
                <w:sz w:val="20"/>
                <w:szCs w:val="20"/>
                <w:color w:val="auto"/>
              </w:rPr>
            </w:pPr>
            <w:r>
              <w:rPr>
                <w:rFonts w:ascii="Arial" w:cs="Arial" w:eastAsia="Arial" w:hAnsi="Arial"/>
                <w:sz w:val="20"/>
                <w:szCs w:val="20"/>
                <w:color w:val="auto"/>
              </w:rPr>
              <w:t>Title</w:t>
            </w:r>
          </w:p>
        </w:tc>
        <w:tc>
          <w:tcPr>
            <w:tcW w:w="2180" w:type="dxa"/>
            <w:vAlign w:val="bottom"/>
            <w:gridSpan w:val="3"/>
          </w:tcPr>
          <w:p>
            <w:pPr>
              <w:ind w:left="380"/>
              <w:spacing w:after="0"/>
              <w:rPr>
                <w:sz w:val="20"/>
                <w:szCs w:val="20"/>
                <w:color w:val="auto"/>
              </w:rPr>
            </w:pPr>
            <w:r>
              <w:rPr>
                <w:rFonts w:ascii="Arial" w:cs="Arial" w:eastAsia="Arial" w:hAnsi="Arial"/>
                <w:sz w:val="20"/>
                <w:szCs w:val="20"/>
                <w:color w:val="auto"/>
              </w:rPr>
              <w:t>Date</w:t>
            </w:r>
          </w:p>
        </w:tc>
      </w:tr>
      <w:tr>
        <w:trPr>
          <w:trHeight w:val="20"/>
        </w:trPr>
        <w:tc>
          <w:tcPr>
            <w:tcW w:w="36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63"/>
        </w:trPr>
        <w:tc>
          <w:tcPr>
            <w:tcW w:w="4040" w:type="dxa"/>
            <w:vAlign w:val="bottom"/>
            <w:gridSpan w:val="2"/>
          </w:tcPr>
          <w:p>
            <w:pPr>
              <w:spacing w:after="0"/>
              <w:rPr>
                <w:sz w:val="20"/>
                <w:szCs w:val="20"/>
                <w:color w:val="auto"/>
              </w:rPr>
            </w:pPr>
            <w:r>
              <w:rPr>
                <w:rFonts w:ascii="Arial" w:cs="Arial" w:eastAsia="Arial" w:hAnsi="Arial"/>
                <w:sz w:val="20"/>
                <w:szCs w:val="20"/>
                <w:color w:val="auto"/>
              </w:rPr>
              <w:t>Chairman of the Board of Directors and Chief</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20"/>
                <w:szCs w:val="20"/>
                <w:color w:val="auto"/>
                <w:w w:val="89"/>
              </w:rPr>
              <w:t>March 3, 2014</w:t>
            </w:r>
          </w:p>
        </w:tc>
      </w:tr>
      <w:tr>
        <w:trPr>
          <w:trHeight w:val="250"/>
        </w:trPr>
        <w:tc>
          <w:tcPr>
            <w:tcW w:w="4040" w:type="dxa"/>
            <w:vAlign w:val="bottom"/>
            <w:gridSpan w:val="2"/>
          </w:tcPr>
          <w:p>
            <w:pPr>
              <w:spacing w:after="0"/>
              <w:rPr>
                <w:sz w:val="20"/>
                <w:szCs w:val="20"/>
                <w:color w:val="auto"/>
              </w:rPr>
            </w:pPr>
            <w:r>
              <w:rPr>
                <w:rFonts w:ascii="Arial" w:cs="Arial" w:eastAsia="Arial" w:hAnsi="Arial"/>
                <w:sz w:val="20"/>
                <w:szCs w:val="20"/>
                <w:color w:val="auto"/>
              </w:rPr>
              <w:t>Executive Officer (principal executive officer)</w:t>
            </w: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ectPr>
          <w:pgSz w:w="11900" w:h="16838" w:orient="portrait"/>
          <w:cols w:equalWidth="0" w:num="2">
            <w:col w:w="3480" w:space="720"/>
            <w:col w:w="7220"/>
          </w:cols>
          <w:pgMar w:left="240" w:top="122" w:right="239" w:bottom="187" w:gutter="0" w:footer="0" w:header="0"/>
          <w:type w:val="continuous"/>
        </w:sectPr>
      </w:pPr>
    </w:p>
    <w:bookmarkStart w:id="41" w:name="page42"/>
    <w:bookmarkEnd w:id="41"/>
    <w:p>
      <w:pPr>
        <w:spacing w:after="0" w:line="62" w:lineRule="exact"/>
        <w:rPr>
          <w:sz w:val="20"/>
          <w:szCs w:val="20"/>
          <w:color w:val="auto"/>
        </w:rPr>
      </w:pPr>
    </w:p>
    <w:p>
      <w:pPr>
        <w:ind w:right="940"/>
        <w:spacing w:after="0" w:line="349" w:lineRule="auto"/>
        <w:rPr>
          <w:sz w:val="20"/>
          <w:szCs w:val="20"/>
          <w:color w:val="auto"/>
        </w:rPr>
      </w:pPr>
      <w:r>
        <w:rPr>
          <w:rFonts w:ascii="Arial" w:cs="Arial" w:eastAsia="Arial" w:hAnsi="Arial"/>
          <w:sz w:val="18"/>
          <w:szCs w:val="18"/>
          <w:color w:val="auto"/>
        </w:rPr>
        <w:t>/s/ HILTON H. SCHLOSBERG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24523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523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tabs>
          <w:tab w:leader="none" w:pos="5040" w:val="left"/>
        </w:tabs>
        <w:rPr>
          <w:sz w:val="20"/>
          <w:szCs w:val="20"/>
          <w:color w:val="auto"/>
        </w:rPr>
      </w:pPr>
      <w:r>
        <w:rPr>
          <w:rFonts w:ascii="Arial" w:cs="Arial" w:eastAsia="Arial" w:hAnsi="Arial"/>
          <w:sz w:val="20"/>
          <w:szCs w:val="20"/>
          <w:color w:val="auto"/>
        </w:rPr>
        <w:t>Vice Chairman of the Board of Directors,</w:t>
      </w:r>
      <w:r>
        <w:rPr>
          <w:sz w:val="20"/>
          <w:szCs w:val="20"/>
          <w:color w:val="auto"/>
        </w:rPr>
        <w:tab/>
      </w:r>
      <w:r>
        <w:rPr>
          <w:rFonts w:ascii="Arial" w:cs="Arial" w:eastAsia="Arial" w:hAnsi="Arial"/>
          <w:sz w:val="18"/>
          <w:szCs w:val="18"/>
          <w:color w:val="auto"/>
        </w:rPr>
        <w:t>March 3, 2014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President, Chief Operating Officer, Chief</w:t>
      </w:r>
    </w:p>
    <w:p>
      <w:pPr>
        <w:spacing w:after="0"/>
        <w:rPr>
          <w:sz w:val="20"/>
          <w:szCs w:val="20"/>
          <w:color w:val="auto"/>
        </w:rPr>
      </w:pPr>
      <w:r>
        <w:rPr>
          <w:rFonts w:ascii="Arial" w:cs="Arial" w:eastAsia="Arial" w:hAnsi="Arial"/>
          <w:sz w:val="20"/>
          <w:szCs w:val="20"/>
          <w:color w:val="auto"/>
        </w:rPr>
        <w:t>Financial Officer and Secretary (principal</w:t>
      </w:r>
    </w:p>
    <w:p>
      <w:pPr>
        <w:spacing w:after="0"/>
        <w:rPr>
          <w:sz w:val="20"/>
          <w:szCs w:val="20"/>
          <w:color w:val="auto"/>
        </w:rPr>
      </w:pPr>
      <w:r>
        <w:rPr>
          <w:rFonts w:ascii="Arial" w:cs="Arial" w:eastAsia="Arial" w:hAnsi="Arial"/>
          <w:sz w:val="20"/>
          <w:szCs w:val="20"/>
          <w:color w:val="auto"/>
        </w:rPr>
        <w:t>financial officer, controller and principal</w:t>
      </w:r>
    </w:p>
    <w:p>
      <w:pPr>
        <w:spacing w:after="0"/>
        <w:rPr>
          <w:sz w:val="20"/>
          <w:szCs w:val="20"/>
          <w:color w:val="auto"/>
        </w:rPr>
      </w:pPr>
      <w:r>
        <w:rPr>
          <w:rFonts w:ascii="Arial" w:cs="Arial" w:eastAsia="Arial" w:hAnsi="Arial"/>
          <w:sz w:val="20"/>
          <w:szCs w:val="20"/>
          <w:color w:val="auto"/>
        </w:rPr>
        <w:t>accounting officer)</w:t>
      </w:r>
    </w:p>
    <w:p>
      <w:pPr>
        <w:spacing w:after="0" w:line="200" w:lineRule="exact"/>
        <w:rPr>
          <w:sz w:val="20"/>
          <w:szCs w:val="20"/>
          <w:color w:val="auto"/>
        </w:rPr>
      </w:pPr>
    </w:p>
    <w:p>
      <w:pPr>
        <w:sectPr>
          <w:pgSz w:w="11900" w:h="16900" w:orient="portrait"/>
          <w:cols w:equalWidth="0" w:num="2">
            <w:col w:w="3480" w:space="720"/>
            <w:col w:w="7260"/>
          </w:cols>
          <w:pgMar w:left="240" w:top="122" w:right="199" w:bottom="0" w:gutter="0" w:footer="0" w:header="0"/>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NORMAN C. EPSTEIN</w:t>
            </w:r>
          </w:p>
        </w:tc>
        <w:tc>
          <w:tcPr>
            <w:tcW w:w="1360" w:type="dxa"/>
            <w:vAlign w:val="bottom"/>
          </w:tcPr>
          <w:p>
            <w:pPr>
              <w:ind w:left="320"/>
              <w:spacing w:after="0"/>
              <w:rPr>
                <w:sz w:val="20"/>
                <w:szCs w:val="20"/>
                <w:color w:val="auto"/>
              </w:rPr>
            </w:pPr>
            <w:r>
              <w:rPr>
                <w:rFonts w:ascii="Arial" w:cs="Arial" w:eastAsia="Arial" w:hAnsi="Arial"/>
                <w:sz w:val="20"/>
                <w:szCs w:val="20"/>
                <w:color w:val="auto"/>
              </w:rPr>
              <w:t>Director</w:t>
            </w:r>
          </w:p>
        </w:tc>
        <w:tc>
          <w:tcPr>
            <w:tcW w:w="6220" w:type="dxa"/>
            <w:vAlign w:val="bottom"/>
          </w:tcPr>
          <w:p>
            <w:pPr>
              <w:ind w:left="4020"/>
              <w:spacing w:after="0"/>
              <w:rPr>
                <w:sz w:val="20"/>
                <w:szCs w:val="20"/>
                <w:color w:val="auto"/>
              </w:rPr>
            </w:pPr>
            <w:r>
              <w:rPr>
                <w:rFonts w:ascii="Arial" w:cs="Arial" w:eastAsia="Arial" w:hAnsi="Arial"/>
                <w:sz w:val="20"/>
                <w:szCs w:val="20"/>
                <w:color w:val="auto"/>
              </w:rPr>
              <w:t>March 3, 2014</w:t>
            </w:r>
          </w:p>
        </w:tc>
      </w:tr>
      <w:tr>
        <w:trPr>
          <w:trHeight w:val="250"/>
        </w:trPr>
        <w:tc>
          <w:tcPr>
            <w:tcW w:w="3880" w:type="dxa"/>
            <w:vAlign w:val="bottom"/>
          </w:tcPr>
          <w:p>
            <w:pPr>
              <w:spacing w:after="0"/>
              <w:rPr>
                <w:sz w:val="20"/>
                <w:szCs w:val="20"/>
                <w:color w:val="auto"/>
              </w:rPr>
            </w:pPr>
            <w:r>
              <w:rPr>
                <w:rFonts w:ascii="Arial" w:cs="Arial" w:eastAsia="Arial" w:hAnsi="Arial"/>
                <w:sz w:val="20"/>
                <w:szCs w:val="20"/>
                <w:color w:val="auto"/>
              </w:rPr>
              <w:t>Norman C. Epstein</w:t>
            </w:r>
          </w:p>
        </w:tc>
        <w:tc>
          <w:tcPr>
            <w:tcW w:w="1360" w:type="dxa"/>
            <w:vAlign w:val="bottom"/>
          </w:tcPr>
          <w:p>
            <w:pPr>
              <w:spacing w:after="0"/>
              <w:rPr>
                <w:sz w:val="21"/>
                <w:szCs w:val="21"/>
                <w:color w:val="auto"/>
              </w:rPr>
            </w:pPr>
          </w:p>
        </w:tc>
        <w:tc>
          <w:tcPr>
            <w:tcW w:w="6220" w:type="dxa"/>
            <w:vAlign w:val="bottom"/>
          </w:tcPr>
          <w:p>
            <w:pPr>
              <w:spacing w:after="0"/>
              <w:rPr>
                <w:sz w:val="21"/>
                <w:szCs w:val="21"/>
                <w:color w:val="auto"/>
              </w:rPr>
            </w:pPr>
          </w:p>
        </w:tc>
      </w:tr>
      <w:tr>
        <w:trPr>
          <w:trHeight w:val="675"/>
        </w:trPr>
        <w:tc>
          <w:tcPr>
            <w:tcW w:w="3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BENJAMIN M. POLK</w:t>
            </w:r>
          </w:p>
        </w:tc>
        <w:tc>
          <w:tcPr>
            <w:tcW w:w="1360" w:type="dxa"/>
            <w:vAlign w:val="bottom"/>
          </w:tcPr>
          <w:p>
            <w:pPr>
              <w:ind w:left="320"/>
              <w:spacing w:after="0"/>
              <w:rPr>
                <w:sz w:val="20"/>
                <w:szCs w:val="20"/>
                <w:color w:val="auto"/>
              </w:rPr>
            </w:pPr>
            <w:r>
              <w:rPr>
                <w:rFonts w:ascii="Arial" w:cs="Arial" w:eastAsia="Arial" w:hAnsi="Arial"/>
                <w:sz w:val="20"/>
                <w:szCs w:val="20"/>
                <w:color w:val="auto"/>
              </w:rPr>
              <w:t>Director</w:t>
            </w:r>
          </w:p>
        </w:tc>
        <w:tc>
          <w:tcPr>
            <w:tcW w:w="6220" w:type="dxa"/>
            <w:vAlign w:val="bottom"/>
          </w:tcPr>
          <w:p>
            <w:pPr>
              <w:ind w:left="4020"/>
              <w:spacing w:after="0"/>
              <w:rPr>
                <w:sz w:val="20"/>
                <w:szCs w:val="20"/>
                <w:color w:val="auto"/>
              </w:rPr>
            </w:pPr>
            <w:r>
              <w:rPr>
                <w:rFonts w:ascii="Arial" w:cs="Arial" w:eastAsia="Arial" w:hAnsi="Arial"/>
                <w:sz w:val="20"/>
                <w:szCs w:val="20"/>
                <w:color w:val="auto"/>
              </w:rPr>
              <w:t>March 3, 2014</w:t>
            </w:r>
          </w:p>
        </w:tc>
      </w:tr>
      <w:tr>
        <w:trPr>
          <w:trHeight w:val="250"/>
        </w:trPr>
        <w:tc>
          <w:tcPr>
            <w:tcW w:w="3880" w:type="dxa"/>
            <w:vAlign w:val="bottom"/>
          </w:tcPr>
          <w:p>
            <w:pPr>
              <w:spacing w:after="0"/>
              <w:rPr>
                <w:sz w:val="20"/>
                <w:szCs w:val="20"/>
                <w:color w:val="auto"/>
              </w:rPr>
            </w:pPr>
            <w:r>
              <w:rPr>
                <w:rFonts w:ascii="Arial" w:cs="Arial" w:eastAsia="Arial" w:hAnsi="Arial"/>
                <w:sz w:val="20"/>
                <w:szCs w:val="20"/>
                <w:color w:val="auto"/>
              </w:rPr>
              <w:t>Benjamin M. Polk</w:t>
            </w:r>
          </w:p>
        </w:tc>
        <w:tc>
          <w:tcPr>
            <w:tcW w:w="1360" w:type="dxa"/>
            <w:vAlign w:val="bottom"/>
          </w:tcPr>
          <w:p>
            <w:pPr>
              <w:spacing w:after="0"/>
              <w:rPr>
                <w:sz w:val="21"/>
                <w:szCs w:val="21"/>
                <w:color w:val="auto"/>
              </w:rPr>
            </w:pPr>
          </w:p>
        </w:tc>
        <w:tc>
          <w:tcPr>
            <w:tcW w:w="6220" w:type="dxa"/>
            <w:vAlign w:val="bottom"/>
          </w:tcPr>
          <w:p>
            <w:pPr>
              <w:spacing w:after="0"/>
              <w:rPr>
                <w:sz w:val="21"/>
                <w:szCs w:val="21"/>
                <w:color w:val="auto"/>
              </w:rPr>
            </w:pPr>
          </w:p>
        </w:tc>
      </w:tr>
      <w:tr>
        <w:trPr>
          <w:trHeight w:val="675"/>
        </w:trPr>
        <w:tc>
          <w:tcPr>
            <w:tcW w:w="3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SYDNEY SELATI</w:t>
            </w:r>
          </w:p>
        </w:tc>
        <w:tc>
          <w:tcPr>
            <w:tcW w:w="1360" w:type="dxa"/>
            <w:vAlign w:val="bottom"/>
          </w:tcPr>
          <w:p>
            <w:pPr>
              <w:ind w:left="320"/>
              <w:spacing w:after="0"/>
              <w:rPr>
                <w:sz w:val="20"/>
                <w:szCs w:val="20"/>
                <w:color w:val="auto"/>
              </w:rPr>
            </w:pPr>
            <w:r>
              <w:rPr>
                <w:rFonts w:ascii="Arial" w:cs="Arial" w:eastAsia="Arial" w:hAnsi="Arial"/>
                <w:sz w:val="20"/>
                <w:szCs w:val="20"/>
                <w:color w:val="auto"/>
              </w:rPr>
              <w:t>Director</w:t>
            </w:r>
          </w:p>
        </w:tc>
        <w:tc>
          <w:tcPr>
            <w:tcW w:w="6220" w:type="dxa"/>
            <w:vAlign w:val="bottom"/>
          </w:tcPr>
          <w:p>
            <w:pPr>
              <w:ind w:left="4020"/>
              <w:spacing w:after="0"/>
              <w:rPr>
                <w:sz w:val="20"/>
                <w:szCs w:val="20"/>
                <w:color w:val="auto"/>
              </w:rPr>
            </w:pPr>
            <w:r>
              <w:rPr>
                <w:rFonts w:ascii="Arial" w:cs="Arial" w:eastAsia="Arial" w:hAnsi="Arial"/>
                <w:sz w:val="20"/>
                <w:szCs w:val="20"/>
                <w:color w:val="auto"/>
              </w:rPr>
              <w:t>March 3, 2014</w:t>
            </w:r>
          </w:p>
        </w:tc>
      </w:tr>
      <w:tr>
        <w:trPr>
          <w:trHeight w:val="250"/>
        </w:trPr>
        <w:tc>
          <w:tcPr>
            <w:tcW w:w="3880" w:type="dxa"/>
            <w:vAlign w:val="bottom"/>
          </w:tcPr>
          <w:p>
            <w:pPr>
              <w:spacing w:after="0"/>
              <w:rPr>
                <w:sz w:val="20"/>
                <w:szCs w:val="20"/>
                <w:color w:val="auto"/>
              </w:rPr>
            </w:pPr>
            <w:r>
              <w:rPr>
                <w:rFonts w:ascii="Arial" w:cs="Arial" w:eastAsia="Arial" w:hAnsi="Arial"/>
                <w:sz w:val="20"/>
                <w:szCs w:val="20"/>
                <w:color w:val="auto"/>
              </w:rPr>
              <w:t>Sydney Selati</w:t>
            </w:r>
          </w:p>
        </w:tc>
        <w:tc>
          <w:tcPr>
            <w:tcW w:w="1360" w:type="dxa"/>
            <w:vAlign w:val="bottom"/>
          </w:tcPr>
          <w:p>
            <w:pPr>
              <w:spacing w:after="0"/>
              <w:rPr>
                <w:sz w:val="21"/>
                <w:szCs w:val="21"/>
                <w:color w:val="auto"/>
              </w:rPr>
            </w:pPr>
          </w:p>
        </w:tc>
        <w:tc>
          <w:tcPr>
            <w:tcW w:w="6220" w:type="dxa"/>
            <w:vAlign w:val="bottom"/>
          </w:tcPr>
          <w:p>
            <w:pPr>
              <w:spacing w:after="0"/>
              <w:rPr>
                <w:sz w:val="21"/>
                <w:szCs w:val="21"/>
                <w:color w:val="auto"/>
              </w:rPr>
            </w:pPr>
          </w:p>
        </w:tc>
      </w:tr>
      <w:tr>
        <w:trPr>
          <w:trHeight w:val="675"/>
        </w:trPr>
        <w:tc>
          <w:tcPr>
            <w:tcW w:w="3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HAROLD C. TABER, JR.</w:t>
            </w:r>
          </w:p>
        </w:tc>
        <w:tc>
          <w:tcPr>
            <w:tcW w:w="1360" w:type="dxa"/>
            <w:vAlign w:val="bottom"/>
          </w:tcPr>
          <w:p>
            <w:pPr>
              <w:ind w:left="320"/>
              <w:spacing w:after="0"/>
              <w:rPr>
                <w:sz w:val="20"/>
                <w:szCs w:val="20"/>
                <w:color w:val="auto"/>
              </w:rPr>
            </w:pPr>
            <w:r>
              <w:rPr>
                <w:rFonts w:ascii="Arial" w:cs="Arial" w:eastAsia="Arial" w:hAnsi="Arial"/>
                <w:sz w:val="20"/>
                <w:szCs w:val="20"/>
                <w:color w:val="auto"/>
              </w:rPr>
              <w:t>Director</w:t>
            </w:r>
          </w:p>
        </w:tc>
        <w:tc>
          <w:tcPr>
            <w:tcW w:w="6220" w:type="dxa"/>
            <w:vAlign w:val="bottom"/>
          </w:tcPr>
          <w:p>
            <w:pPr>
              <w:ind w:left="4020"/>
              <w:spacing w:after="0"/>
              <w:rPr>
                <w:sz w:val="20"/>
                <w:szCs w:val="20"/>
                <w:color w:val="auto"/>
              </w:rPr>
            </w:pPr>
            <w:r>
              <w:rPr>
                <w:rFonts w:ascii="Arial" w:cs="Arial" w:eastAsia="Arial" w:hAnsi="Arial"/>
                <w:sz w:val="20"/>
                <w:szCs w:val="20"/>
                <w:color w:val="auto"/>
              </w:rPr>
              <w:t>March 3, 2014</w:t>
            </w:r>
          </w:p>
        </w:tc>
      </w:tr>
      <w:tr>
        <w:trPr>
          <w:trHeight w:val="250"/>
        </w:trPr>
        <w:tc>
          <w:tcPr>
            <w:tcW w:w="3880" w:type="dxa"/>
            <w:vAlign w:val="bottom"/>
          </w:tcPr>
          <w:p>
            <w:pPr>
              <w:spacing w:after="0"/>
              <w:rPr>
                <w:sz w:val="20"/>
                <w:szCs w:val="20"/>
                <w:color w:val="auto"/>
              </w:rPr>
            </w:pPr>
            <w:r>
              <w:rPr>
                <w:rFonts w:ascii="Arial" w:cs="Arial" w:eastAsia="Arial" w:hAnsi="Arial"/>
                <w:sz w:val="20"/>
                <w:szCs w:val="20"/>
                <w:color w:val="auto"/>
              </w:rPr>
              <w:t>Harold C. Taber, Jr.</w:t>
            </w:r>
          </w:p>
        </w:tc>
        <w:tc>
          <w:tcPr>
            <w:tcW w:w="1360" w:type="dxa"/>
            <w:vAlign w:val="bottom"/>
          </w:tcPr>
          <w:p>
            <w:pPr>
              <w:spacing w:after="0"/>
              <w:rPr>
                <w:sz w:val="21"/>
                <w:szCs w:val="21"/>
                <w:color w:val="auto"/>
              </w:rPr>
            </w:pPr>
          </w:p>
        </w:tc>
        <w:tc>
          <w:tcPr>
            <w:tcW w:w="6220" w:type="dxa"/>
            <w:vAlign w:val="bottom"/>
          </w:tcPr>
          <w:p>
            <w:pPr>
              <w:spacing w:after="0"/>
              <w:rPr>
                <w:sz w:val="21"/>
                <w:szCs w:val="21"/>
                <w:color w:val="auto"/>
              </w:rPr>
            </w:pPr>
          </w:p>
        </w:tc>
      </w:tr>
      <w:tr>
        <w:trPr>
          <w:trHeight w:val="675"/>
        </w:trPr>
        <w:tc>
          <w:tcPr>
            <w:tcW w:w="3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S. VIDERGAUZ</w:t>
            </w:r>
          </w:p>
        </w:tc>
        <w:tc>
          <w:tcPr>
            <w:tcW w:w="1360" w:type="dxa"/>
            <w:vAlign w:val="bottom"/>
          </w:tcPr>
          <w:p>
            <w:pPr>
              <w:ind w:left="320"/>
              <w:spacing w:after="0"/>
              <w:rPr>
                <w:sz w:val="20"/>
                <w:szCs w:val="20"/>
                <w:color w:val="auto"/>
              </w:rPr>
            </w:pPr>
            <w:r>
              <w:rPr>
                <w:rFonts w:ascii="Arial" w:cs="Arial" w:eastAsia="Arial" w:hAnsi="Arial"/>
                <w:sz w:val="20"/>
                <w:szCs w:val="20"/>
                <w:color w:val="auto"/>
              </w:rPr>
              <w:t>Director</w:t>
            </w:r>
          </w:p>
        </w:tc>
        <w:tc>
          <w:tcPr>
            <w:tcW w:w="6220" w:type="dxa"/>
            <w:vAlign w:val="bottom"/>
          </w:tcPr>
          <w:p>
            <w:pPr>
              <w:ind w:left="4020"/>
              <w:spacing w:after="0"/>
              <w:rPr>
                <w:sz w:val="20"/>
                <w:szCs w:val="20"/>
                <w:color w:val="auto"/>
              </w:rPr>
            </w:pPr>
            <w:r>
              <w:rPr>
                <w:rFonts w:ascii="Arial" w:cs="Arial" w:eastAsia="Arial" w:hAnsi="Arial"/>
                <w:sz w:val="20"/>
                <w:szCs w:val="20"/>
                <w:color w:val="auto"/>
              </w:rPr>
              <w:t>March 3, 2014</w:t>
            </w:r>
          </w:p>
        </w:tc>
      </w:tr>
      <w:tr>
        <w:trPr>
          <w:trHeight w:val="250"/>
        </w:trPr>
        <w:tc>
          <w:tcPr>
            <w:tcW w:w="3880" w:type="dxa"/>
            <w:vAlign w:val="bottom"/>
          </w:tcPr>
          <w:p>
            <w:pPr>
              <w:spacing w:after="0"/>
              <w:rPr>
                <w:sz w:val="20"/>
                <w:szCs w:val="20"/>
                <w:color w:val="auto"/>
              </w:rPr>
            </w:pPr>
            <w:r>
              <w:rPr>
                <w:rFonts w:ascii="Arial" w:cs="Arial" w:eastAsia="Arial" w:hAnsi="Arial"/>
                <w:sz w:val="20"/>
                <w:szCs w:val="20"/>
                <w:color w:val="auto"/>
              </w:rPr>
              <w:t>Mark S. Vidergauz</w:t>
            </w:r>
          </w:p>
        </w:tc>
        <w:tc>
          <w:tcPr>
            <w:tcW w:w="1360" w:type="dxa"/>
            <w:vAlign w:val="bottom"/>
          </w:tcPr>
          <w:p>
            <w:pPr>
              <w:spacing w:after="0"/>
              <w:rPr>
                <w:sz w:val="21"/>
                <w:szCs w:val="21"/>
                <w:color w:val="auto"/>
              </w:rPr>
            </w:pPr>
          </w:p>
        </w:tc>
        <w:tc>
          <w:tcPr>
            <w:tcW w:w="6220" w:type="dxa"/>
            <w:vAlign w:val="bottom"/>
          </w:tcPr>
          <w:p>
            <w:pPr>
              <w:spacing w:after="0"/>
              <w:rPr>
                <w:sz w:val="21"/>
                <w:szCs w:val="21"/>
                <w:color w:val="auto"/>
              </w:rPr>
            </w:pPr>
          </w:p>
        </w:tc>
      </w:tr>
      <w:tr>
        <w:trPr>
          <w:trHeight w:val="675"/>
        </w:trPr>
        <w:tc>
          <w:tcPr>
            <w:tcW w:w="3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J. HALL</w:t>
            </w:r>
          </w:p>
        </w:tc>
        <w:tc>
          <w:tcPr>
            <w:tcW w:w="1360" w:type="dxa"/>
            <w:vAlign w:val="bottom"/>
          </w:tcPr>
          <w:p>
            <w:pPr>
              <w:ind w:left="320"/>
              <w:spacing w:after="0"/>
              <w:rPr>
                <w:sz w:val="20"/>
                <w:szCs w:val="20"/>
                <w:color w:val="auto"/>
              </w:rPr>
            </w:pPr>
            <w:r>
              <w:rPr>
                <w:rFonts w:ascii="Arial" w:cs="Arial" w:eastAsia="Arial" w:hAnsi="Arial"/>
                <w:sz w:val="20"/>
                <w:szCs w:val="20"/>
                <w:color w:val="auto"/>
              </w:rPr>
              <w:t>Director</w:t>
            </w:r>
          </w:p>
        </w:tc>
        <w:tc>
          <w:tcPr>
            <w:tcW w:w="6220" w:type="dxa"/>
            <w:vAlign w:val="bottom"/>
          </w:tcPr>
          <w:p>
            <w:pPr>
              <w:ind w:left="4020"/>
              <w:spacing w:after="0"/>
              <w:rPr>
                <w:sz w:val="20"/>
                <w:szCs w:val="20"/>
                <w:color w:val="auto"/>
              </w:rPr>
            </w:pPr>
            <w:r>
              <w:rPr>
                <w:rFonts w:ascii="Arial" w:cs="Arial" w:eastAsia="Arial" w:hAnsi="Arial"/>
                <w:sz w:val="20"/>
                <w:szCs w:val="20"/>
                <w:color w:val="auto"/>
              </w:rPr>
              <w:t>March 3, 2014</w:t>
            </w:r>
          </w:p>
        </w:tc>
      </w:tr>
      <w:tr>
        <w:trPr>
          <w:trHeight w:val="250"/>
        </w:trPr>
        <w:tc>
          <w:tcPr>
            <w:tcW w:w="3880" w:type="dxa"/>
            <w:vAlign w:val="bottom"/>
          </w:tcPr>
          <w:p>
            <w:pPr>
              <w:spacing w:after="0"/>
              <w:rPr>
                <w:sz w:val="20"/>
                <w:szCs w:val="20"/>
                <w:color w:val="auto"/>
              </w:rPr>
            </w:pPr>
            <w:r>
              <w:rPr>
                <w:rFonts w:ascii="Arial" w:cs="Arial" w:eastAsia="Arial" w:hAnsi="Arial"/>
                <w:sz w:val="20"/>
                <w:szCs w:val="20"/>
                <w:color w:val="auto"/>
              </w:rPr>
              <w:t>Mark J. Hall</w:t>
            </w:r>
          </w:p>
        </w:tc>
        <w:tc>
          <w:tcPr>
            <w:tcW w:w="1360" w:type="dxa"/>
            <w:vAlign w:val="bottom"/>
          </w:tcPr>
          <w:p>
            <w:pPr>
              <w:spacing w:after="0"/>
              <w:rPr>
                <w:sz w:val="21"/>
                <w:szCs w:val="21"/>
                <w:color w:val="auto"/>
              </w:rPr>
            </w:pPr>
          </w:p>
        </w:tc>
        <w:tc>
          <w:tcPr>
            <w:tcW w:w="6220" w:type="dxa"/>
            <w:vAlign w:val="bottom"/>
          </w:tcPr>
          <w:p>
            <w:pPr>
              <w:spacing w:after="0"/>
              <w:rPr>
                <w:sz w:val="21"/>
                <w:szCs w:val="21"/>
                <w:color w:val="auto"/>
              </w:rPr>
            </w:pPr>
          </w:p>
        </w:tc>
      </w:tr>
      <w:tr>
        <w:trPr>
          <w:trHeight w:val="392"/>
        </w:trPr>
        <w:tc>
          <w:tcPr>
            <w:tcW w:w="3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20" w:type="dxa"/>
            <w:vAlign w:val="bottom"/>
          </w:tcPr>
          <w:p>
            <w:pPr>
              <w:ind w:left="400"/>
              <w:spacing w:after="0"/>
              <w:rPr>
                <w:sz w:val="20"/>
                <w:szCs w:val="20"/>
                <w:color w:val="auto"/>
              </w:rPr>
            </w:pPr>
            <w:r>
              <w:rPr>
                <w:rFonts w:ascii="Arial" w:cs="Arial" w:eastAsia="Arial" w:hAnsi="Arial"/>
                <w:sz w:val="16"/>
                <w:szCs w:val="16"/>
                <w:color w:val="auto"/>
              </w:rPr>
              <w:t>63</w:t>
            </w:r>
          </w:p>
        </w:tc>
      </w:tr>
      <w:tr>
        <w:trPr>
          <w:trHeight w:val="138"/>
        </w:trPr>
        <w:tc>
          <w:tcPr>
            <w:tcW w:w="38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62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EXHIBITS</w:t>
      </w:r>
    </w:p>
    <w:p>
      <w:pPr>
        <w:spacing w:after="0" w:line="235"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 as indicated by footnote.</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1200" w:type="dxa"/>
            <w:vAlign w:val="bottom"/>
            <w:tcBorders>
              <w:top w:val="single" w:sz="8" w:color="auto"/>
              <w:left w:val="single" w:sz="8" w:color="auto"/>
              <w:right w:val="single" w:sz="8" w:color="auto"/>
            </w:tcBorders>
          </w:tcPr>
          <w:p>
            <w:pPr>
              <w:ind w:left="80"/>
              <w:spacing w:after="0" w:line="227" w:lineRule="exact"/>
              <w:rPr>
                <w:sz w:val="20"/>
                <w:szCs w:val="20"/>
                <w:color w:val="auto"/>
              </w:rPr>
            </w:pPr>
            <w:r>
              <w:rPr>
                <w:rFonts w:ascii="Arial" w:cs="Arial" w:eastAsia="Arial" w:hAnsi="Arial"/>
                <w:sz w:val="20"/>
                <w:szCs w:val="20"/>
                <w:color w:val="auto"/>
              </w:rPr>
              <w:t>3.1</w:t>
            </w:r>
          </w:p>
        </w:tc>
        <w:tc>
          <w:tcPr>
            <w:tcW w:w="10220" w:type="dxa"/>
            <w:vAlign w:val="bottom"/>
            <w:tcBorders>
              <w:top w:val="single" w:sz="8" w:color="auto"/>
              <w:right w:val="single" w:sz="8" w:color="auto"/>
            </w:tcBorders>
          </w:tcPr>
          <w:p>
            <w:pPr>
              <w:ind w:left="60"/>
              <w:spacing w:after="0" w:line="227" w:lineRule="exact"/>
              <w:rPr>
                <w:sz w:val="20"/>
                <w:szCs w:val="20"/>
                <w:color w:val="auto"/>
              </w:rPr>
            </w:pPr>
            <w:r>
              <w:rPr>
                <w:rFonts w:ascii="Arial" w:cs="Arial" w:eastAsia="Arial" w:hAnsi="Arial"/>
                <w:sz w:val="20"/>
                <w:szCs w:val="20"/>
                <w:color w:val="auto"/>
                <w:w w:val="94"/>
              </w:rPr>
              <w:t>Certificate of Incorporation of the Company, as amended (incorporated by reference to Exhibit 3.1 to our Form 10-K dated</w:t>
            </w: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February 29, 2012).</w:t>
            </w:r>
          </w:p>
        </w:tc>
      </w:tr>
      <w:tr>
        <w:trPr>
          <w:trHeight w:val="206"/>
        </w:trPr>
        <w:tc>
          <w:tcPr>
            <w:tcW w:w="12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3.2</w:t>
            </w:r>
          </w:p>
        </w:tc>
        <w:tc>
          <w:tcPr>
            <w:tcW w:w="102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w w:val="95"/>
              </w:rPr>
              <w:t>Second Amended and Restated Bylaws of the Company (incorporated by reference to Exhibit 3.1 to our Form 8-K dated</w:t>
            </w: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August 2, 2013).</w:t>
            </w:r>
          </w:p>
        </w:tc>
      </w:tr>
      <w:tr>
        <w:trPr>
          <w:trHeight w:val="206"/>
        </w:trPr>
        <w:tc>
          <w:tcPr>
            <w:tcW w:w="12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w:t>
            </w:r>
          </w:p>
        </w:tc>
        <w:tc>
          <w:tcPr>
            <w:tcW w:w="102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w w:val="94"/>
              </w:rPr>
              <w:t>Amended and Restated Monster Beverages Off-Premise Distribution Coordination Agreement between Hansen Beverage</w:t>
            </w:r>
          </w:p>
        </w:tc>
      </w:tr>
      <w:tr>
        <w:trPr>
          <w:trHeight w:val="230"/>
        </w:trPr>
        <w:tc>
          <w:tcPr>
            <w:tcW w:w="120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3"/>
              </w:rPr>
              <w:t>Company and Anheuser-Busch, Incorporated (incorporated by reference to Exhibit 10.01 to our Form 8-K dated August 11,</w:t>
            </w: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2006).</w:t>
            </w:r>
          </w:p>
        </w:tc>
      </w:tr>
      <w:tr>
        <w:trPr>
          <w:trHeight w:val="206"/>
        </w:trPr>
        <w:tc>
          <w:tcPr>
            <w:tcW w:w="12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10.2</w:t>
            </w:r>
          </w:p>
        </w:tc>
        <w:tc>
          <w:tcPr>
            <w:tcW w:w="102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w w:val="92"/>
              </w:rPr>
              <w:t>On-Premise Distribution Coordination Agreement between Hansen Beverage Company and Anheuser-Busch, Incorporated</w:t>
            </w: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(incorporated by reference to Exhibit 10.1 to our Form 8-K dated February 12, 2007).</w:t>
            </w:r>
          </w:p>
        </w:tc>
      </w:tr>
      <w:tr>
        <w:trPr>
          <w:trHeight w:val="206"/>
        </w:trPr>
        <w:tc>
          <w:tcPr>
            <w:tcW w:w="12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10.3+</w:t>
            </w:r>
          </w:p>
        </w:tc>
        <w:tc>
          <w:tcPr>
            <w:tcW w:w="102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w w:val="95"/>
              </w:rPr>
              <w:t>Form of Amendment to Stock Option Agreement (relating to the amendment of certain stock option agreements between</w:t>
            </w:r>
          </w:p>
        </w:tc>
      </w:tr>
      <w:tr>
        <w:trPr>
          <w:trHeight w:val="230"/>
        </w:trPr>
        <w:tc>
          <w:tcPr>
            <w:tcW w:w="120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1"/>
              </w:rPr>
              <w:t>Hansen Natural Corporation and its executive officers and directors) (incorporated by reference to Exhibit 10.1 to our Form 8-</w:t>
            </w: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K dated January 8, 2007).</w:t>
            </w:r>
          </w:p>
        </w:tc>
      </w:tr>
      <w:tr>
        <w:trPr>
          <w:trHeight w:val="206"/>
        </w:trPr>
        <w:tc>
          <w:tcPr>
            <w:tcW w:w="12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10.4</w:t>
            </w:r>
          </w:p>
        </w:tc>
        <w:tc>
          <w:tcPr>
            <w:tcW w:w="102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w w:val="91"/>
              </w:rPr>
              <w:t>Form of Indemnification Agreement (to be provided by Hansen Natural Corporation to its directors) (incorporated by reference</w:t>
            </w: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to Exhibit 10.1 to our Form 8-K dated November 14, 2005).</w:t>
            </w:r>
          </w:p>
        </w:tc>
      </w:tr>
      <w:tr>
        <w:trPr>
          <w:trHeight w:val="206"/>
        </w:trPr>
        <w:tc>
          <w:tcPr>
            <w:tcW w:w="12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10.5</w:t>
            </w:r>
          </w:p>
        </w:tc>
        <w:tc>
          <w:tcPr>
            <w:tcW w:w="102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w w:val="96"/>
              </w:rPr>
              <w:t>Amended and Restated Allied Products Distribution Coordination Agreement between Hansen Beverage Company and</w:t>
            </w: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Anheuser-Busch, Incorporated (incorporated by reference to Exhibit 10.2 to our Form 8-K dated August 11, 2006).</w:t>
            </w:r>
          </w:p>
        </w:tc>
      </w:tr>
      <w:tr>
        <w:trPr>
          <w:trHeight w:val="206"/>
        </w:trPr>
        <w:tc>
          <w:tcPr>
            <w:tcW w:w="12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10.6+</w:t>
            </w:r>
          </w:p>
        </w:tc>
        <w:tc>
          <w:tcPr>
            <w:tcW w:w="102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w w:val="90"/>
              </w:rPr>
              <w:t>Employment Agreement between Hansen Natural Corporation and Rodney C. Sacks (incorporated by reference to Exhibit 10.1</w:t>
            </w: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to our Form 8-K dated March 11, 2009).</w:t>
            </w:r>
          </w:p>
        </w:tc>
      </w:tr>
      <w:tr>
        <w:trPr>
          <w:trHeight w:val="206"/>
        </w:trPr>
        <w:tc>
          <w:tcPr>
            <w:tcW w:w="12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10.7+</w:t>
            </w:r>
          </w:p>
        </w:tc>
        <w:tc>
          <w:tcPr>
            <w:tcW w:w="102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w w:val="97"/>
              </w:rPr>
              <w:t>Employment Agreement between Hansen Natural Corporation and Hilton H. Schlosberg (incorporated by reference to</w:t>
            </w: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Exhibit 10.2 to our Form 8-K dated March 11, 2009).</w:t>
            </w:r>
          </w:p>
        </w:tc>
      </w:tr>
      <w:tr>
        <w:trPr>
          <w:trHeight w:val="206"/>
        </w:trPr>
        <w:tc>
          <w:tcPr>
            <w:tcW w:w="12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10.12</w:t>
            </w:r>
          </w:p>
        </w:tc>
        <w:tc>
          <w:tcPr>
            <w:tcW w:w="102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w w:val="91"/>
              </w:rPr>
              <w:t>Manufacturing Contract between Hansen Beverage Company and Pri-Pak, Inc. (incorporated by reference to Exhibit 10.32 to</w:t>
            </w: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our Form 10-K dated March 16, 2005).</w:t>
            </w:r>
          </w:p>
        </w:tc>
      </w:tr>
      <w:tr>
        <w:trPr>
          <w:trHeight w:val="206"/>
        </w:trPr>
        <w:tc>
          <w:tcPr>
            <w:tcW w:w="12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10.13+</w:t>
            </w:r>
          </w:p>
        </w:tc>
        <w:tc>
          <w:tcPr>
            <w:tcW w:w="102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w w:val="99"/>
              </w:rPr>
              <w:t>Stock Option Agreement between Hansen Natural Corporation and Rodney C. Sacks (made as of March 23, 2005)</w:t>
            </w: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(incorporated by reference to Exhibit 10.36 to our Form 10-K dated March 15, 2006).</w:t>
            </w:r>
          </w:p>
        </w:tc>
      </w:tr>
      <w:tr>
        <w:trPr>
          <w:trHeight w:val="206"/>
        </w:trPr>
        <w:tc>
          <w:tcPr>
            <w:tcW w:w="12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10.14+</w:t>
            </w:r>
          </w:p>
        </w:tc>
        <w:tc>
          <w:tcPr>
            <w:tcW w:w="102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w w:val="97"/>
              </w:rPr>
              <w:t>Stock Option Agreement between Hansen Natural Corporation and Hilton H. Schlosberg (made as of March 23, 2005)</w:t>
            </w: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(incorporated by reference to Exhibit 10.37 to our Form 10-K dated March 15, 2006).</w:t>
            </w:r>
          </w:p>
        </w:tc>
      </w:tr>
      <w:tr>
        <w:trPr>
          <w:trHeight w:val="206"/>
        </w:trPr>
        <w:tc>
          <w:tcPr>
            <w:tcW w:w="12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10.16+</w:t>
            </w:r>
          </w:p>
        </w:tc>
        <w:tc>
          <w:tcPr>
            <w:tcW w:w="102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w w:val="99"/>
              </w:rPr>
              <w:t>Stock Option Agreement between Hansen Natural Corporation and Harold Taber (made as of November 11, 2005)</w:t>
            </w: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(incorporated by reference to Exhibit 10.42 to our Form 10-K dated March 15, 2006).</w:t>
            </w:r>
          </w:p>
        </w:tc>
      </w:tr>
      <w:tr>
        <w:trPr>
          <w:trHeight w:val="206"/>
        </w:trPr>
        <w:tc>
          <w:tcPr>
            <w:tcW w:w="120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10.17+</w:t>
            </w:r>
          </w:p>
        </w:tc>
        <w:tc>
          <w:tcPr>
            <w:tcW w:w="102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w w:val="97"/>
              </w:rPr>
              <w:t>Stock Option Agreement between Hansen Natural Corporation and Mark Vidergauz (made as of November 11, 2005)</w:t>
            </w: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(incorporated by reference to Exhibit 10.44 to our Form 10-K dated March 15, 2006).</w:t>
            </w:r>
          </w:p>
        </w:tc>
      </w:tr>
      <w:tr>
        <w:trPr>
          <w:trHeight w:val="104"/>
        </w:trPr>
        <w:tc>
          <w:tcPr>
            <w:tcW w:w="1200" w:type="dxa"/>
            <w:vAlign w:val="bottom"/>
            <w:tcBorders>
              <w:left w:val="single" w:sz="8" w:color="auto"/>
              <w:right w:val="single" w:sz="8" w:color="auto"/>
            </w:tcBorders>
          </w:tcPr>
          <w:p>
            <w:pPr>
              <w:spacing w:after="0"/>
              <w:rPr>
                <w:sz w:val="9"/>
                <w:szCs w:val="9"/>
                <w:color w:val="auto"/>
              </w:rPr>
            </w:pPr>
          </w:p>
        </w:tc>
        <w:tc>
          <w:tcPr>
            <w:tcW w:w="10220" w:type="dxa"/>
            <w:vAlign w:val="bottom"/>
            <w:tcBorders>
              <w:right w:val="single" w:sz="8" w:color="auto"/>
            </w:tcBorders>
          </w:tcPr>
          <w:p>
            <w:pPr>
              <w:spacing w:after="0"/>
              <w:rPr>
                <w:sz w:val="9"/>
                <w:szCs w:val="9"/>
                <w:color w:val="auto"/>
              </w:rPr>
            </w:pPr>
          </w:p>
        </w:tc>
      </w:tr>
    </w:tbl>
    <w:p>
      <w:pPr>
        <w:sectPr>
          <w:pgSz w:w="11900" w:h="16900" w:orient="portrait"/>
          <w:cols w:equalWidth="0" w:num="1">
            <w:col w:w="11460"/>
          </w:cols>
          <w:pgMar w:left="240" w:top="122" w:right="199" w:bottom="0" w:gutter="0" w:footer="0" w:header="0"/>
          <w:type w:val="continuous"/>
        </w:sectPr>
      </w:pPr>
    </w:p>
    <w:bookmarkStart w:id="42" w:name="page43"/>
    <w:bookmarkEnd w:id="4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10.19+</w:t>
            </w: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3"/>
              </w:rPr>
              <w:t>Stock Option Agreement between Hansen Natural Corporation and Hilton H. Schlosberg (made as of November 11, 2005)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(incorporated by reference to Exhibit 10.46 to our Form 10-K dated March 15, 2006).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10.20+</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6"/>
              </w:rPr>
              <w:t>Stock Option Agreement between Hansen Natural Corporation and Rodney C. Sacks (made as of November 11, 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(incorporated by reference to Exhibit 10.47 to our Form 10-K dated March 15, 2006).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20" w:type="dxa"/>
            <w:vAlign w:val="bottom"/>
            <w:gridSpan w:val="2"/>
          </w:tcPr>
          <w:p>
            <w:pPr>
              <w:ind w:left="4440"/>
              <w:spacing w:after="0"/>
              <w:rPr>
                <w:sz w:val="20"/>
                <w:szCs w:val="20"/>
                <w:color w:val="auto"/>
              </w:rPr>
            </w:pPr>
            <w:r>
              <w:rPr>
                <w:rFonts w:ascii="Arial" w:cs="Arial" w:eastAsia="Arial" w:hAnsi="Arial"/>
                <w:sz w:val="16"/>
                <w:szCs w:val="16"/>
                <w:color w:val="auto"/>
              </w:rPr>
              <w:t>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gridSpan w:val="2"/>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37"/>
        </w:trPr>
        <w:tc>
          <w:tcPr>
            <w:tcW w:w="11420" w:type="dxa"/>
            <w:vAlign w:val="bottom"/>
            <w:gridSpan w:val="4"/>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Table of Contents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180" w:type="dxa"/>
            <w:vAlign w:val="bottom"/>
            <w:tcBorders>
              <w:top w:val="single" w:sz="8" w:color="0000EE"/>
              <w:bottom w:val="single" w:sz="8" w:color="auto"/>
            </w:tcBorders>
          </w:tcPr>
          <w:p>
            <w:pPr>
              <w:spacing w:after="0"/>
              <w:rPr>
                <w:sz w:val="20"/>
                <w:szCs w:val="20"/>
                <w:color w:val="auto"/>
              </w:rPr>
            </w:pPr>
          </w:p>
        </w:tc>
        <w:tc>
          <w:tcPr>
            <w:tcW w:w="220" w:type="dxa"/>
            <w:vAlign w:val="bottom"/>
            <w:tcBorders>
              <w:top w:val="single" w:sz="8" w:color="0000EE"/>
              <w:bottom w:val="single" w:sz="8" w:color="auto"/>
            </w:tcBorders>
          </w:tcPr>
          <w:p>
            <w:pPr>
              <w:spacing w:after="0"/>
              <w:rPr>
                <w:sz w:val="20"/>
                <w:szCs w:val="20"/>
                <w:color w:val="auto"/>
              </w:rPr>
            </w:pPr>
          </w:p>
        </w:tc>
        <w:tc>
          <w:tcPr>
            <w:tcW w:w="100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10.21+</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0"/>
              </w:rPr>
              <w:t>Severance and Consulting Agreement by and among Hansen Beverage Company, Hansen Natural Corporation, and Harold 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Taber, Jr. (incorporated by reference to Exhibit 10(YY) to our Form 10-Q dated November 12, 1997).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10.24+</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89"/>
              </w:rPr>
              <w:t>Settlement Agreement dated as of September 1999 between Hansen Beverage Company and Rodney C. Sacks as sole Trustee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89"/>
              </w:rPr>
              <w:t>of the Hansen’s Trust and Hansen Beverage Company, The Fresh Juice Company of California, Inc. (incorporated by reference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to Exhibit 10 to our Form 10-Q dated November 15, 1999).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10.25+</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1"/>
              </w:rPr>
              <w:t>Settlement Agreement September 3, 1999 by and between The Fresh Juice Company of California, Inc., The Fresh Smoothie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0"/>
              </w:rPr>
              <w:t>Company, LLC, Barry Lublin, Hansen’s Juice Creations, LLC, Harvey Laderman and Hansen Beverage Company and Rodney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2"/>
              </w:rPr>
              <w:t>C. Sacks, as Trustee of The Hansen’s Trust (incorporated by reference to Exhibit 10 to our Form 10-Q dated November 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1999).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10.26</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4"/>
              </w:rPr>
              <w:t>Single Tenant Industrial Lease, made and entered into as of October 13, 2006 by and between Watson Land Company, 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2"/>
              </w:rPr>
              <w:t>California Corporation, and Hansen Beverage Company, a Delaware Corporation (incorporated by reference to exhibit 10 to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our Form 10-K dated June 6, 2007).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10.27+</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3"/>
              </w:rPr>
              <w:t>Hansen Natural Corporation 2001 Amended and Restated Stock Option Plan (incorporated by reference to Exhibit A to our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Proxy Statement dated September 25, 2007).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10.28</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89"/>
              </w:rPr>
              <w:t>Business Loan Agreement between Hansen Beverage Company and Comerica Bank (incorporated by reference to Exhibit 10.1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to our Form 10-Q dated August 9, 2007).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10.29</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5"/>
              </w:rPr>
              <w:t>Letter Agreement between Anheuser-Busch, Inc. and Hansen Beverage Company, dated March 6, 2007, amending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2"/>
              </w:rPr>
              <w:t>clarifying certain terms of the Amended and Restated Allied Products Distribution Coordination Agreement between Hansen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3"/>
              </w:rPr>
              <w:t>Beverage Company and Anheuser-Busch (incorporated by reference to exhibit 10.62 to our Form 10-K dated February 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10.30</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5"/>
              </w:rPr>
              <w:t>Letter Agreement between Anheuser-Busch, Inc. and Hansen Beverage Company, dated March 6, 2007, amending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2"/>
              </w:rPr>
              <w:t>clarifying certain terms of the Amended and Restated Monster Beverages Off-Premise Distribution Coordination Agreement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0"/>
              </w:rPr>
              <w:t>between Hansen Beverage Company and Anheuser-Busch (incorporated by reference to exhibit 10.63 to our Form 10-K dated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February 29, 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10.31</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1"/>
              </w:rPr>
              <w:t>Monster Energy Distribution Coordination Agreement, dated October 3, 2008, between Hansen Beverage Company and The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Coca Cola Company (incorporated by reference to exhibit 10.1 to our Form 10-Q dated November 10, 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10.32</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1"/>
              </w:rPr>
              <w:t>Monster Energy International Distribution Coordination Agreement, dated October 3, 2008, between Tauranga Ltd, trading as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9"/>
              </w:rPr>
              <w:t>Monster Energy, and Coca-Cola Enterprises Inc. (incorporated by reference to exhibit 10.2 to our Form 10-Q dated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November 10, 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10.33</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7"/>
              </w:rPr>
              <w:t>Monster Energy Distribution Agreement, dated October 3, 2008, between Hansen Beverage Company and Coca-Cola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Enterprises, Inc. (incorporated by reference to exhibit 10.3 to our Form 10-Q dated November 10, 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10.34</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89"/>
              </w:rPr>
              <w:t>Monster Energy Canadian Distribution Agreement, dated October 3, 2008, between Hansen Beverage Company and Coca-Cola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Bottling Company. (incorporated by reference to exhibit 10.4 to our Form 10-Q dated November 10, 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10.35</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5"/>
              </w:rPr>
              <w:t>Monster Energy International Distribution Agreement, dated October 3, 2008, between Tauranga Ltd, trading as Monster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4"/>
              </w:rPr>
              <w:t>Energy, and Coca-Cola Enterprises Inc. (incorporated by reference to exhibit 10.5 to our Form 10-Q dated November 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10.36</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1"/>
              </w:rPr>
              <w:t>Monster Energy Belgium Distribution Agreement, dated October 3, 2008, between Tauranga Ltd, trading as Monster Energy,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w w:val="95"/>
              </w:rPr>
              <w:t>and Coca-Cola Enterprises Inc. (incorporated by reference to exhibit 10.6 to our Form 10-Q dated November 10, 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10.37+</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0"/>
              </w:rPr>
              <w:t>Stock Option Agreement between Hansen Natural Corporation and Rodney C. Sacks (made as of June 2, 2008) (incorporated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by reference to exhibit 10.44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20" w:type="dxa"/>
            <w:vAlign w:val="bottom"/>
            <w:gridSpan w:val="2"/>
          </w:tcPr>
          <w:p>
            <w:pPr>
              <w:ind w:left="4440"/>
              <w:spacing w:after="0"/>
              <w:rPr>
                <w:sz w:val="20"/>
                <w:szCs w:val="20"/>
                <w:color w:val="auto"/>
              </w:rPr>
            </w:pPr>
            <w:r>
              <w:rPr>
                <w:rFonts w:ascii="Arial" w:cs="Arial" w:eastAsia="Arial" w:hAnsi="Arial"/>
                <w:sz w:val="16"/>
                <w:szCs w:val="16"/>
                <w:color w:val="auto"/>
              </w:rPr>
              <w:t>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gridSpan w:val="2"/>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37"/>
        </w:trPr>
        <w:tc>
          <w:tcPr>
            <w:tcW w:w="11420" w:type="dxa"/>
            <w:vAlign w:val="bottom"/>
            <w:gridSpan w:val="4"/>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Table of Contents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top w:val="single" w:sz="8" w:color="0000EE"/>
              <w:bottom w:val="single" w:sz="8" w:color="auto"/>
            </w:tcBorders>
          </w:tcPr>
          <w:p>
            <w:pPr>
              <w:spacing w:after="0"/>
              <w:rPr>
                <w:sz w:val="20"/>
                <w:szCs w:val="20"/>
                <w:color w:val="auto"/>
              </w:rPr>
            </w:pPr>
          </w:p>
        </w:tc>
        <w:tc>
          <w:tcPr>
            <w:tcW w:w="220" w:type="dxa"/>
            <w:vAlign w:val="bottom"/>
            <w:tcBorders>
              <w:top w:val="single" w:sz="8" w:color="0000EE"/>
              <w:bottom w:val="single" w:sz="8" w:color="auto"/>
            </w:tcBorders>
          </w:tcPr>
          <w:p>
            <w:pPr>
              <w:spacing w:after="0"/>
              <w:rPr>
                <w:sz w:val="20"/>
                <w:szCs w:val="20"/>
                <w:color w:val="auto"/>
              </w:rPr>
            </w:pPr>
          </w:p>
        </w:tc>
        <w:tc>
          <w:tcPr>
            <w:tcW w:w="100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10.37A+</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2"/>
              </w:rPr>
              <w:t>Amendment to Stock Option Agreement between Hansen Natural Corporation and Rodney C. Sacks (made as of August 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2008) (incorporated by reference to exhibit 10.44A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10.38+</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9"/>
              </w:rPr>
              <w:t>Stock Option Agreement between Hansen Natural Corporation and Hilton H. Schlosberg (made as of June 2, 2008)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(incorporated by reference to exhibit 10.45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10.38A+</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0"/>
              </w:rPr>
              <w:t>Amendment to Stock Option Agreement between Hansen Natural Corporation and Hilton H. Schlosberg (made as of August 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2008) (incorporated by reference to exhibit 10.45A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10.39+</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2"/>
              </w:rPr>
              <w:t>Stock Option Agreement between Hansen Natural Corporation and Mark J. Hall (made as of June 2, 2008) (incorporated by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reference to exhibit 10.46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10.40+</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89"/>
              </w:rPr>
              <w:t>Stock Option Agreement between Hansen Natural Corporation and Thomas J. Kelly (made as of June 2, 2008) (incorporated by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reference to exhibit 10.47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10.41+</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1"/>
              </w:rPr>
              <w:t>2009 Hansen Natural Corporation Stock Incentive Plan for Non-Employee Directors (incorporated by reference to Exhibit A to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our Proxy Statement dated April 24, 2009).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10.42+</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89"/>
              </w:rPr>
              <w:t>Stock Option Agreement between Hansen Natural Corporation and Thomas J. Kelly (made as of June 1, 2009) (incorporated by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reference to exhibit 10.49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80" w:type="dxa"/>
            <w:vAlign w:val="bottom"/>
            <w:tcBorders>
              <w:left w:val="single" w:sz="8" w:color="auto"/>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-9582150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-9582150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-2747010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-2747010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2" w:right="199"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10.43+</w:t>
            </w: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7"/>
              </w:rPr>
              <w:t>Stock Option Agreement between Hansen Natural Corporation and Rodney C. Sacks (made as of December 1, 2009)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(incorporated by reference to exhibit 10.51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10.44+</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4"/>
              </w:rPr>
              <w:t>Stock Option Agreement between Hansen Natural Corporation and Hilton H. Schlosberg (made as of December 1, 2009)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(incorporated by reference to exhibit 10.52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10.45+</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0"/>
              </w:rPr>
              <w:t>Stock Option Agreement between Hansen Natural Corporation and Mark J. Hall (made as of December 1, 2009) (incorporated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by reference to exhibit 10.53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10.46+</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8"/>
              </w:rPr>
              <w:t>Stock Option Agreement between Hansen Natural Corporation and Thomas J. Kelly (made as of December 1, 2009)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(incorporated by reference to exhibit 10.55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10.47+</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8"/>
              </w:rPr>
              <w:t>Stock Option Agreement between Hansen Natural Corporation and Thomas J. Kelly (made as of December 1, 2010)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(incorporated by reference to exhibit 10.53 to our Form 10-K dated March 1, 2011).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10.48+</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0"/>
              </w:rPr>
              <w:t>Stock Option Agreement between Hansen Natural Corporation and Mark J. Hall (made as of December 1, 2010) (incorporated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by reference to exhibit 10.54 to our Form 10-K dated March 1, 2011).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10.49+</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4"/>
              </w:rPr>
              <w:t>Form of Restricted Stock Unit Agreement pursuant to the 2009 Hansen Natural Corporation Stock Incentive Plan for Non-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Employee Directors (incorporated by reference to exhibit 10.55 to our Form 10-K dated March 1, 2011).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tcBorders>
              <w:left w:val="single" w:sz="8" w:color="auto"/>
              <w:bottom w:val="single" w:sz="8" w:color="auto"/>
              <w:right w:val="single" w:sz="8" w:color="auto"/>
            </w:tcBorders>
          </w:tcPr>
          <w:p>
            <w:pPr>
              <w:ind w:left="60"/>
              <w:spacing w:after="0" w:line="223" w:lineRule="exact"/>
              <w:rPr>
                <w:sz w:val="20"/>
                <w:szCs w:val="20"/>
                <w:color w:val="auto"/>
              </w:rPr>
            </w:pPr>
            <w:r>
              <w:rPr>
                <w:rFonts w:ascii="Arial" w:cs="Arial" w:eastAsia="Arial" w:hAnsi="Arial"/>
                <w:sz w:val="20"/>
                <w:szCs w:val="20"/>
                <w:color w:val="auto"/>
              </w:rPr>
              <w:t>10.50+</w:t>
            </w:r>
          </w:p>
        </w:tc>
        <w:tc>
          <w:tcPr>
            <w:tcW w:w="10220" w:type="dxa"/>
            <w:vAlign w:val="bottom"/>
            <w:tcBorders>
              <w:bottom w:val="single" w:sz="8" w:color="auto"/>
              <w:right w:val="single" w:sz="8" w:color="auto"/>
            </w:tcBorders>
            <w:gridSpan w:val="2"/>
          </w:tcPr>
          <w:p>
            <w:pPr>
              <w:ind w:left="60"/>
              <w:spacing w:after="0" w:line="223" w:lineRule="exact"/>
              <w:rPr>
                <w:sz w:val="20"/>
                <w:szCs w:val="20"/>
                <w:color w:val="auto"/>
              </w:rPr>
            </w:pPr>
            <w:r>
              <w:rPr>
                <w:rFonts w:ascii="Arial" w:cs="Arial" w:eastAsia="Arial" w:hAnsi="Arial"/>
                <w:sz w:val="20"/>
                <w:szCs w:val="20"/>
                <w:color w:val="auto"/>
                <w:w w:val="95"/>
              </w:rPr>
              <w:t>Form of Restricted Stock Agreement (incorporated by reference to exhibit 10.1 to our Form 10-Q dated August 9, 2011).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10.51+</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1"/>
              </w:rPr>
              <w:t>Monster Beverage Corporation 2011 Omnibus Incentive Plan (incorporated by reference to exhibit 10.1 to our Form 8-K 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May 24, 2011).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tcBorders>
              <w:left w:val="single" w:sz="8" w:color="auto"/>
              <w:bottom w:val="single" w:sz="8" w:color="auto"/>
              <w:right w:val="single" w:sz="8" w:color="auto"/>
            </w:tcBorders>
          </w:tcPr>
          <w:p>
            <w:pPr>
              <w:ind w:left="60"/>
              <w:spacing w:after="0" w:line="223" w:lineRule="exact"/>
              <w:rPr>
                <w:sz w:val="20"/>
                <w:szCs w:val="20"/>
                <w:color w:val="auto"/>
              </w:rPr>
            </w:pPr>
            <w:r>
              <w:rPr>
                <w:rFonts w:ascii="Arial" w:cs="Arial" w:eastAsia="Arial" w:hAnsi="Arial"/>
                <w:sz w:val="20"/>
                <w:szCs w:val="20"/>
                <w:color w:val="auto"/>
              </w:rPr>
              <w:t>10.52+*</w:t>
            </w:r>
          </w:p>
        </w:tc>
        <w:tc>
          <w:tcPr>
            <w:tcW w:w="10220" w:type="dxa"/>
            <w:vAlign w:val="bottom"/>
            <w:tcBorders>
              <w:bottom w:val="single" w:sz="8" w:color="auto"/>
              <w:right w:val="single" w:sz="8" w:color="auto"/>
            </w:tcBorders>
            <w:gridSpan w:val="2"/>
          </w:tcPr>
          <w:p>
            <w:pPr>
              <w:ind w:left="60"/>
              <w:spacing w:after="0" w:line="223" w:lineRule="exact"/>
              <w:rPr>
                <w:sz w:val="20"/>
                <w:szCs w:val="20"/>
                <w:color w:val="auto"/>
              </w:rPr>
            </w:pPr>
            <w:r>
              <w:rPr>
                <w:rFonts w:ascii="Arial" w:cs="Arial" w:eastAsia="Arial" w:hAnsi="Arial"/>
                <w:sz w:val="20"/>
                <w:szCs w:val="20"/>
                <w:color w:val="auto"/>
              </w:rPr>
              <w:t>Agreement between the Company and Mark Hall, dated October 28, 2013.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tcBorders>
              <w:left w:val="single" w:sz="8" w:color="auto"/>
              <w:bottom w:val="single" w:sz="8" w:color="auto"/>
              <w:right w:val="single" w:sz="8" w:color="auto"/>
            </w:tcBorders>
          </w:tcPr>
          <w:p>
            <w:pPr>
              <w:ind w:left="60"/>
              <w:spacing w:after="0" w:line="223" w:lineRule="exact"/>
              <w:rPr>
                <w:sz w:val="20"/>
                <w:szCs w:val="20"/>
                <w:color w:val="auto"/>
              </w:rPr>
            </w:pPr>
            <w:r>
              <w:rPr>
                <w:rFonts w:ascii="Arial" w:cs="Arial" w:eastAsia="Arial" w:hAnsi="Arial"/>
                <w:sz w:val="20"/>
                <w:szCs w:val="20"/>
                <w:color w:val="auto"/>
              </w:rPr>
              <w:t>21*</w:t>
            </w:r>
          </w:p>
        </w:tc>
        <w:tc>
          <w:tcPr>
            <w:tcW w:w="10220" w:type="dxa"/>
            <w:vAlign w:val="bottom"/>
            <w:tcBorders>
              <w:bottom w:val="single" w:sz="8" w:color="auto"/>
              <w:right w:val="single" w:sz="8" w:color="auto"/>
            </w:tcBorders>
            <w:gridSpan w:val="2"/>
          </w:tcPr>
          <w:p>
            <w:pPr>
              <w:ind w:left="60"/>
              <w:spacing w:after="0" w:line="223" w:lineRule="exact"/>
              <w:rPr>
                <w:sz w:val="20"/>
                <w:szCs w:val="20"/>
                <w:color w:val="auto"/>
              </w:rPr>
            </w:pPr>
            <w:r>
              <w:rPr>
                <w:rFonts w:ascii="Arial" w:cs="Arial" w:eastAsia="Arial" w:hAnsi="Arial"/>
                <w:sz w:val="20"/>
                <w:szCs w:val="20"/>
                <w:color w:val="auto"/>
              </w:rPr>
              <w:t>Subsidiaries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tcBorders>
              <w:left w:val="single" w:sz="8" w:color="auto"/>
              <w:bottom w:val="single" w:sz="8" w:color="auto"/>
              <w:right w:val="single" w:sz="8" w:color="auto"/>
            </w:tcBorders>
          </w:tcPr>
          <w:p>
            <w:pPr>
              <w:ind w:left="60"/>
              <w:spacing w:after="0" w:line="223" w:lineRule="exact"/>
              <w:rPr>
                <w:sz w:val="20"/>
                <w:szCs w:val="20"/>
                <w:color w:val="auto"/>
              </w:rPr>
            </w:pPr>
            <w:r>
              <w:rPr>
                <w:rFonts w:ascii="Arial" w:cs="Arial" w:eastAsia="Arial" w:hAnsi="Arial"/>
                <w:sz w:val="20"/>
                <w:szCs w:val="20"/>
                <w:color w:val="auto"/>
              </w:rPr>
              <w:t>23*</w:t>
            </w:r>
          </w:p>
        </w:tc>
        <w:tc>
          <w:tcPr>
            <w:tcW w:w="10220" w:type="dxa"/>
            <w:vAlign w:val="bottom"/>
            <w:tcBorders>
              <w:bottom w:val="single" w:sz="8" w:color="auto"/>
              <w:right w:val="single" w:sz="8" w:color="auto"/>
            </w:tcBorders>
            <w:gridSpan w:val="2"/>
          </w:tcPr>
          <w:p>
            <w:pPr>
              <w:ind w:left="60"/>
              <w:spacing w:after="0" w:line="223" w:lineRule="exact"/>
              <w:rPr>
                <w:sz w:val="20"/>
                <w:szCs w:val="20"/>
                <w:color w:val="auto"/>
              </w:rPr>
            </w:pPr>
            <w:r>
              <w:rPr>
                <w:rFonts w:ascii="Arial" w:cs="Arial" w:eastAsia="Arial" w:hAnsi="Arial"/>
                <w:sz w:val="20"/>
                <w:szCs w:val="20"/>
                <w:color w:val="auto"/>
              </w:rPr>
              <w:t>Consent of Independent Registered Public Accounting Firm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31.1*</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0"/>
              </w:rPr>
              <w:t>Certification by CEO pursuant to Rule 13A-14(a) or 15D-14(a) of the Securities Exchange Act of 1934, as adopted pursuant to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Section 302 of the Sarbanes-Oxley Act of 2002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31.2*</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1"/>
              </w:rPr>
              <w:t>Certification by CFO pursuant to Rule 13A-14(a) or 15D-14(a) of the Securities Exchange Act of 1934, as adopted pursuant to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Section 302 of the Sarbanes-Oxley Act of 2002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20" w:type="dxa"/>
            <w:vAlign w:val="bottom"/>
            <w:gridSpan w:val="2"/>
          </w:tcPr>
          <w:p>
            <w:pPr>
              <w:ind w:left="4440"/>
              <w:spacing w:after="0"/>
              <w:rPr>
                <w:sz w:val="20"/>
                <w:szCs w:val="20"/>
                <w:color w:val="auto"/>
              </w:rPr>
            </w:pPr>
            <w:r>
              <w:rPr>
                <w:rFonts w:ascii="Arial" w:cs="Arial" w:eastAsia="Arial" w:hAnsi="Arial"/>
                <w:sz w:val="16"/>
                <w:szCs w:val="16"/>
                <w:color w:val="auto"/>
              </w:rPr>
              <w:t>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gridSpan w:val="2"/>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37"/>
        </w:trPr>
        <w:tc>
          <w:tcPr>
            <w:tcW w:w="11420" w:type="dxa"/>
            <w:vAlign w:val="bottom"/>
            <w:gridSpan w:val="4"/>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Table of Contents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180" w:type="dxa"/>
            <w:vAlign w:val="bottom"/>
            <w:tcBorders>
              <w:top w:val="single" w:sz="8" w:color="0000EE"/>
              <w:bottom w:val="single" w:sz="8" w:color="auto"/>
            </w:tcBorders>
          </w:tcPr>
          <w:p>
            <w:pPr>
              <w:spacing w:after="0"/>
              <w:rPr>
                <w:sz w:val="20"/>
                <w:szCs w:val="20"/>
                <w:color w:val="auto"/>
              </w:rPr>
            </w:pPr>
          </w:p>
        </w:tc>
        <w:tc>
          <w:tcPr>
            <w:tcW w:w="220" w:type="dxa"/>
            <w:vAlign w:val="bottom"/>
            <w:tcBorders>
              <w:top w:val="single" w:sz="8" w:color="0000EE"/>
              <w:bottom w:val="single" w:sz="8" w:color="auto"/>
            </w:tcBorders>
          </w:tcPr>
          <w:p>
            <w:pPr>
              <w:spacing w:after="0"/>
              <w:rPr>
                <w:sz w:val="20"/>
                <w:szCs w:val="20"/>
                <w:color w:val="auto"/>
              </w:rPr>
            </w:pPr>
          </w:p>
        </w:tc>
        <w:tc>
          <w:tcPr>
            <w:tcW w:w="100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32.1*</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2"/>
              </w:rPr>
              <w:t>Certification by CEO pursuant to 18 U.S.C. Section 1350, as adopted pursuant to Section 906 of the Sarbanes-Oxley Act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2002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32.2*</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2"/>
              </w:rPr>
              <w:t>Certification by CFO pursuant to 18 U.S.C. Section 1350, as adopted pursuant to Section 906 of the Sarbanes-Oxley Act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2002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80" w:type="dxa"/>
            <w:vAlign w:val="bottom"/>
            <w:tcBorders>
              <w:left w:val="single" w:sz="8" w:color="auto"/>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101*</w:t>
            </w:r>
          </w:p>
        </w:tc>
        <w:tc>
          <w:tcPr>
            <w:tcW w:w="1022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20"/>
                <w:szCs w:val="20"/>
                <w:color w:val="auto"/>
                <w:w w:val="98"/>
              </w:rPr>
              <w:t>The following materials from Monster Beverage Corporation’s Annual Report on Form 10-K for the fiscal year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December 31, 2013 are furnished herewith, formatted in XBRL (eXtensible Business Reporting Language): (i) the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3"/>
              </w:rPr>
              <w:t>Consolidated Balance Sheets as of December 31, 2013 and 2012, (ii) the Consolidated Statements of Income for the years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4"/>
              </w:rPr>
              <w:t>ended December 31, 2013, 2012 and 2011, (iii) the Consolidated Statements of Stockholders’ Equity for the years ended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6"/>
              </w:rPr>
              <w:t>December 31, 2013, 2012 and 2011, (iv) Consolidated Statements  of  Comprehensive  Income  for  the  years  ended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89"/>
              </w:rPr>
              <w:t>December 31, 2013, 2012 and 2011, (v) Consolidated Statements of Cash Flows for the years ended December 31, 2013, 2012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and 2011, and (vi) the Notes to Condensed Consolidated Financial Statements.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-2171065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-2171065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ind w:left="320" w:hanging="247"/>
        <w:spacing w:after="0"/>
        <w:tabs>
          <w:tab w:leader="none" w:pos="320" w:val="left"/>
        </w:tabs>
        <w:numPr>
          <w:ilvl w:val="0"/>
          <w:numId w:val="26"/>
        </w:numPr>
        <w:rPr>
          <w:rFonts w:ascii="Arial" w:cs="Arial" w:eastAsia="Arial" w:hAnsi="Arial"/>
          <w:sz w:val="11"/>
          <w:szCs w:val="11"/>
          <w:color w:val="auto"/>
        </w:rPr>
      </w:pPr>
      <w:r>
        <w:rPr>
          <w:rFonts w:ascii="Arial" w:cs="Arial" w:eastAsia="Arial" w:hAnsi="Arial"/>
          <w:sz w:val="16"/>
          <w:szCs w:val="16"/>
          <w:color w:val="auto"/>
        </w:rPr>
        <w:t>Filed herewith.</w:t>
      </w:r>
    </w:p>
    <w:p>
      <w:pPr>
        <w:spacing w:after="0" w:line="22" w:lineRule="exact"/>
        <w:rPr>
          <w:sz w:val="20"/>
          <w:szCs w:val="20"/>
          <w:color w:val="auto"/>
        </w:rPr>
      </w:pPr>
    </w:p>
    <w:p>
      <w:pPr>
        <w:ind w:left="320" w:hanging="247"/>
        <w:spacing w:after="0"/>
        <w:tabs>
          <w:tab w:leader="none" w:pos="320" w:val="left"/>
        </w:tabs>
        <w:numPr>
          <w:ilvl w:val="0"/>
          <w:numId w:val="27"/>
        </w:numPr>
        <w:rPr>
          <w:rFonts w:ascii="Arial" w:cs="Arial" w:eastAsia="Arial" w:hAnsi="Arial"/>
          <w:sz w:val="11"/>
          <w:szCs w:val="11"/>
          <w:color w:val="auto"/>
        </w:rPr>
      </w:pPr>
      <w:r>
        <w:rPr>
          <w:rFonts w:ascii="Arial" w:cs="Arial" w:eastAsia="Arial" w:hAnsi="Arial"/>
          <w:sz w:val="16"/>
          <w:szCs w:val="16"/>
          <w:color w:val="auto"/>
        </w:rPr>
        <w:t>Management contract or compensatory plans or arrangements.</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CONSOLIDATED FINANCIAL STATEMENTS AND FINANCIAL STATEMENT SCHEDULE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760" w:type="dxa"/>
            <w:vAlign w:val="bottom"/>
            <w:gridSpan w:val="10"/>
            <w:vMerge w:val="restart"/>
          </w:tcPr>
          <w:p>
            <w:pPr>
              <w:spacing w:after="0"/>
              <w:rPr>
                <w:sz w:val="20"/>
                <w:szCs w:val="20"/>
                <w:color w:val="auto"/>
              </w:rPr>
            </w:pPr>
            <w:r>
              <w:rPr>
                <w:rFonts w:ascii="Arial" w:cs="Arial" w:eastAsia="Arial" w:hAnsi="Arial"/>
                <w:sz w:val="20"/>
                <w:szCs w:val="20"/>
                <w:color w:val="auto"/>
              </w:rPr>
              <w:t>MONSTER BEVERAGE CORPORATION AND SUBSIDIARIES</w:t>
            </w:r>
          </w:p>
        </w:tc>
        <w:tc>
          <w:tcPr>
            <w:tcW w:w="2660" w:type="dxa"/>
            <w:vAlign w:val="bottom"/>
            <w:tcBorders>
              <w:bottom w:val="single" w:sz="8" w:color="auto"/>
            </w:tcBorders>
          </w:tcPr>
          <w:p>
            <w:pPr>
              <w:ind w:left="1140"/>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214"/>
        </w:trPr>
        <w:tc>
          <w:tcPr>
            <w:tcW w:w="8760" w:type="dxa"/>
            <w:vAlign w:val="bottom"/>
            <w:gridSpan w:val="10"/>
            <w:vMerge w:val="continue"/>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8760" w:type="dxa"/>
            <w:vAlign w:val="bottom"/>
            <w:gridSpan w:val="10"/>
          </w:tcPr>
          <w:p>
            <w:pPr>
              <w:spacing w:after="0"/>
              <w:rPr>
                <w:rFonts w:ascii="Arial" w:cs="Arial" w:eastAsia="Arial" w:hAnsi="Arial"/>
                <w:sz w:val="20"/>
                <w:szCs w:val="20"/>
                <w:color w:val="0000EE"/>
              </w:rPr>
            </w:pPr>
            <w:hyperlink w:anchor="page45">
              <w:r>
                <w:rPr>
                  <w:rFonts w:ascii="Arial" w:cs="Arial" w:eastAsia="Arial" w:hAnsi="Arial"/>
                  <w:sz w:val="20"/>
                  <w:szCs w:val="20"/>
                  <w:color w:val="0000EE"/>
                </w:rPr>
                <w:t>Report of Independent Registered Public Accounting Firm</w:t>
              </w:r>
            </w:hyperlink>
          </w:p>
        </w:tc>
        <w:tc>
          <w:tcPr>
            <w:tcW w:w="2660" w:type="dxa"/>
            <w:vAlign w:val="bottom"/>
          </w:tcPr>
          <w:p>
            <w:pPr>
              <w:jc w:val="center"/>
              <w:spacing w:after="0"/>
              <w:rPr>
                <w:sz w:val="20"/>
                <w:szCs w:val="20"/>
                <w:color w:val="auto"/>
              </w:rPr>
            </w:pPr>
            <w:r>
              <w:rPr>
                <w:rFonts w:ascii="Arial" w:cs="Arial" w:eastAsia="Arial" w:hAnsi="Arial"/>
                <w:sz w:val="20"/>
                <w:szCs w:val="20"/>
                <w:color w:val="auto"/>
                <w:w w:val="80"/>
              </w:rPr>
              <w:t>69</w:t>
            </w:r>
          </w:p>
        </w:tc>
        <w:tc>
          <w:tcPr>
            <w:tcW w:w="0" w:type="dxa"/>
            <w:vAlign w:val="bottom"/>
          </w:tcPr>
          <w:p>
            <w:pPr>
              <w:spacing w:after="0"/>
              <w:rPr>
                <w:sz w:val="1"/>
                <w:szCs w:val="1"/>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20" w:type="dxa"/>
            <w:vAlign w:val="bottom"/>
            <w:tcBorders>
              <w:bottom w:val="single" w:sz="8" w:color="0000EE"/>
            </w:tcBorders>
            <w:gridSpan w:val="4"/>
          </w:tcPr>
          <w:p>
            <w:pPr>
              <w:spacing w:after="0"/>
              <w:rPr>
                <w:rFonts w:ascii="Arial" w:cs="Arial" w:eastAsia="Arial" w:hAnsi="Arial"/>
                <w:sz w:val="20"/>
                <w:szCs w:val="20"/>
                <w:color w:val="0000EE"/>
                <w:w w:val="87"/>
              </w:rPr>
            </w:pPr>
            <w:hyperlink w:anchor="page45">
              <w:r>
                <w:rPr>
                  <w:rFonts w:ascii="Arial" w:cs="Arial" w:eastAsia="Arial" w:hAnsi="Arial"/>
                  <w:sz w:val="20"/>
                  <w:szCs w:val="20"/>
                  <w:color w:val="0000EE"/>
                  <w:w w:val="87"/>
                </w:rPr>
                <w:t>Consolidated Balance Sheets as of December 31, 2013 and 2012</w:t>
              </w:r>
            </w:hyperlink>
          </w:p>
        </w:tc>
        <w:tc>
          <w:tcPr>
            <w:tcW w:w="3640" w:type="dxa"/>
            <w:vAlign w:val="bottom"/>
            <w:gridSpan w:val="6"/>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20"/>
                <w:szCs w:val="20"/>
                <w:color w:val="auto"/>
                <w:w w:val="80"/>
              </w:rPr>
              <w:t>70</w:t>
            </w:r>
          </w:p>
        </w:tc>
        <w:tc>
          <w:tcPr>
            <w:tcW w:w="0" w:type="dxa"/>
            <w:vAlign w:val="bottom"/>
          </w:tcPr>
          <w:p>
            <w:pPr>
              <w:spacing w:after="0"/>
              <w:rPr>
                <w:sz w:val="1"/>
                <w:szCs w:val="1"/>
                <w:color w:val="auto"/>
              </w:rPr>
            </w:pPr>
          </w:p>
        </w:tc>
      </w:tr>
      <w:tr>
        <w:trPr>
          <w:trHeight w:val="331"/>
        </w:trPr>
        <w:tc>
          <w:tcPr>
            <w:tcW w:w="8760" w:type="dxa"/>
            <w:vAlign w:val="bottom"/>
            <w:gridSpan w:val="10"/>
          </w:tcPr>
          <w:p>
            <w:pPr>
              <w:spacing w:after="0"/>
              <w:rPr>
                <w:rFonts w:ascii="Arial" w:cs="Arial" w:eastAsia="Arial" w:hAnsi="Arial"/>
                <w:sz w:val="20"/>
                <w:szCs w:val="20"/>
                <w:color w:val="0000EE"/>
              </w:rPr>
            </w:pPr>
            <w:hyperlink w:anchor="page46">
              <w:r>
                <w:rPr>
                  <w:rFonts w:ascii="Arial" w:cs="Arial" w:eastAsia="Arial" w:hAnsi="Arial"/>
                  <w:sz w:val="20"/>
                  <w:szCs w:val="20"/>
                  <w:color w:val="0000EE"/>
                </w:rPr>
                <w:t>Consolidated Statements of Income for the years ended December 31, 2013, 2012 and 2011</w:t>
              </w:r>
            </w:hyperlink>
          </w:p>
        </w:tc>
        <w:tc>
          <w:tcPr>
            <w:tcW w:w="2660" w:type="dxa"/>
            <w:vAlign w:val="bottom"/>
          </w:tcPr>
          <w:p>
            <w:pPr>
              <w:jc w:val="center"/>
              <w:spacing w:after="0"/>
              <w:rPr>
                <w:sz w:val="20"/>
                <w:szCs w:val="20"/>
                <w:color w:val="auto"/>
              </w:rPr>
            </w:pPr>
            <w:r>
              <w:rPr>
                <w:rFonts w:ascii="Arial" w:cs="Arial" w:eastAsia="Arial" w:hAnsi="Arial"/>
                <w:sz w:val="20"/>
                <w:szCs w:val="20"/>
                <w:color w:val="auto"/>
                <w:w w:val="80"/>
              </w:rPr>
              <w:t>71</w:t>
            </w:r>
          </w:p>
        </w:tc>
        <w:tc>
          <w:tcPr>
            <w:tcW w:w="0" w:type="dxa"/>
            <w:vAlign w:val="bottom"/>
          </w:tcPr>
          <w:p>
            <w:pPr>
              <w:spacing w:after="0"/>
              <w:rPr>
                <w:sz w:val="1"/>
                <w:szCs w:val="1"/>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560" w:type="dxa"/>
            <w:vAlign w:val="bottom"/>
            <w:tcBorders>
              <w:bottom w:val="single" w:sz="8" w:color="0000EE"/>
            </w:tcBorders>
            <w:gridSpan w:val="8"/>
          </w:tcPr>
          <w:p>
            <w:pPr>
              <w:spacing w:after="0"/>
              <w:rPr>
                <w:rFonts w:ascii="Arial" w:cs="Arial" w:eastAsia="Arial" w:hAnsi="Arial"/>
                <w:sz w:val="20"/>
                <w:szCs w:val="20"/>
                <w:color w:val="0000EE"/>
                <w:w w:val="88"/>
              </w:rPr>
            </w:pPr>
            <w:hyperlink w:anchor="page46">
              <w:r>
                <w:rPr>
                  <w:rFonts w:ascii="Arial" w:cs="Arial" w:eastAsia="Arial" w:hAnsi="Arial"/>
                  <w:sz w:val="20"/>
                  <w:szCs w:val="20"/>
                  <w:color w:val="0000EE"/>
                  <w:w w:val="88"/>
                </w:rPr>
                <w:t>Consolidated Statements of Comprehensive Income for the years ended December 31, 2013, 2012 and 2011</w:t>
              </w:r>
            </w:hyperlink>
          </w:p>
        </w:tc>
        <w:tc>
          <w:tcPr>
            <w:tcW w:w="200" w:type="dxa"/>
            <w:vAlign w:val="bottom"/>
            <w:gridSpan w:val="2"/>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20"/>
                <w:szCs w:val="20"/>
                <w:color w:val="auto"/>
                <w:w w:val="80"/>
              </w:rPr>
              <w:t>72</w:t>
            </w:r>
          </w:p>
        </w:tc>
        <w:tc>
          <w:tcPr>
            <w:tcW w:w="0" w:type="dxa"/>
            <w:vAlign w:val="bottom"/>
          </w:tcPr>
          <w:p>
            <w:pPr>
              <w:spacing w:after="0"/>
              <w:rPr>
                <w:sz w:val="1"/>
                <w:szCs w:val="1"/>
                <w:color w:val="auto"/>
              </w:rPr>
            </w:pPr>
          </w:p>
        </w:tc>
      </w:tr>
      <w:tr>
        <w:trPr>
          <w:trHeight w:val="331"/>
        </w:trPr>
        <w:tc>
          <w:tcPr>
            <w:tcW w:w="8760" w:type="dxa"/>
            <w:vAlign w:val="bottom"/>
            <w:gridSpan w:val="10"/>
          </w:tcPr>
          <w:p>
            <w:pPr>
              <w:spacing w:after="0"/>
              <w:rPr>
                <w:rFonts w:ascii="Arial" w:cs="Arial" w:eastAsia="Arial" w:hAnsi="Arial"/>
                <w:sz w:val="20"/>
                <w:szCs w:val="20"/>
                <w:color w:val="0000EE"/>
                <w:w w:val="93"/>
              </w:rPr>
            </w:pPr>
            <w:hyperlink w:anchor="page47">
              <w:r>
                <w:rPr>
                  <w:rFonts w:ascii="Arial" w:cs="Arial" w:eastAsia="Arial" w:hAnsi="Arial"/>
                  <w:sz w:val="20"/>
                  <w:szCs w:val="20"/>
                  <w:color w:val="0000EE"/>
                  <w:w w:val="93"/>
                </w:rPr>
                <w:t>Consolidated Statements of Stockholders’ Equity for the years ended December 31, 2013, 2012 and 2011</w:t>
              </w:r>
            </w:hyperlink>
          </w:p>
        </w:tc>
        <w:tc>
          <w:tcPr>
            <w:tcW w:w="2660" w:type="dxa"/>
            <w:vAlign w:val="bottom"/>
          </w:tcPr>
          <w:p>
            <w:pPr>
              <w:jc w:val="center"/>
              <w:spacing w:after="0"/>
              <w:rPr>
                <w:sz w:val="20"/>
                <w:szCs w:val="20"/>
                <w:color w:val="auto"/>
              </w:rPr>
            </w:pPr>
            <w:r>
              <w:rPr>
                <w:rFonts w:ascii="Arial" w:cs="Arial" w:eastAsia="Arial" w:hAnsi="Arial"/>
                <w:sz w:val="20"/>
                <w:szCs w:val="20"/>
                <w:color w:val="auto"/>
                <w:w w:val="80"/>
              </w:rPr>
              <w:t>73</w:t>
            </w:r>
          </w:p>
        </w:tc>
        <w:tc>
          <w:tcPr>
            <w:tcW w:w="0" w:type="dxa"/>
            <w:vAlign w:val="bottom"/>
          </w:tcPr>
          <w:p>
            <w:pPr>
              <w:spacing w:after="0"/>
              <w:rPr>
                <w:sz w:val="1"/>
                <w:szCs w:val="1"/>
                <w:color w:val="auto"/>
              </w:rPr>
            </w:pPr>
          </w:p>
        </w:tc>
      </w:tr>
      <w:tr>
        <w:trPr>
          <w:trHeight w:val="331"/>
        </w:trPr>
        <w:tc>
          <w:tcPr>
            <w:tcW w:w="7600" w:type="dxa"/>
            <w:vAlign w:val="bottom"/>
            <w:tcBorders>
              <w:top w:val="single" w:sz="8" w:color="0000EE"/>
              <w:bottom w:val="single" w:sz="8" w:color="0000EE"/>
            </w:tcBorders>
            <w:gridSpan w:val="6"/>
          </w:tcPr>
          <w:p>
            <w:pPr>
              <w:spacing w:after="0"/>
              <w:rPr>
                <w:rFonts w:ascii="Arial" w:cs="Arial" w:eastAsia="Arial" w:hAnsi="Arial"/>
                <w:sz w:val="20"/>
                <w:szCs w:val="20"/>
                <w:color w:val="0000EE"/>
                <w:w w:val="88"/>
              </w:rPr>
            </w:pPr>
            <w:hyperlink w:anchor="page48">
              <w:r>
                <w:rPr>
                  <w:rFonts w:ascii="Arial" w:cs="Arial" w:eastAsia="Arial" w:hAnsi="Arial"/>
                  <w:sz w:val="20"/>
                  <w:szCs w:val="20"/>
                  <w:color w:val="0000EE"/>
                  <w:w w:val="88"/>
                </w:rPr>
                <w:t>Consolidated Statements of Cash Flows for the years ended December 31, 2013, 2012 and 2011</w:t>
              </w:r>
            </w:hyperlink>
          </w:p>
        </w:tc>
        <w:tc>
          <w:tcPr>
            <w:tcW w:w="740" w:type="dxa"/>
            <w:vAlign w:val="bottom"/>
            <w:tcBorders>
              <w:top w:val="single" w:sz="8" w:color="0000EE"/>
            </w:tcBorders>
          </w:tcPr>
          <w:p>
            <w:pPr>
              <w:spacing w:after="0"/>
              <w:rPr>
                <w:sz w:val="24"/>
                <w:szCs w:val="24"/>
                <w:color w:val="auto"/>
              </w:rPr>
            </w:pPr>
          </w:p>
        </w:tc>
        <w:tc>
          <w:tcPr>
            <w:tcW w:w="420" w:type="dxa"/>
            <w:vAlign w:val="bottom"/>
            <w:gridSpan w:val="3"/>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20"/>
                <w:szCs w:val="20"/>
                <w:color w:val="auto"/>
                <w:w w:val="80"/>
              </w:rPr>
              <w:t>74</w:t>
            </w:r>
          </w:p>
        </w:tc>
        <w:tc>
          <w:tcPr>
            <w:tcW w:w="0" w:type="dxa"/>
            <w:vAlign w:val="bottom"/>
          </w:tcPr>
          <w:p>
            <w:pPr>
              <w:spacing w:after="0"/>
              <w:rPr>
                <w:sz w:val="1"/>
                <w:szCs w:val="1"/>
                <w:color w:val="auto"/>
              </w:rPr>
            </w:pPr>
          </w:p>
        </w:tc>
      </w:tr>
      <w:tr>
        <w:trPr>
          <w:trHeight w:val="331"/>
        </w:trPr>
        <w:tc>
          <w:tcPr>
            <w:tcW w:w="3480" w:type="dxa"/>
            <w:vAlign w:val="bottom"/>
            <w:tcBorders>
              <w:bottom w:val="single" w:sz="8" w:color="0000EE"/>
            </w:tcBorders>
            <w:gridSpan w:val="2"/>
          </w:tcPr>
          <w:p>
            <w:pPr>
              <w:spacing w:after="0"/>
              <w:rPr>
                <w:rFonts w:ascii="Arial" w:cs="Arial" w:eastAsia="Arial" w:hAnsi="Arial"/>
                <w:sz w:val="20"/>
                <w:szCs w:val="20"/>
                <w:color w:val="0000EE"/>
                <w:w w:val="88"/>
              </w:rPr>
            </w:pPr>
            <w:hyperlink w:anchor="page49">
              <w:r>
                <w:rPr>
                  <w:rFonts w:ascii="Arial" w:cs="Arial" w:eastAsia="Arial" w:hAnsi="Arial"/>
                  <w:sz w:val="20"/>
                  <w:szCs w:val="20"/>
                  <w:color w:val="0000EE"/>
                  <w:w w:val="88"/>
                </w:rPr>
                <w:t>Notes to Consolidated Financial Statements</w:t>
              </w:r>
            </w:hyperlink>
          </w:p>
        </w:tc>
        <w:tc>
          <w:tcPr>
            <w:tcW w:w="5280" w:type="dxa"/>
            <w:vAlign w:val="bottom"/>
            <w:gridSpan w:val="8"/>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20"/>
                <w:szCs w:val="20"/>
                <w:color w:val="auto"/>
                <w:w w:val="80"/>
              </w:rPr>
              <w:t>76</w:t>
            </w:r>
          </w:p>
        </w:tc>
        <w:tc>
          <w:tcPr>
            <w:tcW w:w="0" w:type="dxa"/>
            <w:vAlign w:val="bottom"/>
          </w:tcPr>
          <w:p>
            <w:pPr>
              <w:spacing w:after="0"/>
              <w:rPr>
                <w:sz w:val="1"/>
                <w:szCs w:val="1"/>
                <w:color w:val="auto"/>
              </w:rPr>
            </w:pPr>
          </w:p>
        </w:tc>
      </w:tr>
      <w:tr>
        <w:trPr>
          <w:trHeight w:val="439"/>
        </w:trPr>
        <w:tc>
          <w:tcPr>
            <w:tcW w:w="8760" w:type="dxa"/>
            <w:vAlign w:val="bottom"/>
            <w:gridSpan w:val="10"/>
          </w:tcPr>
          <w:p>
            <w:pPr>
              <w:spacing w:after="0"/>
              <w:rPr>
                <w:rFonts w:ascii="Arial" w:cs="Arial" w:eastAsia="Arial" w:hAnsi="Arial"/>
                <w:sz w:val="20"/>
                <w:szCs w:val="20"/>
                <w:color w:val="0000EE"/>
                <w:w w:val="91"/>
              </w:rPr>
            </w:pPr>
            <w:hyperlink w:anchor="page69">
              <w:r>
                <w:rPr>
                  <w:rFonts w:ascii="Arial" w:cs="Arial" w:eastAsia="Arial" w:hAnsi="Arial"/>
                  <w:sz w:val="20"/>
                  <w:szCs w:val="20"/>
                  <w:color w:val="0000EE"/>
                  <w:w w:val="91"/>
                </w:rPr>
                <w:t>Financial Statement Schedule – Valuation and Qualifying Accounts for the years ended December 31, 2013,</w:t>
              </w:r>
            </w:hyperlink>
          </w:p>
        </w:tc>
        <w:tc>
          <w:tcPr>
            <w:tcW w:w="2660" w:type="dxa"/>
            <w:vAlign w:val="bottom"/>
          </w:tcPr>
          <w:p>
            <w:pPr>
              <w:jc w:val="center"/>
              <w:spacing w:after="0"/>
              <w:rPr>
                <w:sz w:val="20"/>
                <w:szCs w:val="20"/>
                <w:color w:val="auto"/>
              </w:rPr>
            </w:pPr>
            <w:r>
              <w:rPr>
                <w:rFonts w:ascii="Arial" w:cs="Arial" w:eastAsia="Arial" w:hAnsi="Arial"/>
                <w:sz w:val="20"/>
                <w:szCs w:val="20"/>
                <w:color w:val="auto"/>
                <w:w w:val="89"/>
              </w:rPr>
              <w:t>106</w:t>
            </w:r>
          </w:p>
        </w:tc>
        <w:tc>
          <w:tcPr>
            <w:tcW w:w="0" w:type="dxa"/>
            <w:vAlign w:val="bottom"/>
          </w:tcPr>
          <w:p>
            <w:pPr>
              <w:spacing w:after="0"/>
              <w:rPr>
                <w:sz w:val="1"/>
                <w:szCs w:val="1"/>
                <w:color w:val="auto"/>
              </w:rPr>
            </w:pPr>
          </w:p>
        </w:tc>
      </w:tr>
      <w:tr>
        <w:trPr>
          <w:trHeight w:val="210"/>
        </w:trPr>
        <w:tc>
          <w:tcPr>
            <w:tcW w:w="118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6"/>
              </w:rPr>
            </w:pPr>
            <w:hyperlink w:anchor="page69">
              <w:r>
                <w:rPr>
                  <w:rFonts w:ascii="Arial" w:cs="Arial" w:eastAsia="Arial" w:hAnsi="Arial"/>
                  <w:sz w:val="20"/>
                  <w:szCs w:val="20"/>
                  <w:color w:val="0000EE"/>
                  <w:w w:val="86"/>
                </w:rPr>
                <w:t>2012 and 2011</w:t>
              </w:r>
            </w:hyperlink>
          </w:p>
        </w:tc>
        <w:tc>
          <w:tcPr>
            <w:tcW w:w="7560" w:type="dxa"/>
            <w:vAlign w:val="bottom"/>
            <w:tcBorders>
              <w:top w:val="single" w:sz="8" w:color="0000EE"/>
            </w:tcBorders>
            <w:gridSpan w:val="8"/>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122" w:right="199" w:bottom="0" w:gutter="0" w:footer="0" w:header="0"/>
        </w:sectPr>
      </w:pP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2" w:right="199" w:bottom="0" w:gutter="0" w:footer="0" w:header="0"/>
          <w:type w:val="continuous"/>
        </w:sectPr>
      </w:pPr>
    </w:p>
    <w:bookmarkStart w:id="44" w:name="page45"/>
    <w:bookmarkEnd w:id="44"/>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Monster Beverage Corporation</w:t>
      </w:r>
    </w:p>
    <w:p>
      <w:pPr>
        <w:spacing w:after="0"/>
        <w:rPr>
          <w:sz w:val="20"/>
          <w:szCs w:val="20"/>
          <w:color w:val="auto"/>
        </w:rPr>
      </w:pPr>
      <w:r>
        <w:rPr>
          <w:rFonts w:ascii="Arial" w:cs="Arial" w:eastAsia="Arial" w:hAnsi="Arial"/>
          <w:sz w:val="20"/>
          <w:szCs w:val="20"/>
          <w:color w:val="auto"/>
        </w:rPr>
        <w:t>Corona, California</w:t>
      </w:r>
    </w:p>
    <w:p>
      <w:pPr>
        <w:spacing w:after="0" w:line="21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We have audited the accompanying consolidated balance sheets of Monster Beverage Corporation and subsidiaries (the “Company”) as of December 31, 2013 and 2012, and the related consolidated statements of income, comprehensive income, stockholders' equity and cash flows for each of the three years in the period ended December 31, 2013. Our audits also included the financial statement schedule listed in the Index at Item 15(a).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4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our opinion, such consolidated financial statements present fairly, in all material respects, the financial position of Monster Beverage Corporation and subsidiaries as of December 31, 2013 and 2012, and the results of their operations and their cash flows for each of the three years in the period ended December 31, 2013,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We have also audited, in accordance with the standards of the Public Company Accounting Oversight Board (United States), the Company’s internal control over financial reporting as of December 31, 2013, based on the criteria established in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(1992) </w:t>
      </w:r>
      <w:r>
        <w:rPr>
          <w:rFonts w:ascii="Arial" w:cs="Arial" w:eastAsia="Arial" w:hAnsi="Arial"/>
          <w:sz w:val="20"/>
          <w:szCs w:val="20"/>
          <w:color w:val="auto"/>
        </w:rPr>
        <w:t>issued by the Committee of Sponsoring Organizations of the Treadway Commission and our report dated March 3, 2014, expressed an</w:t>
      </w:r>
      <w:r>
        <w:rPr>
          <w:rFonts w:ascii="Arial" w:cs="Arial" w:eastAsia="Arial" w:hAnsi="Arial"/>
          <w:sz w:val="20"/>
          <w:szCs w:val="20"/>
          <w:i w:val="1"/>
          <w:iCs w:val="1"/>
          <w:color w:val="auto"/>
        </w:rPr>
        <w:t xml:space="preserve"> </w:t>
      </w:r>
      <w:r>
        <w:rPr>
          <w:rFonts w:ascii="Arial" w:cs="Arial" w:eastAsia="Arial" w:hAnsi="Arial"/>
          <w:sz w:val="20"/>
          <w:szCs w:val="20"/>
          <w:color w:val="auto"/>
        </w:rPr>
        <w:t>unqualified opinion on the Company’s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Costa Mesa,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3,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SHEETS</w:t>
      </w:r>
    </w:p>
    <w:p>
      <w:pPr>
        <w:spacing w:after="0"/>
        <w:rPr>
          <w:sz w:val="20"/>
          <w:szCs w:val="20"/>
          <w:color w:val="auto"/>
        </w:rPr>
      </w:pPr>
      <w:r>
        <w:rPr>
          <w:rFonts w:ascii="Arial" w:cs="Arial" w:eastAsia="Arial" w:hAnsi="Arial"/>
          <w:sz w:val="20"/>
          <w:szCs w:val="20"/>
          <w:b w:val="1"/>
          <w:bCs w:val="1"/>
          <w:color w:val="auto"/>
        </w:rPr>
        <w:t>AS OF DECEMBER 31, 2013 AND 2012 (In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6080" w:type="dxa"/>
            <w:vAlign w:val="bottom"/>
            <w:gridSpan w:val="4"/>
          </w:tcPr>
          <w:p>
            <w:pPr>
              <w:jc w:val="center"/>
              <w:ind w:right="2560"/>
              <w:spacing w:after="0" w:line="175" w:lineRule="exact"/>
              <w:rPr>
                <w:sz w:val="20"/>
                <w:szCs w:val="20"/>
                <w:color w:val="auto"/>
              </w:rPr>
            </w:pPr>
            <w:r>
              <w:rPr>
                <w:rFonts w:ascii="Arial" w:cs="Arial" w:eastAsia="Arial" w:hAnsi="Arial"/>
                <w:sz w:val="16"/>
                <w:szCs w:val="16"/>
                <w:b w:val="1"/>
                <w:bCs w:val="1"/>
                <w:color w:val="auto"/>
                <w:w w:val="93"/>
              </w:rPr>
              <w:t>ASSETS</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7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600" w:type="dxa"/>
            <w:vAlign w:val="bottom"/>
            <w:tcBorders>
              <w:top w:val="single" w:sz="8" w:color="auto"/>
            </w:tcBorders>
          </w:tcPr>
          <w:p>
            <w:pPr>
              <w:spacing w:after="0"/>
              <w:rPr>
                <w:sz w:val="21"/>
                <w:szCs w:val="21"/>
                <w:color w:val="auto"/>
              </w:rPr>
            </w:pPr>
          </w:p>
        </w:tc>
        <w:tc>
          <w:tcPr>
            <w:tcW w:w="40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211,349</w:t>
            </w:r>
          </w:p>
        </w:tc>
        <w:tc>
          <w:tcPr>
            <w:tcW w:w="220" w:type="dxa"/>
            <w:vAlign w:val="bottom"/>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222,514</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Short-term investments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402,247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97,042</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291,638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236,044</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Distributor receivables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4,542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221,449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203,106</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21,376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24,983</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Prepaid income taxes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9,518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33,709</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20,924</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17,004</w:t>
            </w:r>
          </w:p>
        </w:tc>
        <w:tc>
          <w:tcPr>
            <w:tcW w:w="0" w:type="dxa"/>
            <w:vAlign w:val="bottom"/>
          </w:tcPr>
          <w:p>
            <w:pPr>
              <w:spacing w:after="0"/>
              <w:rPr>
                <w:sz w:val="1"/>
                <w:szCs w:val="1"/>
                <w:color w:val="auto"/>
              </w:rPr>
            </w:pPr>
          </w:p>
        </w:tc>
      </w:tr>
      <w:tr>
        <w:trPr>
          <w:trHeight w:val="223"/>
        </w:trPr>
        <w:tc>
          <w:tcPr>
            <w:tcW w:w="8360" w:type="dxa"/>
            <w:vAlign w:val="bottom"/>
            <w:gridSpan w:val="5"/>
          </w:tcPr>
          <w:p>
            <w:pPr>
              <w:ind w:left="18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1,183,043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835,068</w:t>
            </w:r>
          </w:p>
        </w:tc>
        <w:tc>
          <w:tcPr>
            <w:tcW w:w="0" w:type="dxa"/>
            <w:vAlign w:val="bottom"/>
          </w:tcPr>
          <w:p>
            <w:pPr>
              <w:spacing w:after="0"/>
              <w:rPr>
                <w:sz w:val="1"/>
                <w:szCs w:val="1"/>
                <w:color w:val="auto"/>
              </w:rPr>
            </w:pPr>
          </w:p>
        </w:tc>
      </w:tr>
      <w:tr>
        <w:trPr>
          <w:trHeight w:val="378"/>
        </w:trPr>
        <w:tc>
          <w:tcPr>
            <w:tcW w:w="8360" w:type="dxa"/>
            <w:vAlign w:val="bottom"/>
            <w:gridSpan w:val="5"/>
          </w:tcPr>
          <w:p>
            <w:pPr>
              <w:spacing w:after="0"/>
              <w:rPr>
                <w:sz w:val="20"/>
                <w:szCs w:val="20"/>
                <w:color w:val="auto"/>
              </w:rPr>
            </w:pPr>
            <w:r>
              <w:rPr>
                <w:rFonts w:ascii="Arial" w:cs="Arial" w:eastAsia="Arial" w:hAnsi="Arial"/>
                <w:sz w:val="16"/>
                <w:szCs w:val="16"/>
                <w:color w:val="auto"/>
              </w:rPr>
              <w:t>INVESTMENTS</w:t>
            </w:r>
          </w:p>
        </w:tc>
        <w:tc>
          <w:tcPr>
            <w:tcW w:w="34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9,792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21,393</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88,143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69,137</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63,611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59,503</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INTANGIBLES, net</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65,774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54,648</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10,146</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3,576</w:t>
            </w: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6080" w:type="dxa"/>
            <w:vAlign w:val="bottom"/>
            <w:gridSpan w:val="4"/>
          </w:tcPr>
          <w:p>
            <w:pPr>
              <w:jc w:val="center"/>
              <w:ind w:right="2580"/>
              <w:spacing w:after="0"/>
              <w:rPr>
                <w:sz w:val="20"/>
                <w:szCs w:val="20"/>
                <w:color w:val="auto"/>
              </w:rPr>
            </w:pPr>
            <w:r>
              <w:rPr>
                <w:rFonts w:ascii="Arial" w:cs="Arial" w:eastAsia="Arial" w:hAnsi="Arial"/>
                <w:sz w:val="16"/>
                <w:szCs w:val="16"/>
                <w:b w:val="1"/>
                <w:bCs w:val="1"/>
                <w:color w:val="auto"/>
                <w:w w:val="86"/>
              </w:rPr>
              <w:t>Total Assets</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1,420,509</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1,043,325</w:t>
            </w:r>
          </w:p>
        </w:tc>
        <w:tc>
          <w:tcPr>
            <w:tcW w:w="0" w:type="dxa"/>
            <w:vAlign w:val="bottom"/>
          </w:tcPr>
          <w:p>
            <w:pPr>
              <w:spacing w:after="0"/>
              <w:rPr>
                <w:sz w:val="1"/>
                <w:szCs w:val="1"/>
                <w:color w:val="auto"/>
              </w:rPr>
            </w:pPr>
          </w:p>
        </w:tc>
      </w:tr>
      <w:tr>
        <w:trPr>
          <w:trHeight w:val="20"/>
        </w:trPr>
        <w:tc>
          <w:tcPr>
            <w:tcW w:w="8360" w:type="dxa"/>
            <w:vAlign w:val="bottom"/>
            <w:gridSpan w:val="5"/>
            <w:vMerge w:val="restart"/>
          </w:tcPr>
          <w:p>
            <w:pPr>
              <w:jc w:val="center"/>
              <w:ind w:right="28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836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80" w:type="dxa"/>
            <w:vAlign w:val="bottom"/>
          </w:tcPr>
          <w:p>
            <w:pPr>
              <w:spacing w:after="0"/>
              <w:rPr>
                <w:sz w:val="20"/>
                <w:szCs w:val="20"/>
                <w:color w:val="auto"/>
              </w:rPr>
            </w:pPr>
            <w:r>
              <w:rPr>
                <w:rFonts w:ascii="Arial" w:cs="Arial" w:eastAsia="Arial" w:hAnsi="Arial"/>
                <w:sz w:val="16"/>
                <w:szCs w:val="16"/>
                <w:color w:val="auto"/>
              </w:rPr>
              <w:t>CURRENT LIABILITIES:</w:t>
            </w:r>
          </w:p>
        </w:tc>
        <w:tc>
          <w:tcPr>
            <w:tcW w:w="3520" w:type="dxa"/>
            <w:vAlign w:val="bottom"/>
            <w:tcBorders>
              <w:top w:val="single" w:sz="8" w:color="auto"/>
            </w:tcBorders>
            <w:gridSpan w:val="3"/>
          </w:tcPr>
          <w:p>
            <w:pPr>
              <w:spacing w:after="0"/>
              <w:rPr>
                <w:sz w:val="18"/>
                <w:szCs w:val="18"/>
                <w:color w:val="auto"/>
              </w:rPr>
            </w:pPr>
          </w:p>
        </w:tc>
        <w:tc>
          <w:tcPr>
            <w:tcW w:w="2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119,376</w:t>
            </w:r>
          </w:p>
        </w:tc>
        <w:tc>
          <w:tcPr>
            <w:tcW w:w="220" w:type="dxa"/>
            <w:vAlign w:val="bottom"/>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127,330</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59,113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38,916</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Accrued promotional allowances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99,470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91,208</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13,832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12,695</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6" w:right="23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60" w:type="dxa"/>
            <w:vAlign w:val="bottom"/>
          </w:tcPr>
          <w:p>
            <w:pPr>
              <w:spacing w:after="0"/>
              <w:rPr>
                <w:sz w:val="20"/>
                <w:szCs w:val="20"/>
                <w:color w:val="auto"/>
              </w:rPr>
            </w:pPr>
            <w:r>
              <w:rPr>
                <w:rFonts w:ascii="Arial" w:cs="Arial" w:eastAsia="Arial" w:hAnsi="Arial"/>
                <w:sz w:val="16"/>
                <w:szCs w:val="16"/>
                <w:color w:val="auto"/>
              </w:rPr>
              <w:t>Accrued compensation</w:t>
            </w:r>
          </w:p>
        </w:tc>
        <w:tc>
          <w:tcPr>
            <w:tcW w:w="3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14,864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12,926</w:t>
            </w:r>
          </w:p>
        </w:tc>
      </w:tr>
      <w:tr>
        <w:trPr>
          <w:trHeight w:val="230"/>
        </w:trPr>
        <w:tc>
          <w:tcPr>
            <w:tcW w:w="8360" w:type="dxa"/>
            <w:vAlign w:val="bottom"/>
          </w:tcPr>
          <w:p>
            <w:pPr>
              <w:spacing w:after="0"/>
              <w:rPr>
                <w:sz w:val="20"/>
                <w:szCs w:val="20"/>
                <w:color w:val="auto"/>
              </w:rPr>
            </w:pPr>
            <w:r>
              <w:rPr>
                <w:rFonts w:ascii="Arial" w:cs="Arial" w:eastAsia="Arial" w:hAnsi="Arial"/>
                <w:sz w:val="16"/>
                <w:szCs w:val="16"/>
                <w:color w:val="auto"/>
              </w:rPr>
              <w:t>Income taxes payable</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9,359</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5,470</w:t>
            </w:r>
          </w:p>
        </w:tc>
      </w:tr>
      <w:tr>
        <w:trPr>
          <w:trHeight w:val="223"/>
        </w:trPr>
        <w:tc>
          <w:tcPr>
            <w:tcW w:w="836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3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316,014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288,545</w:t>
            </w:r>
          </w:p>
        </w:tc>
      </w:tr>
      <w:tr>
        <w:trPr>
          <w:trHeight w:val="378"/>
        </w:trPr>
        <w:tc>
          <w:tcPr>
            <w:tcW w:w="8360" w:type="dxa"/>
            <w:vAlign w:val="bottom"/>
          </w:tcPr>
          <w:p>
            <w:pPr>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112,216</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110,383</w:t>
            </w:r>
          </w:p>
        </w:tc>
      </w:tr>
      <w:tr>
        <w:trPr>
          <w:trHeight w:val="378"/>
        </w:trPr>
        <w:tc>
          <w:tcPr>
            <w:tcW w:w="8360" w:type="dxa"/>
            <w:vAlign w:val="bottom"/>
          </w:tcPr>
          <w:p>
            <w:pPr>
              <w:spacing w:after="0"/>
              <w:rPr>
                <w:sz w:val="20"/>
                <w:szCs w:val="20"/>
                <w:color w:val="auto"/>
              </w:rPr>
            </w:pPr>
            <w:r>
              <w:rPr>
                <w:rFonts w:ascii="Arial" w:cs="Arial" w:eastAsia="Arial" w:hAnsi="Arial"/>
                <w:sz w:val="16"/>
                <w:szCs w:val="16"/>
                <w:color w:val="auto"/>
              </w:rPr>
              <w:t>COMMITMENTS AND CONTINGENCIES (Note 9)</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8360" w:type="dxa"/>
            <w:vAlign w:val="bottom"/>
          </w:tcPr>
          <w:p>
            <w:pPr>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8360" w:type="dxa"/>
            <w:vAlign w:val="bottom"/>
          </w:tcPr>
          <w:p>
            <w:pPr>
              <w:spacing w:after="0"/>
              <w:rPr>
                <w:sz w:val="20"/>
                <w:szCs w:val="20"/>
                <w:color w:val="auto"/>
              </w:rPr>
            </w:pPr>
            <w:r>
              <w:rPr>
                <w:rFonts w:ascii="Arial" w:cs="Arial" w:eastAsia="Arial" w:hAnsi="Arial"/>
                <w:sz w:val="16"/>
                <w:szCs w:val="16"/>
                <w:color w:val="auto"/>
              </w:rPr>
              <w:t>Common stock - $0.005 par value; 240,000 shares authorized;</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3"/>
        </w:trPr>
        <w:tc>
          <w:tcPr>
            <w:tcW w:w="8360" w:type="dxa"/>
            <w:vAlign w:val="bottom"/>
          </w:tcPr>
          <w:p>
            <w:pPr>
              <w:ind w:left="180"/>
              <w:spacing w:after="0"/>
              <w:rPr>
                <w:sz w:val="20"/>
                <w:szCs w:val="20"/>
                <w:color w:val="auto"/>
              </w:rPr>
            </w:pPr>
            <w:r>
              <w:rPr>
                <w:rFonts w:ascii="Arial" w:cs="Arial" w:eastAsia="Arial" w:hAnsi="Arial"/>
                <w:sz w:val="16"/>
                <w:szCs w:val="16"/>
                <w:color w:val="auto"/>
              </w:rPr>
              <w:t>206,014 shares issued and 166,822 outstanding as of December 31, 2013;</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8360" w:type="dxa"/>
            <w:vAlign w:val="bottom"/>
          </w:tcPr>
          <w:p>
            <w:pPr>
              <w:ind w:left="180"/>
              <w:spacing w:after="0"/>
              <w:rPr>
                <w:sz w:val="20"/>
                <w:szCs w:val="20"/>
                <w:color w:val="auto"/>
              </w:rPr>
            </w:pPr>
            <w:r>
              <w:rPr>
                <w:rFonts w:ascii="Arial" w:cs="Arial" w:eastAsia="Arial" w:hAnsi="Arial"/>
                <w:sz w:val="16"/>
                <w:szCs w:val="16"/>
                <w:color w:val="auto"/>
              </w:rPr>
              <w:t>203,759 shares issued and 165,776 outstanding as of December 31, 2012</w:t>
            </w:r>
          </w:p>
        </w:tc>
        <w:tc>
          <w:tcPr>
            <w:tcW w:w="3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1,030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1,019</w:t>
            </w:r>
          </w:p>
        </w:tc>
      </w:tr>
      <w:tr>
        <w:trPr>
          <w:trHeight w:val="230"/>
        </w:trPr>
        <w:tc>
          <w:tcPr>
            <w:tcW w:w="836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368,069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287,953</w:t>
            </w:r>
          </w:p>
        </w:tc>
      </w:tr>
      <w:tr>
        <w:trPr>
          <w:trHeight w:val="230"/>
        </w:trPr>
        <w:tc>
          <w:tcPr>
            <w:tcW w:w="8360" w:type="dxa"/>
            <w:vAlign w:val="bottom"/>
          </w:tcPr>
          <w:p>
            <w:pPr>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1,847,325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1,508,664</w:t>
            </w:r>
          </w:p>
        </w:tc>
      </w:tr>
      <w:tr>
        <w:trPr>
          <w:trHeight w:val="230"/>
        </w:trPr>
        <w:tc>
          <w:tcPr>
            <w:tcW w:w="8360" w:type="dxa"/>
            <w:vAlign w:val="bottom"/>
          </w:tcPr>
          <w:p>
            <w:pPr>
              <w:spacing w:after="0"/>
              <w:rPr>
                <w:sz w:val="20"/>
                <w:szCs w:val="20"/>
                <w:color w:val="auto"/>
              </w:rPr>
            </w:pPr>
            <w:r>
              <w:rPr>
                <w:rFonts w:ascii="Arial" w:cs="Arial" w:eastAsia="Arial" w:hAnsi="Arial"/>
                <w:sz w:val="16"/>
                <w:szCs w:val="16"/>
                <w:color w:val="auto"/>
              </w:rPr>
              <w:t>Accumulated other comprehensive (loss) income</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2,074</w:t>
            </w:r>
          </w:p>
        </w:tc>
      </w:tr>
      <w:tr>
        <w:trPr>
          <w:trHeight w:val="230"/>
        </w:trPr>
        <w:tc>
          <w:tcPr>
            <w:tcW w:w="8360" w:type="dxa"/>
            <w:vAlign w:val="bottom"/>
          </w:tcPr>
          <w:p>
            <w:pPr>
              <w:spacing w:after="0"/>
              <w:rPr>
                <w:sz w:val="20"/>
                <w:szCs w:val="20"/>
                <w:color w:val="auto"/>
              </w:rPr>
            </w:pPr>
            <w:r>
              <w:rPr>
                <w:rFonts w:ascii="Arial" w:cs="Arial" w:eastAsia="Arial" w:hAnsi="Arial"/>
                <w:sz w:val="16"/>
                <w:szCs w:val="16"/>
                <w:color w:val="auto"/>
                <w:w w:val="99"/>
              </w:rPr>
              <w:t>Common stock in treasury, at cost; 39,192 shares and 37,983 shares as of December 31, 2013 and 2012, respectively</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(1,222,912)</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(1,155,313)</w:t>
            </w:r>
          </w:p>
        </w:tc>
      </w:tr>
      <w:tr>
        <w:trPr>
          <w:trHeight w:val="223"/>
        </w:trPr>
        <w:tc>
          <w:tcPr>
            <w:tcW w:w="8360" w:type="dxa"/>
            <w:vAlign w:val="bottom"/>
          </w:tcPr>
          <w:p>
            <w:pPr>
              <w:ind w:left="18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992,279</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644,397</w:t>
            </w:r>
          </w:p>
        </w:tc>
      </w:tr>
      <w:tr>
        <w:trPr>
          <w:trHeight w:val="226"/>
        </w:trPr>
        <w:tc>
          <w:tcPr>
            <w:tcW w:w="8360" w:type="dxa"/>
            <w:vAlign w:val="bottom"/>
          </w:tcPr>
          <w:p>
            <w:pPr>
              <w:ind w:left="2580"/>
              <w:spacing w:after="0"/>
              <w:rPr>
                <w:sz w:val="20"/>
                <w:szCs w:val="20"/>
                <w:color w:val="auto"/>
              </w:rPr>
            </w:pPr>
            <w:r>
              <w:rPr>
                <w:rFonts w:ascii="Arial" w:cs="Arial" w:eastAsia="Arial" w:hAnsi="Arial"/>
                <w:sz w:val="16"/>
                <w:szCs w:val="16"/>
                <w:b w:val="1"/>
                <w:bCs w:val="1"/>
                <w:color w:val="auto"/>
              </w:rPr>
              <w:t>Total Liabilities and Stockholders’ Equity</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1,420,509</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1,043,325</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INCOME</w:t>
      </w:r>
    </w:p>
    <w:p>
      <w:pPr>
        <w:ind w:right="5620"/>
        <w:spacing w:after="0" w:line="244" w:lineRule="auto"/>
        <w:rPr>
          <w:sz w:val="20"/>
          <w:szCs w:val="20"/>
          <w:color w:val="auto"/>
        </w:rPr>
      </w:pPr>
      <w:r>
        <w:rPr>
          <w:rFonts w:ascii="Arial" w:cs="Arial" w:eastAsia="Arial" w:hAnsi="Arial"/>
          <w:sz w:val="20"/>
          <w:szCs w:val="20"/>
          <w:b w:val="1"/>
          <w:bCs w:val="1"/>
          <w:color w:val="auto"/>
        </w:rPr>
        <w:t>FOR THE YEARS ENDED DECEMBER 31, 2013, 2012 AND 2011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96"/>
        </w:trPr>
        <w:tc>
          <w:tcPr>
            <w:tcW w:w="6040" w:type="dxa"/>
            <w:vAlign w:val="bottom"/>
          </w:tcPr>
          <w:p>
            <w:pPr>
              <w:spacing w:after="0"/>
              <w:rPr>
                <w:sz w:val="20"/>
                <w:szCs w:val="20"/>
                <w:color w:val="auto"/>
              </w:rPr>
            </w:pPr>
            <w:r>
              <w:rPr>
                <w:rFonts w:ascii="Arial" w:cs="Arial" w:eastAsia="Arial" w:hAnsi="Arial"/>
                <w:sz w:val="16"/>
                <w:szCs w:val="16"/>
                <w:color w:val="auto"/>
              </w:rPr>
              <w:t>NET SALES</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2,246,428</w:t>
            </w:r>
          </w:p>
        </w:tc>
        <w:tc>
          <w:tcPr>
            <w:tcW w:w="220" w:type="dxa"/>
            <w:vAlign w:val="bottom"/>
          </w:tcPr>
          <w:p>
            <w:pPr>
              <w:spacing w:after="0"/>
              <w:rPr>
                <w:sz w:val="24"/>
                <w:szCs w:val="24"/>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2,060,702</w:t>
            </w:r>
          </w:p>
        </w:tc>
        <w:tc>
          <w:tcPr>
            <w:tcW w:w="220" w:type="dxa"/>
            <w:vAlign w:val="bottom"/>
          </w:tcPr>
          <w:p>
            <w:pPr>
              <w:spacing w:after="0"/>
              <w:rPr>
                <w:sz w:val="24"/>
                <w:szCs w:val="24"/>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1,703,230</w:t>
            </w:r>
          </w:p>
        </w:tc>
        <w:tc>
          <w:tcPr>
            <w:tcW w:w="0" w:type="dxa"/>
            <w:vAlign w:val="bottom"/>
          </w:tcPr>
          <w:p>
            <w:pPr>
              <w:spacing w:after="0"/>
              <w:rPr>
                <w:sz w:val="1"/>
                <w:szCs w:val="1"/>
                <w:color w:val="auto"/>
              </w:rPr>
            </w:pPr>
          </w:p>
        </w:tc>
      </w:tr>
      <w:tr>
        <w:trPr>
          <w:trHeight w:val="408"/>
        </w:trPr>
        <w:tc>
          <w:tcPr>
            <w:tcW w:w="6040" w:type="dxa"/>
            <w:vAlign w:val="bottom"/>
          </w:tcPr>
          <w:p>
            <w:pPr>
              <w:spacing w:after="0"/>
              <w:rPr>
                <w:sz w:val="20"/>
                <w:szCs w:val="20"/>
                <w:color w:val="auto"/>
              </w:rPr>
            </w:pPr>
            <w:r>
              <w:rPr>
                <w:rFonts w:ascii="Arial" w:cs="Arial" w:eastAsia="Arial" w:hAnsi="Arial"/>
                <w:sz w:val="16"/>
                <w:szCs w:val="16"/>
                <w:color w:val="auto"/>
              </w:rPr>
              <w:t>COST OF SALES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1,073,497</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995,046</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808,921</w:t>
            </w:r>
          </w:p>
        </w:tc>
        <w:tc>
          <w:tcPr>
            <w:tcW w:w="0" w:type="dxa"/>
            <w:vAlign w:val="bottom"/>
          </w:tcPr>
          <w:p>
            <w:pPr>
              <w:spacing w:after="0"/>
              <w:rPr>
                <w:sz w:val="1"/>
                <w:szCs w:val="1"/>
                <w:color w:val="auto"/>
              </w:rPr>
            </w:pPr>
          </w:p>
        </w:tc>
      </w:tr>
      <w:tr>
        <w:trPr>
          <w:trHeight w:val="396"/>
        </w:trPr>
        <w:tc>
          <w:tcPr>
            <w:tcW w:w="6040" w:type="dxa"/>
            <w:vAlign w:val="bottom"/>
          </w:tcPr>
          <w:p>
            <w:pPr>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1,172,931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1,065,656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894,309</w:t>
            </w:r>
          </w:p>
        </w:tc>
        <w:tc>
          <w:tcPr>
            <w:tcW w:w="0" w:type="dxa"/>
            <w:vAlign w:val="bottom"/>
          </w:tcPr>
          <w:p>
            <w:pPr>
              <w:spacing w:after="0"/>
              <w:rPr>
                <w:sz w:val="1"/>
                <w:szCs w:val="1"/>
                <w:color w:val="auto"/>
              </w:rPr>
            </w:pPr>
          </w:p>
        </w:tc>
      </w:tr>
      <w:tr>
        <w:trPr>
          <w:trHeight w:val="408"/>
        </w:trPr>
        <w:tc>
          <w:tcPr>
            <w:tcW w:w="6040" w:type="dxa"/>
            <w:vAlign w:val="bottom"/>
          </w:tcPr>
          <w:p>
            <w:pPr>
              <w:spacing w:after="0"/>
              <w:rPr>
                <w:sz w:val="20"/>
                <w:szCs w:val="20"/>
                <w:color w:val="auto"/>
              </w:rPr>
            </w:pPr>
            <w:r>
              <w:rPr>
                <w:rFonts w:ascii="Arial" w:cs="Arial" w:eastAsia="Arial" w:hAnsi="Arial"/>
                <w:sz w:val="16"/>
                <w:szCs w:val="16"/>
                <w:color w:val="auto"/>
              </w:rPr>
              <w:t>OPERATING EXPENSES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600,015</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515,033</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437,886</w:t>
            </w:r>
          </w:p>
        </w:tc>
        <w:tc>
          <w:tcPr>
            <w:tcW w:w="0" w:type="dxa"/>
            <w:vAlign w:val="bottom"/>
          </w:tcPr>
          <w:p>
            <w:pPr>
              <w:spacing w:after="0"/>
              <w:rPr>
                <w:sz w:val="1"/>
                <w:szCs w:val="1"/>
                <w:color w:val="auto"/>
              </w:rPr>
            </w:pPr>
          </w:p>
        </w:tc>
      </w:tr>
      <w:tr>
        <w:trPr>
          <w:trHeight w:val="396"/>
        </w:trPr>
        <w:tc>
          <w:tcPr>
            <w:tcW w:w="6040" w:type="dxa"/>
            <w:vAlign w:val="bottom"/>
          </w:tcPr>
          <w:p>
            <w:pPr>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572,916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550,623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456,423</w:t>
            </w:r>
          </w:p>
        </w:tc>
        <w:tc>
          <w:tcPr>
            <w:tcW w:w="0" w:type="dxa"/>
            <w:vAlign w:val="bottom"/>
          </w:tcPr>
          <w:p>
            <w:pPr>
              <w:spacing w:after="0"/>
              <w:rPr>
                <w:sz w:val="1"/>
                <w:szCs w:val="1"/>
                <w:color w:val="auto"/>
              </w:rPr>
            </w:pPr>
          </w:p>
        </w:tc>
      </w:tr>
      <w:tr>
        <w:trPr>
          <w:trHeight w:val="405"/>
        </w:trPr>
        <w:tc>
          <w:tcPr>
            <w:tcW w:w="6040" w:type="dxa"/>
            <w:vAlign w:val="bottom"/>
          </w:tcPr>
          <w:p>
            <w:pPr>
              <w:spacing w:after="0"/>
              <w:rPr>
                <w:sz w:val="20"/>
                <w:szCs w:val="20"/>
                <w:color w:val="auto"/>
              </w:rPr>
            </w:pPr>
            <w:r>
              <w:rPr>
                <w:rFonts w:ascii="Arial" w:cs="Arial" w:eastAsia="Arial" w:hAnsi="Arial"/>
                <w:sz w:val="16"/>
                <w:szCs w:val="16"/>
                <w:color w:val="auto"/>
              </w:rPr>
              <w:t>OTHER (EXPENSE) INCOME: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40" w:type="dxa"/>
            <w:vAlign w:val="bottom"/>
          </w:tcPr>
          <w:p>
            <w:pPr>
              <w:spacing w:after="0"/>
              <w:rPr>
                <w:sz w:val="20"/>
                <w:szCs w:val="20"/>
                <w:color w:val="auto"/>
              </w:rPr>
            </w:pPr>
            <w:r>
              <w:rPr>
                <w:rFonts w:ascii="Arial" w:cs="Arial" w:eastAsia="Arial" w:hAnsi="Arial"/>
                <w:sz w:val="16"/>
                <w:szCs w:val="16"/>
                <w:color w:val="auto"/>
              </w:rPr>
              <w:t>Interest and other (expense) income, net</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(11,737)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(2,256)</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260"/>
        </w:trPr>
        <w:tc>
          <w:tcPr>
            <w:tcW w:w="6040" w:type="dxa"/>
            <w:vAlign w:val="bottom"/>
          </w:tcPr>
          <w:p>
            <w:pPr>
              <w:spacing w:after="0"/>
              <w:rPr>
                <w:sz w:val="20"/>
                <w:szCs w:val="20"/>
                <w:color w:val="auto"/>
              </w:rPr>
            </w:pPr>
            <w:r>
              <w:rPr>
                <w:rFonts w:ascii="Arial" w:cs="Arial" w:eastAsia="Arial" w:hAnsi="Arial"/>
                <w:sz w:val="16"/>
                <w:szCs w:val="16"/>
                <w:color w:val="auto"/>
              </w:rPr>
              <w:t>Gain (loss) on investments and put option, net (Note 2)</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2,715</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787</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37"/>
        </w:trPr>
        <w:tc>
          <w:tcPr>
            <w:tcW w:w="6040" w:type="dxa"/>
            <w:vAlign w:val="bottom"/>
          </w:tcPr>
          <w:p>
            <w:pPr>
              <w:ind w:left="420"/>
              <w:spacing w:after="0"/>
              <w:rPr>
                <w:sz w:val="20"/>
                <w:szCs w:val="20"/>
                <w:color w:val="auto"/>
              </w:rPr>
            </w:pPr>
            <w:r>
              <w:rPr>
                <w:rFonts w:ascii="Arial" w:cs="Arial" w:eastAsia="Arial" w:hAnsi="Arial"/>
                <w:sz w:val="16"/>
                <w:szCs w:val="16"/>
                <w:color w:val="auto"/>
              </w:rPr>
              <w:t>Total other (expense) income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(9,022)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396"/>
        </w:trPr>
        <w:tc>
          <w:tcPr>
            <w:tcW w:w="6040" w:type="dxa"/>
            <w:vAlign w:val="bottom"/>
          </w:tcPr>
          <w:p>
            <w:pPr>
              <w:spacing w:after="0"/>
              <w:rPr>
                <w:sz w:val="20"/>
                <w:szCs w:val="20"/>
                <w:color w:val="auto"/>
              </w:rPr>
            </w:pPr>
            <w:r>
              <w:rPr>
                <w:rFonts w:ascii="Arial" w:cs="Arial" w:eastAsia="Arial" w:hAnsi="Arial"/>
                <w:sz w:val="16"/>
                <w:szCs w:val="16"/>
                <w:color w:val="auto"/>
              </w:rPr>
              <w:t>INCOME BEFORE PROVISION FOR INCOME TAXES</w:t>
            </w:r>
          </w:p>
        </w:tc>
        <w:tc>
          <w:tcPr>
            <w:tcW w:w="34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563,894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549,154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457,270</w:t>
            </w:r>
          </w:p>
        </w:tc>
        <w:tc>
          <w:tcPr>
            <w:tcW w:w="0" w:type="dxa"/>
            <w:vAlign w:val="bottom"/>
          </w:tcPr>
          <w:p>
            <w:pPr>
              <w:spacing w:after="0"/>
              <w:rPr>
                <w:sz w:val="1"/>
                <w:szCs w:val="1"/>
                <w:color w:val="auto"/>
              </w:rPr>
            </w:pPr>
          </w:p>
        </w:tc>
      </w:tr>
      <w:tr>
        <w:trPr>
          <w:trHeight w:val="408"/>
        </w:trPr>
        <w:tc>
          <w:tcPr>
            <w:tcW w:w="60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225,233</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209,134</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171,051</w:t>
            </w:r>
          </w:p>
        </w:tc>
        <w:tc>
          <w:tcPr>
            <w:tcW w:w="0" w:type="dxa"/>
            <w:vAlign w:val="bottom"/>
          </w:tcPr>
          <w:p>
            <w:pPr>
              <w:spacing w:after="0"/>
              <w:rPr>
                <w:sz w:val="1"/>
                <w:szCs w:val="1"/>
                <w:color w:val="auto"/>
              </w:rPr>
            </w:pPr>
          </w:p>
        </w:tc>
      </w:tr>
      <w:tr>
        <w:trPr>
          <w:trHeight w:val="396"/>
        </w:trPr>
        <w:tc>
          <w:tcPr>
            <w:tcW w:w="6040" w:type="dxa"/>
            <w:vAlign w:val="bottom"/>
          </w:tcPr>
          <w:p>
            <w:pPr>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338,661</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340,020</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286,219</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6"/>
                <w:szCs w:val="16"/>
                <w:color w:val="auto"/>
              </w:rPr>
              <w:t>NET INCOME PER COMMON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40" w:type="dxa"/>
            <w:vAlign w:val="bottom"/>
          </w:tcPr>
          <w:p>
            <w:pPr>
              <w:ind w:left="1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2.03</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18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vMerge w:val="continue"/>
          </w:tcPr>
          <w:p>
            <w:pPr>
              <w:spacing w:after="0"/>
              <w:rPr>
                <w:sz w:val="20"/>
                <w:szCs w:val="20"/>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1.95</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6"/>
                <w:szCs w:val="16"/>
                <w:color w:val="auto"/>
              </w:rPr>
              <w:t>WEIGHTED AVERAGE NUMBER OF SHARES OF COMMON STOCK AND</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6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40" w:type="dxa"/>
            <w:vAlign w:val="bottom"/>
          </w:tcPr>
          <w:p>
            <w:pPr>
              <w:ind w:left="180"/>
              <w:spacing w:after="0"/>
              <w:rPr>
                <w:sz w:val="20"/>
                <w:szCs w:val="20"/>
                <w:color w:val="auto"/>
              </w:rPr>
            </w:pPr>
            <w:r>
              <w:rPr>
                <w:rFonts w:ascii="Arial" w:cs="Arial" w:eastAsia="Arial" w:hAnsi="Arial"/>
                <w:sz w:val="16"/>
                <w:szCs w:val="16"/>
                <w:color w:val="auto"/>
              </w:rPr>
              <w:t>COMMON STOCK EQUIVALENTS: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040" w:type="dxa"/>
            <w:vAlign w:val="bottom"/>
          </w:tcPr>
          <w:p>
            <w:pPr>
              <w:ind w:left="36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166,679</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173,712</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176,212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tcPr>
          <w:p>
            <w:pPr>
              <w:ind w:left="36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173,387</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183,083</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186,674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rPr>
          <w:sz w:val="20"/>
          <w:szCs w:val="20"/>
          <w:color w:val="auto"/>
        </w:rPr>
      </w:pPr>
      <w:r>
        <w:rPr>
          <w:rFonts w:ascii="Arial" w:cs="Arial" w:eastAsia="Arial" w:hAnsi="Arial"/>
          <w:sz w:val="20"/>
          <w:szCs w:val="20"/>
          <w:b w:val="1"/>
          <w:bCs w:val="1"/>
          <w:color w:val="auto"/>
        </w:rPr>
        <w:t>FOR THE YEARS ENDED DECEMBER 31, 2013, 2012 AND 2011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30" w:right="339" w:bottom="0" w:gutter="0" w:footer="0" w:header="0"/>
        </w:sectPr>
      </w:pPr>
    </w:p>
    <w:bookmarkStart w:id="46" w:name="page47"/>
    <w:bookmarkEnd w:id="46"/>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0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2013</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2011</w:t>
            </w:r>
          </w:p>
        </w:tc>
        <w:tc>
          <w:tcPr>
            <w:tcW w:w="0" w:type="dxa"/>
            <w:vAlign w:val="bottom"/>
          </w:tcPr>
          <w:p>
            <w:pPr>
              <w:spacing w:after="0"/>
              <w:rPr>
                <w:sz w:val="1"/>
                <w:szCs w:val="1"/>
                <w:color w:val="auto"/>
              </w:rPr>
            </w:pPr>
          </w:p>
        </w:tc>
      </w:tr>
      <w:tr>
        <w:trPr>
          <w:trHeight w:val="244"/>
        </w:trPr>
        <w:tc>
          <w:tcPr>
            <w:tcW w:w="51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338,661</w:t>
            </w:r>
          </w:p>
        </w:tc>
        <w:tc>
          <w:tcPr>
            <w:tcW w:w="24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340,020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286,219</w:t>
            </w:r>
          </w:p>
        </w:tc>
        <w:tc>
          <w:tcPr>
            <w:tcW w:w="0" w:type="dxa"/>
            <w:vAlign w:val="bottom"/>
          </w:tcPr>
          <w:p>
            <w:pPr>
              <w:spacing w:after="0"/>
              <w:rPr>
                <w:sz w:val="1"/>
                <w:szCs w:val="1"/>
                <w:color w:val="auto"/>
              </w:rPr>
            </w:pPr>
          </w:p>
        </w:tc>
      </w:tr>
      <w:tr>
        <w:trPr>
          <w:trHeight w:val="253"/>
        </w:trPr>
        <w:tc>
          <w:tcPr>
            <w:tcW w:w="5100" w:type="dxa"/>
            <w:vAlign w:val="bottom"/>
          </w:tcPr>
          <w:p>
            <w:pPr>
              <w:spacing w:after="0"/>
              <w:rPr>
                <w:sz w:val="20"/>
                <w:szCs w:val="20"/>
                <w:color w:val="auto"/>
              </w:rPr>
            </w:pPr>
            <w:r>
              <w:rPr>
                <w:rFonts w:ascii="Arial" w:cs="Arial" w:eastAsia="Arial" w:hAnsi="Arial"/>
                <w:sz w:val="20"/>
                <w:szCs w:val="20"/>
                <w:color w:val="auto"/>
              </w:rPr>
              <w:t>Other comprehensive (loss) income:</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00" w:type="dxa"/>
            <w:vAlign w:val="bottom"/>
          </w:tcPr>
          <w:p>
            <w:pPr>
              <w:ind w:left="200"/>
              <w:spacing w:after="0"/>
              <w:rPr>
                <w:sz w:val="20"/>
                <w:szCs w:val="20"/>
                <w:color w:val="auto"/>
              </w:rPr>
            </w:pPr>
            <w:r>
              <w:rPr>
                <w:rFonts w:ascii="Arial" w:cs="Arial" w:eastAsia="Arial" w:hAnsi="Arial"/>
                <w:sz w:val="20"/>
                <w:szCs w:val="20"/>
                <w:color w:val="auto"/>
              </w:rPr>
              <w:t>Change in foreign currency translation adjustment</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(1,782)</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2,096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(3,306)</w:t>
            </w:r>
          </w:p>
        </w:tc>
        <w:tc>
          <w:tcPr>
            <w:tcW w:w="0" w:type="dxa"/>
            <w:vAlign w:val="bottom"/>
          </w:tcPr>
          <w:p>
            <w:pPr>
              <w:spacing w:after="0"/>
              <w:rPr>
                <w:sz w:val="1"/>
                <w:szCs w:val="1"/>
                <w:color w:val="auto"/>
              </w:rPr>
            </w:pPr>
          </w:p>
        </w:tc>
      </w:tr>
      <w:tr>
        <w:trPr>
          <w:trHeight w:val="270"/>
        </w:trPr>
        <w:tc>
          <w:tcPr>
            <w:tcW w:w="5100" w:type="dxa"/>
            <w:vAlign w:val="bottom"/>
          </w:tcPr>
          <w:p>
            <w:pPr>
              <w:ind w:left="200"/>
              <w:spacing w:after="0"/>
              <w:rPr>
                <w:sz w:val="20"/>
                <w:szCs w:val="20"/>
                <w:color w:val="auto"/>
              </w:rPr>
            </w:pPr>
            <w:r>
              <w:rPr>
                <w:rFonts w:ascii="Arial" w:cs="Arial" w:eastAsia="Arial" w:hAnsi="Arial"/>
                <w:sz w:val="20"/>
                <w:szCs w:val="20"/>
                <w:color w:val="auto"/>
              </w:rPr>
              <w:t>Available-for-sale investments:</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00" w:type="dxa"/>
            <w:vAlign w:val="bottom"/>
          </w:tcPr>
          <w:p>
            <w:pPr>
              <w:ind w:left="360"/>
              <w:spacing w:after="0"/>
              <w:rPr>
                <w:sz w:val="20"/>
                <w:szCs w:val="20"/>
                <w:color w:val="auto"/>
              </w:rPr>
            </w:pPr>
            <w:r>
              <w:rPr>
                <w:rFonts w:ascii="Arial" w:cs="Arial" w:eastAsia="Arial" w:hAnsi="Arial"/>
                <w:sz w:val="20"/>
                <w:szCs w:val="20"/>
                <w:color w:val="auto"/>
              </w:rPr>
              <w:t>Change in net unrealized gains</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1,525</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1,478</w:t>
            </w:r>
          </w:p>
        </w:tc>
        <w:tc>
          <w:tcPr>
            <w:tcW w:w="0" w:type="dxa"/>
            <w:vAlign w:val="bottom"/>
          </w:tcPr>
          <w:p>
            <w:pPr>
              <w:spacing w:after="0"/>
              <w:rPr>
                <w:sz w:val="1"/>
                <w:szCs w:val="1"/>
                <w:color w:val="auto"/>
              </w:rPr>
            </w:pPr>
          </w:p>
        </w:tc>
      </w:tr>
      <w:tr>
        <w:trPr>
          <w:trHeight w:val="249"/>
        </w:trPr>
        <w:tc>
          <w:tcPr>
            <w:tcW w:w="5100" w:type="dxa"/>
            <w:vAlign w:val="bottom"/>
          </w:tcPr>
          <w:p>
            <w:pPr>
              <w:ind w:left="380"/>
              <w:spacing w:after="0"/>
              <w:rPr>
                <w:sz w:val="20"/>
                <w:szCs w:val="20"/>
                <w:color w:val="auto"/>
              </w:rPr>
            </w:pPr>
            <w:r>
              <w:rPr>
                <w:rFonts w:ascii="Arial" w:cs="Arial" w:eastAsia="Arial" w:hAnsi="Arial"/>
                <w:sz w:val="20"/>
                <w:szCs w:val="20"/>
                <w:color w:val="auto"/>
                <w:w w:val="95"/>
              </w:rPr>
              <w:t>Reclassification adjustment for net gains included in net</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100" w:type="dxa"/>
            <w:vAlign w:val="bottom"/>
          </w:tcPr>
          <w:p>
            <w:pPr>
              <w:ind w:left="560"/>
              <w:spacing w:after="0"/>
              <w:rPr>
                <w:sz w:val="20"/>
                <w:szCs w:val="20"/>
                <w:color w:val="auto"/>
              </w:rPr>
            </w:pPr>
            <w:r>
              <w:rPr>
                <w:rFonts w:ascii="Arial" w:cs="Arial" w:eastAsia="Arial" w:hAnsi="Arial"/>
                <w:sz w:val="20"/>
                <w:szCs w:val="20"/>
                <w:color w:val="auto"/>
              </w:rPr>
              <w:t>income</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(1,525)</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4"/>
        </w:trPr>
        <w:tc>
          <w:tcPr>
            <w:tcW w:w="5100" w:type="dxa"/>
            <w:vAlign w:val="bottom"/>
          </w:tcPr>
          <w:p>
            <w:pPr>
              <w:ind w:left="380"/>
              <w:spacing w:after="0"/>
              <w:rPr>
                <w:sz w:val="20"/>
                <w:szCs w:val="20"/>
                <w:color w:val="auto"/>
              </w:rPr>
            </w:pPr>
            <w:r>
              <w:rPr>
                <w:rFonts w:ascii="Arial" w:cs="Arial" w:eastAsia="Arial" w:hAnsi="Arial"/>
                <w:sz w:val="20"/>
                <w:szCs w:val="20"/>
                <w:color w:val="auto"/>
              </w:rPr>
              <w:t>Net change in available-for-sale investments</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(1,525)</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1,525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1,478</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Arial" w:cs="Arial" w:eastAsia="Arial" w:hAnsi="Arial"/>
                <w:sz w:val="20"/>
                <w:szCs w:val="20"/>
                <w:color w:val="auto"/>
              </w:rPr>
              <w:t>Other comprehensive (loss) income</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(3,307)</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3,621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(1,828)</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Arial" w:cs="Arial" w:eastAsia="Arial" w:hAnsi="Arial"/>
                <w:sz w:val="20"/>
                <w:szCs w:val="20"/>
                <w:color w:val="auto"/>
              </w:rPr>
              <w:t>Comprehensive income</w:t>
            </w:r>
          </w:p>
        </w:tc>
        <w:tc>
          <w:tcPr>
            <w:tcW w:w="580" w:type="dxa"/>
            <w:vAlign w:val="bottom"/>
            <w:gridSpan w:val="2"/>
          </w:tcPr>
          <w:p>
            <w:pPr>
              <w:jc w:val="right"/>
              <w:ind w:right="12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335,354</w:t>
            </w:r>
          </w:p>
        </w:tc>
        <w:tc>
          <w:tcPr>
            <w:tcW w:w="560" w:type="dxa"/>
            <w:vAlign w:val="bottom"/>
            <w:gridSpan w:val="2"/>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343,641</w:t>
            </w:r>
          </w:p>
        </w:tc>
        <w:tc>
          <w:tcPr>
            <w:tcW w:w="220" w:type="dxa"/>
            <w:vAlign w:val="bottom"/>
          </w:tcPr>
          <w:p>
            <w:pPr>
              <w:spacing w:after="0"/>
              <w:rPr>
                <w:sz w:val="22"/>
                <w:szCs w:val="22"/>
                <w:color w:val="auto"/>
              </w:rPr>
            </w:pPr>
          </w:p>
        </w:tc>
        <w:tc>
          <w:tcPr>
            <w:tcW w:w="320" w:type="dxa"/>
            <w:vAlign w:val="bottom"/>
            <w:gridSpan w:val="2"/>
          </w:tcPr>
          <w:p>
            <w:pPr>
              <w:jc w:val="right"/>
              <w:ind w:right="143"/>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284,391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rPr>
          <w:sz w:val="20"/>
          <w:szCs w:val="20"/>
          <w:color w:val="auto"/>
        </w:rPr>
      </w:pPr>
      <w:r>
        <w:rPr>
          <w:rFonts w:ascii="Arial" w:cs="Arial" w:eastAsia="Arial" w:hAnsi="Arial"/>
          <w:sz w:val="20"/>
          <w:szCs w:val="20"/>
          <w:b w:val="1"/>
          <w:bCs w:val="1"/>
          <w:color w:val="auto"/>
        </w:rPr>
        <w:t>FOR THE YEARS ENDED DECEMBER 31, 2013, 2012 AND 2011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6122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Additional</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Other</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171"/>
        </w:trPr>
        <w:tc>
          <w:tcPr>
            <w:tcW w:w="2620" w:type="dxa"/>
            <w:vAlign w:val="bottom"/>
          </w:tcPr>
          <w:p>
            <w:pPr>
              <w:spacing w:after="0"/>
              <w:rPr>
                <w:sz w:val="14"/>
                <w:szCs w:val="14"/>
                <w:color w:val="auto"/>
              </w:rPr>
            </w:pPr>
          </w:p>
        </w:tc>
        <w:tc>
          <w:tcPr>
            <w:tcW w:w="210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Comprehensive</w:t>
            </w:r>
          </w:p>
        </w:tc>
        <w:tc>
          <w:tcPr>
            <w:tcW w:w="2040" w:type="dxa"/>
            <w:vAlign w:val="bottom"/>
            <w:gridSpan w:val="4"/>
          </w:tcPr>
          <w:p>
            <w:pPr>
              <w:ind w:left="460"/>
              <w:spacing w:after="0"/>
              <w:rPr>
                <w:sz w:val="20"/>
                <w:szCs w:val="20"/>
                <w:color w:val="auto"/>
              </w:rPr>
            </w:pPr>
            <w:r>
              <w:rPr>
                <w:rFonts w:ascii="Arial" w:cs="Arial" w:eastAsia="Arial" w:hAnsi="Arial"/>
                <w:sz w:val="14"/>
                <w:szCs w:val="14"/>
                <w:b w:val="1"/>
                <w:bCs w:val="1"/>
                <w:color w:val="auto"/>
              </w:rPr>
              <w:t>Treasury stock</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620" w:type="dxa"/>
            <w:vAlign w:val="bottom"/>
          </w:tcPr>
          <w:p>
            <w:pPr>
              <w:spacing w:after="0"/>
              <w:rPr>
                <w:sz w:val="13"/>
                <w:szCs w:val="13"/>
                <w:color w:val="auto"/>
              </w:rPr>
            </w:pPr>
          </w:p>
        </w:tc>
        <w:tc>
          <w:tcPr>
            <w:tcW w:w="104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3"/>
                <w:szCs w:val="13"/>
                <w:color w:val="auto"/>
              </w:rPr>
            </w:pPr>
          </w:p>
        </w:tc>
        <w:tc>
          <w:tcPr>
            <w:tcW w:w="106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Captial</w:t>
            </w:r>
          </w:p>
        </w:tc>
        <w:tc>
          <w:tcPr>
            <w:tcW w:w="116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3"/>
                <w:szCs w:val="13"/>
                <w:color w:val="auto"/>
              </w:rPr>
            </w:pPr>
          </w:p>
        </w:tc>
        <w:tc>
          <w:tcPr>
            <w:tcW w:w="12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Income (Loss)</w:t>
            </w:r>
          </w:p>
        </w:tc>
        <w:tc>
          <w:tcPr>
            <w:tcW w:w="102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92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Equity</w:t>
            </w:r>
          </w:p>
        </w:tc>
      </w:tr>
      <w:tr>
        <w:trPr>
          <w:trHeight w:val="306"/>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January 1, 2011</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197,462</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4"/>
                <w:szCs w:val="24"/>
                <w:color w:val="auto"/>
              </w:rPr>
            </w:pP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$ 186,546</w:t>
            </w:r>
          </w:p>
        </w:tc>
        <w:tc>
          <w:tcPr>
            <w:tcW w:w="120" w:type="dxa"/>
            <w:vAlign w:val="bottom"/>
          </w:tcPr>
          <w:p>
            <w:pPr>
              <w:spacing w:after="0"/>
              <w:rPr>
                <w:sz w:val="24"/>
                <w:szCs w:val="24"/>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  882,425</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(19,502)</w:t>
            </w:r>
          </w:p>
        </w:tc>
        <w:tc>
          <w:tcPr>
            <w:tcW w:w="10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(241,842)</w:t>
            </w: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828,398</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18,619</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18,619</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20,312</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20,318</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Issuance of restricted stock</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63"/>
        </w:trPr>
        <w:tc>
          <w:tcPr>
            <w:tcW w:w="2620" w:type="dxa"/>
            <w:vAlign w:val="bottom"/>
          </w:tcPr>
          <w:p>
            <w:pPr>
              <w:spacing w:after="0"/>
              <w:rPr>
                <w:sz w:val="20"/>
                <w:szCs w:val="20"/>
                <w:color w:val="auto"/>
              </w:rPr>
            </w:pPr>
            <w:r>
              <w:rPr>
                <w:rFonts w:ascii="Arial" w:cs="Arial" w:eastAsia="Arial" w:hAnsi="Arial"/>
                <w:sz w:val="14"/>
                <w:szCs w:val="14"/>
                <w:color w:val="auto"/>
              </w:rPr>
              <w:t>Excess tax benefits from share based</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82"/>
        </w:trPr>
        <w:tc>
          <w:tcPr>
            <w:tcW w:w="2620" w:type="dxa"/>
            <w:vAlign w:val="bottom"/>
          </w:tcPr>
          <w:p>
            <w:pPr>
              <w:ind w:left="140"/>
              <w:spacing w:after="0"/>
              <w:rPr>
                <w:sz w:val="20"/>
                <w:szCs w:val="20"/>
                <w:color w:val="auto"/>
              </w:rPr>
            </w:pPr>
            <w:r>
              <w:rPr>
                <w:rFonts w:ascii="Arial" w:cs="Arial" w:eastAsia="Arial" w:hAnsi="Arial"/>
                <w:sz w:val="14"/>
                <w:szCs w:val="14"/>
                <w:color w:val="auto"/>
              </w:rPr>
              <w:t>payment arrangements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3,824</w:t>
            </w:r>
          </w:p>
        </w:tc>
        <w:tc>
          <w:tcPr>
            <w:tcW w:w="1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3,824</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(4,950)</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(176,392)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(176,392)</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(3,306)</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(3,306)</w:t>
            </w:r>
          </w:p>
        </w:tc>
      </w:tr>
      <w:tr>
        <w:trPr>
          <w:trHeight w:val="263"/>
        </w:trPr>
        <w:tc>
          <w:tcPr>
            <w:tcW w:w="2620" w:type="dxa"/>
            <w:vAlign w:val="bottom"/>
          </w:tcPr>
          <w:p>
            <w:pPr>
              <w:spacing w:after="0"/>
              <w:rPr>
                <w:sz w:val="20"/>
                <w:szCs w:val="20"/>
                <w:color w:val="auto"/>
              </w:rPr>
            </w:pPr>
            <w:r>
              <w:rPr>
                <w:rFonts w:ascii="Arial" w:cs="Arial" w:eastAsia="Arial" w:hAnsi="Arial"/>
                <w:sz w:val="14"/>
                <w:szCs w:val="14"/>
                <w:color w:val="auto"/>
              </w:rPr>
              <w:t>Change in unrealized gain on available-</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for-sale securities, net of tax</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1,478</w:t>
            </w:r>
          </w:p>
        </w:tc>
      </w:tr>
      <w:tr>
        <w:trPr>
          <w:trHeight w:val="282"/>
        </w:trPr>
        <w:tc>
          <w:tcPr>
            <w:tcW w:w="2620" w:type="dxa"/>
            <w:vAlign w:val="bottom"/>
          </w:tcPr>
          <w:p>
            <w:pPr>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286,219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286,219</w:t>
            </w:r>
          </w:p>
        </w:tc>
      </w:tr>
      <w:tr>
        <w:trPr>
          <w:trHeight w:val="238"/>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December 31, 2011</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198,729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994</w:t>
            </w:r>
          </w:p>
        </w:tc>
        <w:tc>
          <w:tcPr>
            <w:tcW w:w="120" w:type="dxa"/>
            <w:vAlign w:val="bottom"/>
          </w:tcPr>
          <w:p>
            <w:pPr>
              <w:spacing w:after="0"/>
              <w:rPr>
                <w:sz w:val="20"/>
                <w:szCs w:val="20"/>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229,301</w:t>
            </w:r>
          </w:p>
        </w:tc>
        <w:tc>
          <w:tcPr>
            <w:tcW w:w="120" w:type="dxa"/>
            <w:vAlign w:val="bottom"/>
          </w:tcPr>
          <w:p>
            <w:pPr>
              <w:spacing w:after="0"/>
              <w:rPr>
                <w:sz w:val="20"/>
                <w:szCs w:val="20"/>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1,168,644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(24,452)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(418,234)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979,158</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28,007</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28,007</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5,030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10,989</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11,014</w:t>
            </w:r>
          </w:p>
        </w:tc>
      </w:tr>
      <w:tr>
        <w:trPr>
          <w:trHeight w:val="263"/>
        </w:trPr>
        <w:tc>
          <w:tcPr>
            <w:tcW w:w="2620" w:type="dxa"/>
            <w:vAlign w:val="bottom"/>
          </w:tcPr>
          <w:p>
            <w:pPr>
              <w:spacing w:after="0"/>
              <w:rPr>
                <w:sz w:val="20"/>
                <w:szCs w:val="20"/>
                <w:color w:val="auto"/>
              </w:rPr>
            </w:pPr>
            <w:r>
              <w:rPr>
                <w:rFonts w:ascii="Arial" w:cs="Arial" w:eastAsia="Arial" w:hAnsi="Arial"/>
                <w:sz w:val="14"/>
                <w:szCs w:val="14"/>
                <w:color w:val="auto"/>
              </w:rPr>
              <w:t>Excess tax benefits from share based</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82"/>
        </w:trPr>
        <w:tc>
          <w:tcPr>
            <w:tcW w:w="2620" w:type="dxa"/>
            <w:vAlign w:val="bottom"/>
          </w:tcPr>
          <w:p>
            <w:pPr>
              <w:ind w:left="140"/>
              <w:spacing w:after="0"/>
              <w:rPr>
                <w:sz w:val="20"/>
                <w:szCs w:val="20"/>
                <w:color w:val="auto"/>
              </w:rPr>
            </w:pPr>
            <w:r>
              <w:rPr>
                <w:rFonts w:ascii="Arial" w:cs="Arial" w:eastAsia="Arial" w:hAnsi="Arial"/>
                <w:sz w:val="14"/>
                <w:szCs w:val="14"/>
                <w:color w:val="auto"/>
              </w:rPr>
              <w:t>payment arrangements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19,656</w:t>
            </w:r>
          </w:p>
        </w:tc>
        <w:tc>
          <w:tcPr>
            <w:tcW w:w="1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19,656</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(13,531)</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(737,079)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(737,079)</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2,096</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2,096</w:t>
            </w:r>
          </w:p>
        </w:tc>
      </w:tr>
      <w:tr>
        <w:trPr>
          <w:trHeight w:val="263"/>
        </w:trPr>
        <w:tc>
          <w:tcPr>
            <w:tcW w:w="2620" w:type="dxa"/>
            <w:vAlign w:val="bottom"/>
          </w:tcPr>
          <w:p>
            <w:pPr>
              <w:spacing w:after="0"/>
              <w:rPr>
                <w:sz w:val="20"/>
                <w:szCs w:val="20"/>
                <w:color w:val="auto"/>
              </w:rPr>
            </w:pPr>
            <w:r>
              <w:rPr>
                <w:rFonts w:ascii="Arial" w:cs="Arial" w:eastAsia="Arial" w:hAnsi="Arial"/>
                <w:sz w:val="14"/>
                <w:szCs w:val="14"/>
                <w:color w:val="auto"/>
              </w:rPr>
              <w:t>Change in unrealized gain on available-</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for-sale securities, net of tax</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1,525</w:t>
            </w:r>
          </w:p>
        </w:tc>
      </w:tr>
      <w:tr>
        <w:trPr>
          <w:trHeight w:val="282"/>
        </w:trPr>
        <w:tc>
          <w:tcPr>
            <w:tcW w:w="2620" w:type="dxa"/>
            <w:vAlign w:val="bottom"/>
          </w:tcPr>
          <w:p>
            <w:pPr>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340,020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340,020</w:t>
            </w:r>
          </w:p>
        </w:tc>
      </w:tr>
      <w:tr>
        <w:trPr>
          <w:trHeight w:val="238"/>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December 31, 2012</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203,759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20"/>
                <w:szCs w:val="20"/>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287,953</w:t>
            </w:r>
          </w:p>
        </w:tc>
        <w:tc>
          <w:tcPr>
            <w:tcW w:w="120" w:type="dxa"/>
            <w:vAlign w:val="bottom"/>
          </w:tcPr>
          <w:p>
            <w:pPr>
              <w:spacing w:after="0"/>
              <w:rPr>
                <w:sz w:val="20"/>
                <w:szCs w:val="20"/>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1,508,664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2,074</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(37,983)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(1,155,313)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644,397</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28,528</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28,528</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2,255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21,240</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21,251</w:t>
            </w:r>
          </w:p>
        </w:tc>
      </w:tr>
      <w:tr>
        <w:trPr>
          <w:trHeight w:val="263"/>
        </w:trPr>
        <w:tc>
          <w:tcPr>
            <w:tcW w:w="2620" w:type="dxa"/>
            <w:vAlign w:val="bottom"/>
          </w:tcPr>
          <w:p>
            <w:pPr>
              <w:spacing w:after="0"/>
              <w:rPr>
                <w:sz w:val="20"/>
                <w:szCs w:val="20"/>
                <w:color w:val="auto"/>
              </w:rPr>
            </w:pPr>
            <w:r>
              <w:rPr>
                <w:rFonts w:ascii="Arial" w:cs="Arial" w:eastAsia="Arial" w:hAnsi="Arial"/>
                <w:sz w:val="14"/>
                <w:szCs w:val="14"/>
                <w:color w:val="auto"/>
              </w:rPr>
              <w:t>Excess tax benefits from share based</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82"/>
        </w:trPr>
        <w:tc>
          <w:tcPr>
            <w:tcW w:w="2620" w:type="dxa"/>
            <w:vAlign w:val="bottom"/>
          </w:tcPr>
          <w:p>
            <w:pPr>
              <w:ind w:left="140"/>
              <w:spacing w:after="0"/>
              <w:rPr>
                <w:sz w:val="20"/>
                <w:szCs w:val="20"/>
                <w:color w:val="auto"/>
              </w:rPr>
            </w:pPr>
            <w:r>
              <w:rPr>
                <w:rFonts w:ascii="Arial" w:cs="Arial" w:eastAsia="Arial" w:hAnsi="Arial"/>
                <w:sz w:val="14"/>
                <w:szCs w:val="14"/>
                <w:color w:val="auto"/>
              </w:rPr>
              <w:t>payment arrangements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30,348</w:t>
            </w:r>
          </w:p>
        </w:tc>
        <w:tc>
          <w:tcPr>
            <w:tcW w:w="1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30,348</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(1,209)</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(67,599)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(67,599)</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(1,782)</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(1,782)</w:t>
            </w:r>
          </w:p>
        </w:tc>
      </w:tr>
      <w:tr>
        <w:trPr>
          <w:trHeight w:val="263"/>
        </w:trPr>
        <w:tc>
          <w:tcPr>
            <w:tcW w:w="2620" w:type="dxa"/>
            <w:vAlign w:val="bottom"/>
          </w:tcPr>
          <w:p>
            <w:pPr>
              <w:spacing w:after="0"/>
              <w:rPr>
                <w:sz w:val="20"/>
                <w:szCs w:val="20"/>
                <w:color w:val="auto"/>
              </w:rPr>
            </w:pPr>
            <w:r>
              <w:rPr>
                <w:rFonts w:ascii="Arial" w:cs="Arial" w:eastAsia="Arial" w:hAnsi="Arial"/>
                <w:sz w:val="14"/>
                <w:szCs w:val="14"/>
                <w:color w:val="auto"/>
              </w:rPr>
              <w:t>Reclassification adjustment for net gains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82"/>
        </w:trPr>
        <w:tc>
          <w:tcPr>
            <w:tcW w:w="2620" w:type="dxa"/>
            <w:vAlign w:val="bottom"/>
          </w:tcPr>
          <w:p>
            <w:pPr>
              <w:ind w:left="140"/>
              <w:spacing w:after="0"/>
              <w:rPr>
                <w:sz w:val="20"/>
                <w:szCs w:val="20"/>
                <w:color w:val="auto"/>
              </w:rPr>
            </w:pPr>
            <w:r>
              <w:rPr>
                <w:rFonts w:ascii="Arial" w:cs="Arial" w:eastAsia="Arial" w:hAnsi="Arial"/>
                <w:sz w:val="14"/>
                <w:szCs w:val="14"/>
                <w:color w:val="auto"/>
              </w:rPr>
              <w:t>included in net income</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(1,525)</w:t>
            </w:r>
          </w:p>
        </w:tc>
      </w:tr>
      <w:tr>
        <w:trPr>
          <w:trHeight w:val="282"/>
        </w:trPr>
        <w:tc>
          <w:tcPr>
            <w:tcW w:w="2620" w:type="dxa"/>
            <w:vAlign w:val="bottom"/>
          </w:tcPr>
          <w:p>
            <w:pPr>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338,661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338,661</w:t>
            </w:r>
          </w:p>
        </w:tc>
      </w:tr>
      <w:tr>
        <w:trPr>
          <w:trHeight w:val="223"/>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December 31, 2013</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206,014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1,030</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$ 368,069</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$ 1,847,325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(1,233)</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(39,192)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(1,222,912)</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992,279</w:t>
            </w:r>
          </w:p>
        </w:tc>
      </w:tr>
      <w:tr>
        <w:trPr>
          <w:trHeight w:val="20"/>
        </w:trPr>
        <w:tc>
          <w:tcPr>
            <w:tcW w:w="2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ectPr>
          <w:pgSz w:w="11900" w:h="16840" w:orient="portrait"/>
          <w:cols w:equalWidth="0" w:num="1">
            <w:col w:w="11420"/>
          </w:cols>
          <w:pgMar w:left="240" w:top="379" w:right="239" w:bottom="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CASH FLOWS</w:t>
      </w:r>
    </w:p>
    <w:p>
      <w:pPr>
        <w:spacing w:after="0"/>
        <w:rPr>
          <w:sz w:val="20"/>
          <w:szCs w:val="20"/>
          <w:color w:val="auto"/>
        </w:rPr>
      </w:pPr>
      <w:r>
        <w:rPr>
          <w:rFonts w:ascii="Arial" w:cs="Arial" w:eastAsia="Arial" w:hAnsi="Arial"/>
          <w:sz w:val="20"/>
          <w:szCs w:val="20"/>
          <w:b w:val="1"/>
          <w:bCs w:val="1"/>
          <w:color w:val="auto"/>
        </w:rPr>
        <w:t>FOR THE YEARS ENDED DECEMBER 31, 2013, 2012 AND 2011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176"/>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338,661</w:t>
            </w:r>
          </w:p>
        </w:tc>
        <w:tc>
          <w:tcPr>
            <w:tcW w:w="280" w:type="dxa"/>
            <w:vAlign w:val="bottom"/>
          </w:tcPr>
          <w:p>
            <w:pPr>
              <w:spacing w:after="0"/>
              <w:rPr>
                <w:sz w:val="17"/>
                <w:szCs w:val="17"/>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340,020</w:t>
            </w:r>
          </w:p>
        </w:tc>
        <w:tc>
          <w:tcPr>
            <w:tcW w:w="280" w:type="dxa"/>
            <w:vAlign w:val="bottom"/>
          </w:tcPr>
          <w:p>
            <w:pPr>
              <w:spacing w:after="0"/>
              <w:rPr>
                <w:sz w:val="17"/>
                <w:szCs w:val="17"/>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286,219</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rPr>
                <w:sz w:val="20"/>
                <w:szCs w:val="20"/>
                <w:color w:val="auto"/>
              </w:rPr>
            </w:pPr>
            <w:r>
              <w:rPr>
                <w:rFonts w:ascii="Arial" w:cs="Arial" w:eastAsia="Arial" w:hAnsi="Arial"/>
                <w:sz w:val="16"/>
                <w:szCs w:val="16"/>
                <w:color w:val="auto"/>
              </w:rPr>
              <w:t>Amortization of trademark</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22,713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20,513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17,032</w:t>
            </w: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rPr>
                <w:sz w:val="20"/>
                <w:szCs w:val="20"/>
                <w:color w:val="auto"/>
              </w:rPr>
            </w:pPr>
            <w:r>
              <w:rPr>
                <w:rFonts w:ascii="Arial" w:cs="Arial" w:eastAsia="Arial" w:hAnsi="Arial"/>
                <w:sz w:val="16"/>
                <w:szCs w:val="16"/>
                <w:color w:val="auto"/>
              </w:rPr>
              <w:t>Loss (gain) on disposal of property and equipment</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506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28,764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28,413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19,424</w:t>
            </w: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rPr>
                <w:sz w:val="20"/>
                <w:szCs w:val="20"/>
                <w:color w:val="auto"/>
              </w:rPr>
            </w:pPr>
            <w:r>
              <w:rPr>
                <w:rFonts w:ascii="Arial" w:cs="Arial" w:eastAsia="Arial" w:hAnsi="Arial"/>
                <w:sz w:val="16"/>
                <w:szCs w:val="16"/>
                <w:color w:val="auto"/>
              </w:rPr>
              <w:t>Loss on put option</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838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1,111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rPr>
                <w:sz w:val="20"/>
                <w:szCs w:val="20"/>
                <w:color w:val="auto"/>
              </w:rPr>
            </w:pPr>
            <w:r>
              <w:rPr>
                <w:rFonts w:ascii="Arial" w:cs="Arial" w:eastAsia="Arial" w:hAnsi="Arial"/>
                <w:sz w:val="16"/>
                <w:szCs w:val="16"/>
                <w:color w:val="auto"/>
              </w:rPr>
              <w:t>(Gain) loss on investments, net</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(3,553)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(1,897)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(7,074)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rPr>
                <w:sz w:val="20"/>
                <w:szCs w:val="20"/>
                <w:color w:val="auto"/>
              </w:rPr>
            </w:pPr>
            <w:r>
              <w:rPr>
                <w:rFonts w:ascii="Arial" w:cs="Arial" w:eastAsia="Arial" w:hAnsi="Arial"/>
                <w:sz w:val="16"/>
                <w:szCs w:val="16"/>
                <w:color w:val="auto"/>
              </w:rPr>
              <w:t>Tax benefit from exercise of stock options</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(30,348)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(19,656)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125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rPr>
                <w:sz w:val="20"/>
                <w:szCs w:val="20"/>
                <w:color w:val="auto"/>
              </w:rPr>
            </w:pPr>
            <w:r>
              <w:rPr>
                <w:rFonts w:ascii="Arial" w:cs="Arial" w:eastAsia="Arial" w:hAnsi="Arial"/>
                <w:sz w:val="16"/>
                <w:szCs w:val="16"/>
                <w:color w:val="auto"/>
              </w:rPr>
              <w:t>Effect on cash of changes in operating assets and liabilities: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54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(43,026)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(17,772)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(56,752)</w:t>
            </w:r>
          </w:p>
        </w:tc>
        <w:tc>
          <w:tcPr>
            <w:tcW w:w="0" w:type="dxa"/>
            <w:vAlign w:val="bottom"/>
          </w:tcPr>
          <w:p>
            <w:pPr>
              <w:spacing w:after="0"/>
              <w:rPr>
                <w:sz w:val="1"/>
                <w:szCs w:val="1"/>
                <w:color w:val="auto"/>
              </w:rPr>
            </w:pPr>
          </w:p>
        </w:tc>
      </w:tr>
      <w:tr>
        <w:trPr>
          <w:trHeight w:val="203"/>
        </w:trPr>
        <w:tc>
          <w:tcPr>
            <w:tcW w:w="6740" w:type="dxa"/>
            <w:vAlign w:val="bottom"/>
          </w:tcPr>
          <w:p>
            <w:pPr>
              <w:ind w:left="540"/>
              <w:spacing w:after="0"/>
              <w:rPr>
                <w:sz w:val="20"/>
                <w:szCs w:val="20"/>
                <w:color w:val="auto"/>
              </w:rPr>
            </w:pPr>
            <w:r>
              <w:rPr>
                <w:rFonts w:ascii="Arial" w:cs="Arial" w:eastAsia="Arial" w:hAnsi="Arial"/>
                <w:sz w:val="16"/>
                <w:szCs w:val="16"/>
                <w:color w:val="auto"/>
              </w:rPr>
              <w:t>Distributor receivables</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(7,382)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03"/>
        </w:trPr>
        <w:tc>
          <w:tcPr>
            <w:tcW w:w="6740" w:type="dxa"/>
            <w:vAlign w:val="bottom"/>
          </w:tcPr>
          <w:p>
            <w:pPr>
              <w:ind w:left="54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(21,552)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(47,568)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(4,465)</w:t>
            </w:r>
          </w:p>
        </w:tc>
        <w:tc>
          <w:tcPr>
            <w:tcW w:w="0" w:type="dxa"/>
            <w:vAlign w:val="bottom"/>
          </w:tcPr>
          <w:p>
            <w:pPr>
              <w:spacing w:after="0"/>
              <w:rPr>
                <w:sz w:val="1"/>
                <w:szCs w:val="1"/>
                <w:color w:val="auto"/>
              </w:rPr>
            </w:pPr>
          </w:p>
        </w:tc>
      </w:tr>
      <w:tr>
        <w:trPr>
          <w:trHeight w:val="203"/>
        </w:trPr>
        <w:tc>
          <w:tcPr>
            <w:tcW w:w="6740" w:type="dxa"/>
            <w:vAlign w:val="bottom"/>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(4,501)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(4,523)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(6,209)</w:t>
            </w:r>
          </w:p>
        </w:tc>
        <w:tc>
          <w:tcPr>
            <w:tcW w:w="0" w:type="dxa"/>
            <w:vAlign w:val="bottom"/>
          </w:tcPr>
          <w:p>
            <w:pPr>
              <w:spacing w:after="0"/>
              <w:rPr>
                <w:sz w:val="1"/>
                <w:szCs w:val="1"/>
                <w:color w:val="auto"/>
              </w:rPr>
            </w:pPr>
          </w:p>
        </w:tc>
      </w:tr>
      <w:tr>
        <w:trPr>
          <w:trHeight w:val="203"/>
        </w:trPr>
        <w:tc>
          <w:tcPr>
            <w:tcW w:w="6740" w:type="dxa"/>
            <w:vAlign w:val="bottom"/>
          </w:tcPr>
          <w:p>
            <w:pPr>
              <w:ind w:left="540"/>
              <w:spacing w:after="0"/>
              <w:rPr>
                <w:sz w:val="20"/>
                <w:szCs w:val="20"/>
                <w:color w:val="auto"/>
              </w:rPr>
            </w:pPr>
            <w:r>
              <w:rPr>
                <w:rFonts w:ascii="Arial" w:cs="Arial" w:eastAsia="Arial" w:hAnsi="Arial"/>
                <w:sz w:val="16"/>
                <w:szCs w:val="16"/>
                <w:color w:val="auto"/>
              </w:rPr>
              <w:t>Prepaid income taxes</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24,008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(33,210)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9,470</w:t>
            </w:r>
          </w:p>
        </w:tc>
        <w:tc>
          <w:tcPr>
            <w:tcW w:w="0" w:type="dxa"/>
            <w:vAlign w:val="bottom"/>
          </w:tcPr>
          <w:p>
            <w:pPr>
              <w:spacing w:after="0"/>
              <w:rPr>
                <w:sz w:val="1"/>
                <w:szCs w:val="1"/>
                <w:color w:val="auto"/>
              </w:rPr>
            </w:pPr>
          </w:p>
        </w:tc>
      </w:tr>
      <w:tr>
        <w:trPr>
          <w:trHeight w:val="203"/>
        </w:trPr>
        <w:tc>
          <w:tcPr>
            <w:tcW w:w="6740" w:type="dxa"/>
            <w:vAlign w:val="bottom"/>
          </w:tcPr>
          <w:p>
            <w:pPr>
              <w:ind w:left="54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(8,204)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3,659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26,250</w:t>
            </w:r>
          </w:p>
        </w:tc>
        <w:tc>
          <w:tcPr>
            <w:tcW w:w="0" w:type="dxa"/>
            <w:vAlign w:val="bottom"/>
          </w:tcPr>
          <w:p>
            <w:pPr>
              <w:spacing w:after="0"/>
              <w:rPr>
                <w:sz w:val="1"/>
                <w:szCs w:val="1"/>
                <w:color w:val="auto"/>
              </w:rPr>
            </w:pPr>
          </w:p>
        </w:tc>
      </w:tr>
      <w:tr>
        <w:trPr>
          <w:trHeight w:val="203"/>
        </w:trPr>
        <w:tc>
          <w:tcPr>
            <w:tcW w:w="6740" w:type="dxa"/>
            <w:vAlign w:val="bottom"/>
          </w:tcPr>
          <w:p>
            <w:pPr>
              <w:ind w:left="540"/>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2,265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6,458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8,144</w:t>
            </w:r>
          </w:p>
        </w:tc>
        <w:tc>
          <w:tcPr>
            <w:tcW w:w="0" w:type="dxa"/>
            <w:vAlign w:val="bottom"/>
          </w:tcPr>
          <w:p>
            <w:pPr>
              <w:spacing w:after="0"/>
              <w:rPr>
                <w:sz w:val="1"/>
                <w:szCs w:val="1"/>
                <w:color w:val="auto"/>
              </w:rPr>
            </w:pPr>
          </w:p>
        </w:tc>
      </w:tr>
      <w:tr>
        <w:trPr>
          <w:trHeight w:val="203"/>
        </w:trPr>
        <w:tc>
          <w:tcPr>
            <w:tcW w:w="6740" w:type="dxa"/>
            <w:vAlign w:val="bottom"/>
          </w:tcPr>
          <w:p>
            <w:pPr>
              <w:ind w:left="540"/>
              <w:spacing w:after="0"/>
              <w:rPr>
                <w:sz w:val="20"/>
                <w:szCs w:val="20"/>
                <w:color w:val="auto"/>
              </w:rPr>
            </w:pPr>
            <w:r>
              <w:rPr>
                <w:rFonts w:ascii="Arial" w:cs="Arial" w:eastAsia="Arial" w:hAnsi="Arial"/>
                <w:sz w:val="16"/>
                <w:szCs w:val="16"/>
                <w:color w:val="auto"/>
              </w:rPr>
              <w:t>Accrued promotional allowances</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8,932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2,723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28,442</w:t>
            </w:r>
          </w:p>
        </w:tc>
        <w:tc>
          <w:tcPr>
            <w:tcW w:w="0" w:type="dxa"/>
            <w:vAlign w:val="bottom"/>
          </w:tcPr>
          <w:p>
            <w:pPr>
              <w:spacing w:after="0"/>
              <w:rPr>
                <w:sz w:val="1"/>
                <w:szCs w:val="1"/>
                <w:color w:val="auto"/>
              </w:rPr>
            </w:pPr>
          </w:p>
        </w:tc>
      </w:tr>
      <w:tr>
        <w:trPr>
          <w:trHeight w:val="203"/>
        </w:trPr>
        <w:tc>
          <w:tcPr>
            <w:tcW w:w="6740" w:type="dxa"/>
            <w:vAlign w:val="bottom"/>
          </w:tcPr>
          <w:p>
            <w:pPr>
              <w:ind w:left="540"/>
              <w:spacing w:after="0"/>
              <w:rPr>
                <w:sz w:val="20"/>
                <w:szCs w:val="20"/>
                <w:color w:val="auto"/>
              </w:rPr>
            </w:pPr>
            <w:r>
              <w:rPr>
                <w:rFonts w:ascii="Arial" w:cs="Arial" w:eastAsia="Arial" w:hAnsi="Arial"/>
                <w:sz w:val="16"/>
                <w:szCs w:val="16"/>
                <w:color w:val="auto"/>
              </w:rPr>
              <w:t>Accrued distributor terminations</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1,552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794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03"/>
        </w:trPr>
        <w:tc>
          <w:tcPr>
            <w:tcW w:w="674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1,970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2,498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203"/>
        </w:trPr>
        <w:tc>
          <w:tcPr>
            <w:tcW w:w="6740" w:type="dxa"/>
            <w:vAlign w:val="bottom"/>
          </w:tcPr>
          <w:p>
            <w:pPr>
              <w:ind w:left="540"/>
              <w:spacing w:after="0"/>
              <w:rPr>
                <w:sz w:val="20"/>
                <w:szCs w:val="20"/>
                <w:color w:val="auto"/>
              </w:rPr>
            </w:pPr>
            <w:r>
              <w:rPr>
                <w:rFonts w:ascii="Arial" w:cs="Arial" w:eastAsia="Arial" w:hAnsi="Arial"/>
                <w:sz w:val="16"/>
                <w:szCs w:val="16"/>
                <w:color w:val="auto"/>
              </w:rPr>
              <w:t>Income taxes payable</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34,308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14,165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13,918</w:t>
            </w:r>
          </w:p>
        </w:tc>
        <w:tc>
          <w:tcPr>
            <w:tcW w:w="0" w:type="dxa"/>
            <w:vAlign w:val="bottom"/>
          </w:tcPr>
          <w:p>
            <w:pPr>
              <w:spacing w:after="0"/>
              <w:rPr>
                <w:sz w:val="1"/>
                <w:szCs w:val="1"/>
                <w:color w:val="auto"/>
              </w:rPr>
            </w:pPr>
          </w:p>
        </w:tc>
      </w:tr>
      <w:tr>
        <w:trPr>
          <w:trHeight w:val="206"/>
        </w:trPr>
        <w:tc>
          <w:tcPr>
            <w:tcW w:w="6740" w:type="dxa"/>
            <w:vAlign w:val="bottom"/>
          </w:tcPr>
          <w:p>
            <w:pPr>
              <w:ind w:left="540"/>
              <w:spacing w:after="0"/>
              <w:rPr>
                <w:sz w:val="20"/>
                <w:szCs w:val="20"/>
                <w:color w:val="auto"/>
              </w:rPr>
            </w:pPr>
            <w:r>
              <w:rPr>
                <w:rFonts w:ascii="Arial" w:cs="Arial" w:eastAsia="Arial" w:hAnsi="Arial"/>
                <w:sz w:val="16"/>
                <w:szCs w:val="16"/>
                <w:color w:val="auto"/>
              </w:rPr>
              <w:t>Deferred revenue</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2,982</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(5,659)</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(6,283)</w:t>
            </w:r>
          </w:p>
        </w:tc>
        <w:tc>
          <w:tcPr>
            <w:tcW w:w="0" w:type="dxa"/>
            <w:vAlign w:val="bottom"/>
          </w:tcPr>
          <w:p>
            <w:pPr>
              <w:spacing w:after="0"/>
              <w:rPr>
                <w:sz w:val="1"/>
                <w:szCs w:val="1"/>
                <w:color w:val="auto"/>
              </w:rPr>
            </w:pPr>
          </w:p>
        </w:tc>
      </w:tr>
      <w:tr>
        <w:trPr>
          <w:trHeight w:val="206"/>
        </w:trPr>
        <w:tc>
          <w:tcPr>
            <w:tcW w:w="67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342,033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287,676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333,827</w:t>
            </w:r>
          </w:p>
        </w:tc>
        <w:tc>
          <w:tcPr>
            <w:tcW w:w="0" w:type="dxa"/>
            <w:vAlign w:val="bottom"/>
          </w:tcPr>
          <w:p>
            <w:pPr>
              <w:spacing w:after="0"/>
              <w:rPr>
                <w:sz w:val="1"/>
                <w:szCs w:val="1"/>
                <w:color w:val="auto"/>
              </w:rPr>
            </w:pPr>
          </w:p>
        </w:tc>
      </w:tr>
      <w:tr>
        <w:trPr>
          <w:trHeight w:val="391"/>
        </w:trPr>
        <w:tc>
          <w:tcPr>
            <w:tcW w:w="67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Maturities of held-to-maturity investments</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256,843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841,576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407,918</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Sales of available-for-sale investments</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5,793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68,451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30,545</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Sales of trading investments</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2,250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17,050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34,715</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Purchases of held-to-maturity investments</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(557,419)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(597,155)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(583,138)</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Purchases of available-for-sale investments</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(9,502)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(33,312)</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(40,762)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(42,935)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(25,552)</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Proceeds from sale of property and equipment</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9,022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Additions to intangibles</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(11,175)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(6,301)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(5,132)</w:t>
            </w:r>
          </w:p>
        </w:tc>
        <w:tc>
          <w:tcPr>
            <w:tcW w:w="0" w:type="dxa"/>
            <w:vAlign w:val="bottom"/>
          </w:tcPr>
          <w:p>
            <w:pPr>
              <w:spacing w:after="0"/>
              <w:rPr>
                <w:sz w:val="1"/>
                <w:szCs w:val="1"/>
                <w:color w:val="auto"/>
              </w:rPr>
            </w:pPr>
          </w:p>
        </w:tc>
      </w:tr>
      <w:tr>
        <w:trPr>
          <w:trHeight w:val="206"/>
        </w:trPr>
        <w:tc>
          <w:tcPr>
            <w:tcW w:w="6740" w:type="dxa"/>
            <w:vAlign w:val="bottom"/>
          </w:tcPr>
          <w:p>
            <w:pPr>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(4,360)</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377</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06"/>
        </w:trPr>
        <w:tc>
          <w:tcPr>
            <w:tcW w:w="6740" w:type="dxa"/>
            <w:vAlign w:val="bottom"/>
          </w:tcPr>
          <w:p>
            <w:pPr>
              <w:ind w:left="720"/>
              <w:spacing w:after="0"/>
              <w:rPr>
                <w:sz w:val="20"/>
                <w:szCs w:val="20"/>
                <w:color w:val="auto"/>
              </w:rPr>
            </w:pPr>
            <w:r>
              <w:rPr>
                <w:rFonts w:ascii="Arial" w:cs="Arial" w:eastAsia="Arial" w:hAnsi="Arial"/>
                <w:sz w:val="16"/>
                <w:szCs w:val="16"/>
                <w:color w:val="auto"/>
              </w:rPr>
              <w:t>Net cash (used in) provided by investing activities</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(339,808)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271,849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(173,027)</w:t>
            </w:r>
          </w:p>
        </w:tc>
        <w:tc>
          <w:tcPr>
            <w:tcW w:w="0" w:type="dxa"/>
            <w:vAlign w:val="bottom"/>
          </w:tcPr>
          <w:p>
            <w:pPr>
              <w:spacing w:after="0"/>
              <w:rPr>
                <w:sz w:val="1"/>
                <w:szCs w:val="1"/>
                <w:color w:val="auto"/>
              </w:rPr>
            </w:pPr>
          </w:p>
        </w:tc>
      </w:tr>
      <w:tr>
        <w:trPr>
          <w:trHeight w:val="391"/>
        </w:trPr>
        <w:tc>
          <w:tcPr>
            <w:tcW w:w="67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Principal payments on debt</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(2,076)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Tax benefit from exercise of stock options</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30,348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19,656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21,252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11,015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20,318</w:t>
            </w:r>
          </w:p>
        </w:tc>
        <w:tc>
          <w:tcPr>
            <w:tcW w:w="0" w:type="dxa"/>
            <w:vAlign w:val="bottom"/>
          </w:tcPr>
          <w:p>
            <w:pPr>
              <w:spacing w:after="0"/>
              <w:rPr>
                <w:sz w:val="1"/>
                <w:szCs w:val="1"/>
                <w:color w:val="auto"/>
              </w:rPr>
            </w:pPr>
          </w:p>
        </w:tc>
      </w:tr>
      <w:tr>
        <w:trPr>
          <w:trHeight w:val="206"/>
        </w:trPr>
        <w:tc>
          <w:tcPr>
            <w:tcW w:w="6740" w:type="dxa"/>
            <w:vAlign w:val="bottom"/>
          </w:tcPr>
          <w:p>
            <w:pPr>
              <w:spacing w:after="0"/>
              <w:rPr>
                <w:sz w:val="20"/>
                <w:szCs w:val="20"/>
                <w:color w:val="auto"/>
              </w:rPr>
            </w:pPr>
            <w:r>
              <w:rPr>
                <w:rFonts w:ascii="Arial" w:cs="Arial" w:eastAsia="Arial" w:hAnsi="Arial"/>
                <w:sz w:val="16"/>
                <w:szCs w:val="16"/>
                <w:color w:val="auto"/>
              </w:rPr>
              <w:t>Purchases of common stock held in treasury</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(67,599)</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(727,670)</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(176,392)</w:t>
            </w:r>
          </w:p>
        </w:tc>
        <w:tc>
          <w:tcPr>
            <w:tcW w:w="0" w:type="dxa"/>
            <w:vAlign w:val="bottom"/>
          </w:tcPr>
          <w:p>
            <w:pPr>
              <w:spacing w:after="0"/>
              <w:rPr>
                <w:sz w:val="1"/>
                <w:szCs w:val="1"/>
                <w:color w:val="auto"/>
              </w:rPr>
            </w:pPr>
          </w:p>
        </w:tc>
      </w:tr>
      <w:tr>
        <w:trPr>
          <w:trHeight w:val="202"/>
        </w:trPr>
        <w:tc>
          <w:tcPr>
            <w:tcW w:w="6740" w:type="dxa"/>
            <w:vAlign w:val="bottom"/>
          </w:tcPr>
          <w:p>
            <w:pPr>
              <w:ind w:left="7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(17,886)</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(699,075)</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(154,192)</w:t>
            </w:r>
          </w:p>
        </w:tc>
        <w:tc>
          <w:tcPr>
            <w:tcW w:w="0" w:type="dxa"/>
            <w:vAlign w:val="bottom"/>
          </w:tcPr>
          <w:p>
            <w:pPr>
              <w:spacing w:after="0"/>
              <w:rPr>
                <w:sz w:val="1"/>
                <w:szCs w:val="1"/>
                <w:color w:val="auto"/>
              </w:rPr>
            </w:pPr>
          </w:p>
        </w:tc>
      </w:tr>
      <w:tr>
        <w:trPr>
          <w:trHeight w:val="393"/>
        </w:trPr>
        <w:tc>
          <w:tcPr>
            <w:tcW w:w="674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Pr>
          <w:p>
            <w:pPr>
              <w:spacing w:after="0"/>
              <w:rPr>
                <w:sz w:val="24"/>
                <w:szCs w:val="24"/>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4,496</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2,733</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(2,119)</w:t>
            </w:r>
          </w:p>
        </w:tc>
        <w:tc>
          <w:tcPr>
            <w:tcW w:w="0" w:type="dxa"/>
            <w:vAlign w:val="bottom"/>
          </w:tcPr>
          <w:p>
            <w:pPr>
              <w:spacing w:after="0"/>
              <w:rPr>
                <w:sz w:val="1"/>
                <w:szCs w:val="1"/>
                <w:color w:val="auto"/>
              </w:rPr>
            </w:pPr>
          </w:p>
        </w:tc>
      </w:tr>
      <w:tr>
        <w:trPr>
          <w:trHeight w:val="401"/>
        </w:trPr>
        <w:tc>
          <w:tcPr>
            <w:tcW w:w="674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(11,165)</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(136,817)</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4,489</w:t>
            </w:r>
          </w:p>
        </w:tc>
        <w:tc>
          <w:tcPr>
            <w:tcW w:w="0" w:type="dxa"/>
            <w:vAlign w:val="bottom"/>
          </w:tcPr>
          <w:p>
            <w:pPr>
              <w:spacing w:after="0"/>
              <w:rPr>
                <w:sz w:val="1"/>
                <w:szCs w:val="1"/>
                <w:color w:val="auto"/>
              </w:rPr>
            </w:pPr>
          </w:p>
        </w:tc>
      </w:tr>
      <w:tr>
        <w:trPr>
          <w:trHeight w:val="206"/>
        </w:trPr>
        <w:tc>
          <w:tcPr>
            <w:tcW w:w="6740" w:type="dxa"/>
            <w:vAlign w:val="bottom"/>
          </w:tcPr>
          <w:p>
            <w:pPr>
              <w:spacing w:after="0"/>
              <w:rPr>
                <w:sz w:val="20"/>
                <w:szCs w:val="20"/>
                <w:color w:val="auto"/>
              </w:rPr>
            </w:pPr>
            <w:r>
              <w:rPr>
                <w:rFonts w:ascii="Arial" w:cs="Arial" w:eastAsia="Arial" w:hAnsi="Arial"/>
                <w:sz w:val="16"/>
                <w:szCs w:val="16"/>
                <w:color w:val="auto"/>
              </w:rPr>
              <w:t>CASH AND CASH EQUIVALENTS, beginning of year</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222,514</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359,331</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354,842</w:t>
            </w:r>
          </w:p>
        </w:tc>
        <w:tc>
          <w:tcPr>
            <w:tcW w:w="0" w:type="dxa"/>
            <w:vAlign w:val="bottom"/>
          </w:tcPr>
          <w:p>
            <w:pPr>
              <w:spacing w:after="0"/>
              <w:rPr>
                <w:sz w:val="1"/>
                <w:szCs w:val="1"/>
                <w:color w:val="auto"/>
              </w:rPr>
            </w:pPr>
          </w:p>
        </w:tc>
      </w:tr>
      <w:tr>
        <w:trPr>
          <w:trHeight w:val="202"/>
        </w:trPr>
        <w:tc>
          <w:tcPr>
            <w:tcW w:w="6740" w:type="dxa"/>
            <w:vAlign w:val="bottom"/>
          </w:tcPr>
          <w:p>
            <w:pPr>
              <w:spacing w:after="0"/>
              <w:rPr>
                <w:sz w:val="20"/>
                <w:szCs w:val="20"/>
                <w:color w:val="auto"/>
              </w:rPr>
            </w:pPr>
            <w:r>
              <w:rPr>
                <w:rFonts w:ascii="Arial" w:cs="Arial" w:eastAsia="Arial" w:hAnsi="Arial"/>
                <w:sz w:val="16"/>
                <w:szCs w:val="16"/>
                <w:color w:val="auto"/>
              </w:rPr>
              <w:t>CASH AND CASH EQUIVALENTS, end of year</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211,349</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222,514</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359,331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6"/>
                <w:szCs w:val="16"/>
                <w:color w:val="auto"/>
              </w:rPr>
              <w:t>SUPPLEMENTAL INFORMATION:</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80"/>
              <w:spacing w:after="0"/>
              <w:rPr>
                <w:sz w:val="20"/>
                <w:szCs w:val="20"/>
                <w:color w:val="auto"/>
              </w:rPr>
            </w:pPr>
            <w:r>
              <w:rPr>
                <w:rFonts w:ascii="Arial" w:cs="Arial" w:eastAsia="Arial" w:hAnsi="Arial"/>
                <w:sz w:val="16"/>
                <w:szCs w:val="16"/>
                <w:color w:val="auto"/>
              </w:rPr>
              <w:t>Cash paid during the year for:</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36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360"/>
              <w:spacing w:after="0"/>
              <w:rPr>
                <w:sz w:val="20"/>
                <w:szCs w:val="20"/>
                <w:color w:val="auto"/>
              </w:rPr>
            </w:pPr>
            <w:r>
              <w:rPr>
                <w:rFonts w:ascii="Arial" w:cs="Arial" w:eastAsia="Arial" w:hAnsi="Arial"/>
                <w:sz w:val="16"/>
                <w:szCs w:val="16"/>
                <w:color w:val="auto"/>
              </w:rPr>
              <w:t>Income taxes</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740" w:type="dxa"/>
            <w:vAlign w:val="bottom"/>
            <w:vMerge w:val="continue"/>
          </w:tcPr>
          <w:p>
            <w:pPr>
              <w:spacing w:after="0"/>
              <w:rPr>
                <w:sz w:val="16"/>
                <w:szCs w:val="16"/>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174,278</w:t>
            </w:r>
          </w:p>
        </w:tc>
        <w:tc>
          <w:tcPr>
            <w:tcW w:w="280" w:type="dxa"/>
            <w:vAlign w:val="bottom"/>
          </w:tcPr>
          <w:p>
            <w:pPr>
              <w:spacing w:after="0"/>
              <w:rPr>
                <w:sz w:val="16"/>
                <w:szCs w:val="16"/>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230,221</w:t>
            </w:r>
          </w:p>
        </w:tc>
        <w:tc>
          <w:tcPr>
            <w:tcW w:w="280" w:type="dxa"/>
            <w:vAlign w:val="bottom"/>
          </w:tcPr>
          <w:p>
            <w:pPr>
              <w:spacing w:after="0"/>
              <w:rPr>
                <w:sz w:val="16"/>
                <w:szCs w:val="16"/>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147,927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-1905</wp:posOffset>
            </wp:positionV>
            <wp:extent cx="297561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75610" cy="26035"/>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ind w:right="5680"/>
        <w:spacing w:after="0" w:line="273" w:lineRule="auto"/>
        <w:rPr>
          <w:sz w:val="20"/>
          <w:szCs w:val="20"/>
          <w:color w:val="auto"/>
        </w:rPr>
      </w:pPr>
      <w:r>
        <w:rPr>
          <w:rFonts w:ascii="Arial" w:cs="Arial" w:eastAsia="Arial" w:hAnsi="Arial"/>
          <w:sz w:val="19"/>
          <w:szCs w:val="19"/>
          <w:b w:val="1"/>
          <w:bCs w:val="1"/>
          <w:color w:val="auto"/>
        </w:rPr>
        <w:t>MONSTER BEVERAGE CORPORATION AND SUBSIDIARIES CONSOLIDATED STATEMENTS OF CASH FLOWS (Continued) FOR THE YEARS ENDED DECEMBER 31, 2013,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years ended December 31, 2013, 2012 and 2011, the Company entered into capital leases of $2.6 million, $1.5 million and $2.8 million, respectively, for the acquisition of promotional vehicles.</w:t>
      </w:r>
    </w:p>
    <w:p>
      <w:pPr>
        <w:sectPr>
          <w:pgSz w:w="11900" w:h="16838" w:orient="portrait"/>
          <w:cols w:equalWidth="0" w:num="1">
            <w:col w:w="11420"/>
          </w:cols>
          <w:pgMar w:left="240" w:top="333" w:right="239" w:bottom="0" w:gutter="0" w:footer="0" w:header="0"/>
        </w:sectPr>
      </w:pPr>
    </w:p>
    <w:bookmarkStart w:id="48" w:name="page49"/>
    <w:bookmarkEnd w:id="48"/>
    <w:p>
      <w:pPr>
        <w:ind w:left="660"/>
        <w:spacing w:after="0"/>
        <w:rPr>
          <w:sz w:val="20"/>
          <w:szCs w:val="20"/>
          <w:color w:val="auto"/>
        </w:rPr>
      </w:pPr>
      <w:r>
        <w:rPr>
          <w:rFonts w:ascii="Arial" w:cs="Arial" w:eastAsia="Arial" w:hAnsi="Arial"/>
          <w:sz w:val="20"/>
          <w:szCs w:val="20"/>
          <w:color w:val="auto"/>
        </w:rPr>
        <w:t>Included in accounts payable as of December 31, 2012 are treasury stock purchases of $9.4 million.</w:t>
      </w:r>
    </w:p>
    <w:p>
      <w:pPr>
        <w:spacing w:after="0" w:line="21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Included in accounts payable was equipment purchased of $0.1 million, $0.4 million and $0.1 million as of December 31, 2013, 2012 and 2011,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ORGANIZATION AND SUMMARY OF SIGNIFICANT ACCOUNTING POLICIES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Organization </w:t>
      </w:r>
      <w:r>
        <w:rPr>
          <w:rFonts w:ascii="Arial" w:cs="Arial" w:eastAsia="Arial" w:hAnsi="Arial"/>
          <w:sz w:val="20"/>
          <w:szCs w:val="20"/>
          <w:color w:val="auto"/>
        </w:rPr>
        <w:t>– Monster Beverage Corporation (the “Company”, “Monster”, “Hansen” or “Hansen Beverage Company”) was</w:t>
      </w:r>
      <w:r>
        <w:rPr>
          <w:rFonts w:ascii="Arial" w:cs="Arial" w:eastAsia="Arial" w:hAnsi="Arial"/>
          <w:sz w:val="20"/>
          <w:szCs w:val="20"/>
          <w:i w:val="1"/>
          <w:iCs w:val="1"/>
          <w:color w:val="auto"/>
        </w:rPr>
        <w:t xml:space="preserve"> </w:t>
      </w:r>
      <w:r>
        <w:rPr>
          <w:rFonts w:ascii="Arial" w:cs="Arial" w:eastAsia="Arial" w:hAnsi="Arial"/>
          <w:sz w:val="20"/>
          <w:szCs w:val="20"/>
          <w:color w:val="auto"/>
        </w:rPr>
        <w:t>incorporated in Delaware on April 25, 1990. The Company is a holding company and has no operating business except through its consolidated subsidiaries.</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Nature of Operations </w:t>
      </w:r>
      <w:r>
        <w:rPr>
          <w:rFonts w:ascii="Arial" w:cs="Arial" w:eastAsia="Arial" w:hAnsi="Arial"/>
          <w:sz w:val="20"/>
          <w:szCs w:val="20"/>
          <w:color w:val="auto"/>
        </w:rPr>
        <w:t>– The Company develops, markets, sells and distributes “alternative” beverage category beverages primarily</w:t>
      </w:r>
      <w:r>
        <w:rPr>
          <w:rFonts w:ascii="Arial" w:cs="Arial" w:eastAsia="Arial" w:hAnsi="Arial"/>
          <w:sz w:val="20"/>
          <w:szCs w:val="20"/>
          <w:i w:val="1"/>
          <w:iCs w:val="1"/>
          <w:color w:val="auto"/>
        </w:rPr>
        <w:t xml:space="preserve"> </w:t>
      </w:r>
      <w:r>
        <w:rPr>
          <w:rFonts w:ascii="Arial" w:cs="Arial" w:eastAsia="Arial" w:hAnsi="Arial"/>
          <w:sz w:val="20"/>
          <w:szCs w:val="20"/>
          <w:color w:val="auto"/>
        </w:rPr>
        <w:t>under the following brand names: Monster Energy®, Monster Rehab®, Monster Energy Extra Strength Nitrous Technology®, Java Monster®, X-Presso Monster®, Muscle Monster®, Punch Monster™, Peace Tea®, Hansen’s®, Hansen’s Natural Cane Soda®, Junior Juice®, Blue Sky®, Hubert’s® and Worx Energy®. The “alternative” beverage category combines non-carbonated ready-to-drink iced teas, lemonades, juice cocktails, single-serve juices and fruit beverages, ready-to-drink dairy and coffee drinks, energy drinks, sports drinks, and single-serve still water (flavored, unflavored and enhanced) with “new age” beverages, including sodas that are considered natural, sparkling juices and flavored sparkling beverages.</w:t>
      </w: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Basis of Presentation </w:t>
      </w:r>
      <w:r>
        <w:rPr>
          <w:rFonts w:ascii="Arial" w:cs="Arial" w:eastAsia="Arial" w:hAnsi="Arial"/>
          <w:sz w:val="20"/>
          <w:szCs w:val="20"/>
          <w:color w:val="auto"/>
        </w:rPr>
        <w:t>– The accompanying consolidated financial statements have been prepared in accordance with accounting</w:t>
      </w:r>
      <w:r>
        <w:rPr>
          <w:rFonts w:ascii="Arial" w:cs="Arial" w:eastAsia="Arial" w:hAnsi="Arial"/>
          <w:sz w:val="20"/>
          <w:szCs w:val="20"/>
          <w:i w:val="1"/>
          <w:iCs w:val="1"/>
          <w:color w:val="auto"/>
        </w:rPr>
        <w:t xml:space="preserve"> </w:t>
      </w:r>
      <w:r>
        <w:rPr>
          <w:rFonts w:ascii="Arial" w:cs="Arial" w:eastAsia="Arial" w:hAnsi="Arial"/>
          <w:sz w:val="20"/>
          <w:szCs w:val="20"/>
          <w:color w:val="auto"/>
        </w:rPr>
        <w:t>principles generally accepted in the United States of America (“GAAP”) and include the accounts of the Company and its consolidated subsidiaries.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Principles of Consolidation </w:t>
      </w:r>
      <w:r>
        <w:rPr>
          <w:rFonts w:ascii="Arial" w:cs="Arial" w:eastAsia="Arial" w:hAnsi="Arial"/>
          <w:sz w:val="20"/>
          <w:szCs w:val="20"/>
          <w:color w:val="auto"/>
        </w:rPr>
        <w:t>– The Company consolidates all entities that it controls by ownership of a majority voting interest. All</w:t>
      </w:r>
      <w:r>
        <w:rPr>
          <w:rFonts w:ascii="Arial" w:cs="Arial" w:eastAsia="Arial" w:hAnsi="Arial"/>
          <w:sz w:val="20"/>
          <w:szCs w:val="20"/>
          <w:i w:val="1"/>
          <w:iCs w:val="1"/>
          <w:color w:val="auto"/>
        </w:rPr>
        <w:t xml:space="preserve"> </w:t>
      </w:r>
      <w:r>
        <w:rPr>
          <w:rFonts w:ascii="Arial" w:cs="Arial" w:eastAsia="Arial" w:hAnsi="Arial"/>
          <w:sz w:val="20"/>
          <w:szCs w:val="20"/>
          <w:color w:val="auto"/>
        </w:rPr>
        <w:t>intercompany balances and transactions have been eliminated in consolidation.</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The Company considers all highly liquid investments with an original maturity of three months or less</w:t>
      </w:r>
      <w:r>
        <w:rPr>
          <w:rFonts w:ascii="Arial" w:cs="Arial" w:eastAsia="Arial" w:hAnsi="Arial"/>
          <w:sz w:val="20"/>
          <w:szCs w:val="20"/>
          <w:i w:val="1"/>
          <w:iCs w:val="1"/>
          <w:color w:val="auto"/>
        </w:rPr>
        <w:t xml:space="preserve"> </w:t>
      </w:r>
      <w:r>
        <w:rPr>
          <w:rFonts w:ascii="Arial" w:cs="Arial" w:eastAsia="Arial" w:hAnsi="Arial"/>
          <w:sz w:val="20"/>
          <w:szCs w:val="20"/>
          <w:color w:val="auto"/>
        </w:rPr>
        <w:t>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205" w:lineRule="exact"/>
        <w:rPr>
          <w:sz w:val="20"/>
          <w:szCs w:val="20"/>
          <w:color w:val="auto"/>
        </w:rPr>
      </w:pPr>
    </w:p>
    <w:p>
      <w:pPr>
        <w:jc w:val="both"/>
        <w:ind w:firstLine="702"/>
        <w:spacing w:after="0" w:line="269"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The Company’s investments in debt securities are classified as either held-to-maturity, available-for-sale or trading,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Financial Accounting Standards Board (the “FASB”) Accounting Standards Codification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income (loss) as a separate component of stockholders’ equity.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(see Note 3). Under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amortized cost is recognized in other comprehensive income (loss), net of applicable taxes. The Company evaluates whether the decline in fair value of its investments is other-than-temporary at each quarter-end. This evaluation consists of a review by management, and includes market pricing information and maturity dates for the securities held, market and economic trends in the industry and information on the issuer’s</w:t>
      </w:r>
    </w:p>
    <w:p>
      <w:pPr>
        <w:sectPr>
          <w:pgSz w:w="11900" w:h="16838" w:orient="portrait"/>
          <w:cols w:equalWidth="0" w:num="1">
            <w:col w:w="11420"/>
          </w:cols>
          <w:pgMar w:left="240" w:top="122" w:right="239" w:bottom="0" w:gutter="0" w:footer="0" w:header="0"/>
          <w:type w:val="continuous"/>
        </w:sectPr>
      </w:pPr>
    </w:p>
    <w:bookmarkStart w:id="49" w:name="page50"/>
    <w:bookmarkEnd w:id="49"/>
    <w:p>
      <w:pPr>
        <w:jc w:val="both"/>
        <w:spacing w:after="0" w:line="283" w:lineRule="auto"/>
        <w:rPr>
          <w:sz w:val="20"/>
          <w:szCs w:val="20"/>
          <w:color w:val="auto"/>
        </w:rPr>
      </w:pPr>
      <w:r>
        <w:rPr>
          <w:rFonts w:ascii="Arial" w:cs="Arial" w:eastAsia="Arial" w:hAnsi="Arial"/>
          <w:sz w:val="18"/>
          <w:szCs w:val="18"/>
          <w:color w:val="auto"/>
        </w:rPr>
        <w:t>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Accounts Receivable – </w:t>
      </w:r>
      <w:r>
        <w:rPr>
          <w:rFonts w:ascii="Arial" w:cs="Arial" w:eastAsia="Arial" w:hAnsi="Arial"/>
          <w:sz w:val="18"/>
          <w:szCs w:val="18"/>
          <w:color w:val="auto"/>
        </w:rPr>
        <w:t>The Company evaluates the collectability of its trade accounts receivable based on a number of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Inventories </w:t>
      </w:r>
      <w:r>
        <w:rPr>
          <w:rFonts w:ascii="Arial" w:cs="Arial" w:eastAsia="Arial" w:hAnsi="Arial"/>
          <w:sz w:val="20"/>
          <w:szCs w:val="20"/>
          <w:color w:val="auto"/>
        </w:rPr>
        <w:t>– Inventories are valued at the lower of first-in, first-out, cost or market value (net realizable value).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Property and Equipment </w:t>
      </w:r>
      <w:r>
        <w:rPr>
          <w:rFonts w:ascii="Arial" w:cs="Arial" w:eastAsia="Arial" w:hAnsi="Arial"/>
          <w:sz w:val="19"/>
          <w:szCs w:val="19"/>
          <w:color w:val="auto"/>
        </w:rPr>
        <w:t>– Property and equipment are stated at cost. Depreciation of furniture and fixtures, office and computer</w:t>
      </w:r>
      <w:r>
        <w:rPr>
          <w:rFonts w:ascii="Arial" w:cs="Arial" w:eastAsia="Arial" w:hAnsi="Arial"/>
          <w:sz w:val="19"/>
          <w:szCs w:val="19"/>
          <w:i w:val="1"/>
          <w:iCs w:val="1"/>
          <w:color w:val="auto"/>
        </w:rPr>
        <w:t xml:space="preserve"> </w:t>
      </w:r>
      <w:r>
        <w:rPr>
          <w:rFonts w:ascii="Arial" w:cs="Arial" w:eastAsia="Arial" w:hAnsi="Arial"/>
          <w:sz w:val="19"/>
          <w:szCs w:val="19"/>
          <w:color w:val="auto"/>
        </w:rPr>
        <w:t>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Capitalized Software Costs </w:t>
      </w:r>
      <w:r>
        <w:rPr>
          <w:rFonts w:ascii="Arial" w:cs="Arial" w:eastAsia="Arial" w:hAnsi="Arial"/>
          <w:sz w:val="20"/>
          <w:szCs w:val="20"/>
          <w:color w:val="auto"/>
        </w:rPr>
        <w:t>– In accordance with ASC 350-40, the Company capitalizes certain costs incurred in connection with</w:t>
      </w:r>
      <w:r>
        <w:rPr>
          <w:rFonts w:ascii="Arial" w:cs="Arial" w:eastAsia="Arial" w:hAnsi="Arial"/>
          <w:sz w:val="20"/>
          <w:szCs w:val="20"/>
          <w:i w:val="1"/>
          <w:iCs w:val="1"/>
          <w:color w:val="auto"/>
        </w:rPr>
        <w:t xml:space="preserve"> </w:t>
      </w:r>
      <w:r>
        <w:rPr>
          <w:rFonts w:ascii="Arial" w:cs="Arial" w:eastAsia="Arial" w:hAnsi="Arial"/>
          <w:sz w:val="20"/>
          <w:szCs w:val="20"/>
          <w:color w:val="auto"/>
        </w:rPr>
        <w:t>developing or obtaining internal use software. Costs incurred in the preliminary project stage are expensed. All direct external costs incurred to develop internal use software during the development stage are capitalized and amortized using the straight-line method over the remaining useful lives. Costs such as maintenance and training are expensed as incurred.</w:t>
      </w:r>
    </w:p>
    <w:p>
      <w:pPr>
        <w:spacing w:after="0" w:line="2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Intangibles </w:t>
      </w:r>
      <w:r>
        <w:rPr>
          <w:rFonts w:ascii="Arial" w:cs="Arial" w:eastAsia="Arial" w:hAnsi="Arial"/>
          <w:sz w:val="19"/>
          <w:szCs w:val="19"/>
          <w:color w:val="auto"/>
        </w:rPr>
        <w:t>– Intangibles are comprised primarily of trademarks that represent the Company’s exclusive ownership of the Monster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Energy®, </w:t>
      </w:r>
      <w:r>
        <w:rPr>
          <w:sz w:val="1"/>
          <w:szCs w:val="1"/>
          <w:color w:val="auto"/>
        </w:rPr>
        <w:drawing>
          <wp:inline distT="0" distB="0" distL="0" distR="0">
            <wp:extent cx="102870" cy="1371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9"/>
          <w:szCs w:val="19"/>
          <w:color w:val="auto"/>
        </w:rPr>
        <w:t>®, Monster Rehab®, Java Monster®, Unleash the Beast®, Punch Monster™, Peace Tea®, Hansen’s®, Blue Sky® and the Junior Juice® trademarks, all used in connection with the manufacture, sale and distribution of supplements and beverages. The Company also owns in its own right a number of other trademarks in the United States, as well as in a number of countries around the world. In accordance with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which range from 1 to 25 years. For the fiscal years ended December 31, 2013, 2012 and 2011, there were no impairments recorded.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 Management regularly reviews property and equipment and other long-lived assets, including 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fiscal years ended December 31, 2013, 2012 and 2011, there were no impairment indicators identified. Long-lived assets held for sale are recorded at the lower of their carrying amount or fair value less cost to sell.</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Foreign Currency Translation and Transactions </w:t>
      </w:r>
      <w:r>
        <w:rPr>
          <w:rFonts w:ascii="Arial" w:cs="Arial" w:eastAsia="Arial" w:hAnsi="Arial"/>
          <w:sz w:val="20"/>
          <w:szCs w:val="20"/>
          <w:color w:val="auto"/>
        </w:rPr>
        <w:t>– The accounts of the Company’s foreign subsidiaries are translated in accordance</w:t>
      </w:r>
      <w:r>
        <w:rPr>
          <w:rFonts w:ascii="Arial" w:cs="Arial" w:eastAsia="Arial" w:hAnsi="Arial"/>
          <w:sz w:val="20"/>
          <w:szCs w:val="20"/>
          <w:i w:val="1"/>
          <w:iCs w:val="1"/>
          <w:color w:val="auto"/>
        </w:rPr>
        <w:t xml:space="preserve"> </w:t>
      </w:r>
      <w:r>
        <w:rPr>
          <w:rFonts w:ascii="Arial" w:cs="Arial" w:eastAsia="Arial" w:hAnsi="Arial"/>
          <w:sz w:val="20"/>
          <w:szCs w:val="20"/>
          <w:color w:val="auto"/>
        </w:rPr>
        <w:t>with ASC 830. Foreign currency transaction gains and losses are recognized in interest and other income, net, at the time they occur. Net foreign currency exchange gains or losses resulting from the translation of assets and liabilities of foreign subsidiaries whose functional currency is not the U.S. dollar are recorded as a part of accumulated other comprehensive (loss) income in stockholders’ equity. Unrealized foreign currency exchange gains and losses on certain intercompany transactions that are of a long-term investment nature (i.e., settlement is not planned or anticipated in the foreseeable future) are also recorded in accumulated other comprehensive (loss) income in stockholders’ equity. For the years ended December 31, 2013, 2012 and 2011, aggregate foreign currency transaction losses amounted to $12.9 million, $3.7 million and $0.7 million, respectively, and have been recorded in other (expense) income in the accompanying consolidated statements of income.</w:t>
      </w:r>
    </w:p>
    <w:p>
      <w:pPr>
        <w:spacing w:after="0" w:line="20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persuasive evidence of an arrangement exists, delivery has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sales price is fixed or determinable and collectability is reasonably assured. Generally, ownership of and title to the Company’s products passes to customers upon delivery of the products to customers. Certain of the Company’s distributors may also perform a separate function as a co-packer on the Company’s behalf. In such cases, ownership of and title to the Company’s products that are co-packed on the Company’s behalf by those co-packers who are also distributors, passes to such distributors when the Company is notified by them that they have taken</w:t>
      </w:r>
    </w:p>
    <w:p>
      <w:pPr>
        <w:sectPr>
          <w:pgSz w:w="11900" w:h="16838" w:orient="portrait"/>
          <w:cols w:equalWidth="0" w:num="1">
            <w:col w:w="11420"/>
          </w:cols>
          <w:pgMar w:left="240" w:top="122" w:right="239" w:bottom="0" w:gutter="0" w:footer="0" w:header="0"/>
        </w:sectPr>
      </w:pPr>
    </w:p>
    <w:bookmarkStart w:id="50" w:name="page51"/>
    <w:bookmarkEnd w:id="50"/>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transfer or possession of the relevant portion of the Company’s finished goods. Net sales have been determined after deduction of promotional and other allowances in accordance with ASC 605-50. The Company’s promotional and other allowances are calculated based on various programs with its distributors and retail customers, and accruals are established during the year for the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 and actual expenses for promotional and other allowance costs have historically been insignificant and are recognized in earnings in the period such differences are determined. 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 generally 20 years.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the Company’s historical experience.</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Cost of Sales </w:t>
      </w:r>
      <w:r>
        <w:rPr>
          <w:rFonts w:ascii="Arial" w:cs="Arial" w:eastAsia="Arial" w:hAnsi="Arial"/>
          <w:sz w:val="20"/>
          <w:szCs w:val="20"/>
          <w:color w:val="auto"/>
        </w:rPr>
        <w:t>– Cost of sales consists of the costs of raw materials utilized in the manufacture of products, co-packing fees, repacking</w:t>
      </w:r>
      <w:r>
        <w:rPr>
          <w:rFonts w:ascii="Arial" w:cs="Arial" w:eastAsia="Arial" w:hAnsi="Arial"/>
          <w:sz w:val="20"/>
          <w:szCs w:val="20"/>
          <w:i w:val="1"/>
          <w:iCs w:val="1"/>
          <w:color w:val="auto"/>
        </w:rPr>
        <w:t xml:space="preserve"> </w:t>
      </w:r>
      <w:r>
        <w:rPr>
          <w:rFonts w:ascii="Arial" w:cs="Arial" w:eastAsia="Arial" w:hAnsi="Arial"/>
          <w:sz w:val="20"/>
          <w:szCs w:val="20"/>
          <w:color w:val="auto"/>
        </w:rPr>
        <w:t>fees, in-bound 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flavors, ingredients and packaging materials.</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 Operating expenses include selling expenses such as distribution expenses to transport products to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7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Freight-Out Costs </w:t>
      </w:r>
      <w:r>
        <w:rPr>
          <w:rFonts w:ascii="Arial" w:cs="Arial" w:eastAsia="Arial" w:hAnsi="Arial"/>
          <w:sz w:val="18"/>
          <w:szCs w:val="18"/>
          <w:color w:val="auto"/>
        </w:rPr>
        <w:t>– For the years ended December 31, 2013, 2012 and 2011, freight-out costs amounted to $84.0 million, $76.1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$60.5 million, respectively, and have been recorded in operating expenses in the accompanying consolidated statements of income.</w:t>
      </w:r>
    </w:p>
    <w:p>
      <w:pPr>
        <w:spacing w:after="0" w:line="14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Advertising and Promotional Expenses </w:t>
      </w:r>
      <w:r>
        <w:rPr>
          <w:rFonts w:ascii="Arial" w:cs="Arial" w:eastAsia="Arial" w:hAnsi="Arial"/>
          <w:sz w:val="18"/>
          <w:szCs w:val="18"/>
          <w:color w:val="auto"/>
        </w:rPr>
        <w:t>– The Company accounts for advertising production costs by expensing such production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time the related advertising takes place. A significant amount of the Company’s promotional expenses result from payments under endorsement and sponsorship contracts. Accounting for endorsement and sponsorship payments is based upon specific contract provisions. Generally, endorsement and sponsorship payments are expensed on a straight-line basis over the term of the contract after giving recognition to periodic performance compliance provisions of the contracts. Advertising and promotional expenses, including but not limited to production costs, amounted to $181.8 million, $165.4 million and $148.8 million for the years ended December 31, 2013, 2012 and 2011, respectively. Advertising and promotional expenses are included in operating expenses in the accompanying consolidated statements of income.</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 The Company utilizes the liability method of accounting for income taxes as set forth in ASC 740. Under the liability</w:t>
      </w:r>
      <w:r>
        <w:rPr>
          <w:rFonts w:ascii="Arial" w:cs="Arial" w:eastAsia="Arial" w:hAnsi="Arial"/>
          <w:sz w:val="19"/>
          <w:szCs w:val="19"/>
          <w:i w:val="1"/>
          <w:iCs w:val="1"/>
          <w:color w:val="auto"/>
        </w:rPr>
        <w:t xml:space="preserve"> </w:t>
      </w:r>
      <w:r>
        <w:rPr>
          <w:rFonts w:ascii="Arial" w:cs="Arial" w:eastAsia="Arial" w:hAnsi="Arial"/>
          <w:sz w:val="19"/>
          <w:szCs w:val="19"/>
          <w:color w:val="auto"/>
        </w:rPr>
        <w:t>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93"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The Company accounts for stock-based compensation under the provisions of ASC 718.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at which a commitment for performance by the non-employee to earn the stock option is</w:t>
      </w:r>
    </w:p>
    <w:p>
      <w:pPr>
        <w:sectPr>
          <w:pgSz w:w="11900" w:h="16860" w:orient="portrait"/>
          <w:cols w:equalWidth="0" w:num="1">
            <w:col w:w="11420"/>
          </w:cols>
          <w:pgMar w:left="240" w:top="122" w:right="239" w:bottom="0" w:gutter="0" w:footer="0" w:header="0"/>
        </w:sectPr>
      </w:pPr>
    </w:p>
    <w:bookmarkStart w:id="51" w:name="page52"/>
    <w:bookmarkEnd w:id="51"/>
    <w:p>
      <w:pPr>
        <w:jc w:val="both"/>
        <w:spacing w:after="0" w:line="264" w:lineRule="auto"/>
        <w:rPr>
          <w:sz w:val="20"/>
          <w:szCs w:val="20"/>
          <w:color w:val="auto"/>
        </w:rPr>
      </w:pPr>
      <w:r>
        <w:rPr>
          <w:rFonts w:ascii="Arial" w:cs="Arial" w:eastAsia="Arial" w:hAnsi="Arial"/>
          <w:sz w:val="19"/>
          <w:szCs w:val="19"/>
          <w:color w:val="auto"/>
        </w:rPr>
        <w:t>reached or (2) the date at which the non-employee’s performance is complete, using the Black-Scholes-Merton option pricing formula. 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(See Note 12).</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Net Income Per Common Share </w:t>
      </w:r>
      <w:r>
        <w:rPr>
          <w:rFonts w:ascii="Arial" w:cs="Arial" w:eastAsia="Arial" w:hAnsi="Arial"/>
          <w:sz w:val="19"/>
          <w:szCs w:val="19"/>
          <w:color w:val="auto"/>
        </w:rPr>
        <w:t>– In accordance with ASC 260, net income per common share, on a basic and diluted basis, is</w:t>
      </w:r>
      <w:r>
        <w:rPr>
          <w:rFonts w:ascii="Arial" w:cs="Arial" w:eastAsia="Arial" w:hAnsi="Arial"/>
          <w:sz w:val="19"/>
          <w:szCs w:val="19"/>
          <w:i w:val="1"/>
          <w:iCs w:val="1"/>
          <w:color w:val="auto"/>
        </w:rPr>
        <w:t xml:space="preserve"> </w:t>
      </w:r>
      <w:r>
        <w:rPr>
          <w:rFonts w:ascii="Arial" w:cs="Arial" w:eastAsia="Arial" w:hAnsi="Arial"/>
          <w:sz w:val="19"/>
          <w:szCs w:val="19"/>
          <w:color w:val="auto"/>
        </w:rPr>
        <w:t>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Concentration of Risk – </w:t>
      </w:r>
      <w:r>
        <w:rPr>
          <w:rFonts w:ascii="Arial" w:cs="Arial" w:eastAsia="Arial" w:hAnsi="Arial"/>
          <w:sz w:val="20"/>
          <w:szCs w:val="20"/>
          <w:color w:val="auto"/>
        </w:rPr>
        <w:t>Certain of the Company’s products utilize components (raw materials and/or co-packing services) from a</w:t>
      </w:r>
      <w:r>
        <w:rPr>
          <w:rFonts w:ascii="Arial" w:cs="Arial" w:eastAsia="Arial" w:hAnsi="Arial"/>
          <w:sz w:val="20"/>
          <w:szCs w:val="20"/>
          <w:i w:val="1"/>
          <w:iCs w:val="1"/>
          <w:color w:val="auto"/>
        </w:rPr>
        <w:t xml:space="preserve"> </w:t>
      </w:r>
      <w:r>
        <w:rPr>
          <w:rFonts w:ascii="Arial" w:cs="Arial" w:eastAsia="Arial" w:hAnsi="Arial"/>
          <w:sz w:val="20"/>
          <w:szCs w:val="20"/>
          <w:color w:val="auto"/>
        </w:rPr>
        <w:t>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take steps on an ongoing basis to secure the availability of alternative sources for such components and minimize the risk of any disruption in production.</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Coca-Cola Refreshments USA, Inc. (“CCR”), a customer of the Direct Store Delivery segment (“DSD”) with sales within specific markets in the United States and Canada, accounted for approximately 29%, 28% and 29% of the Company’s net sales for the years ended December 31, 2013, 2012 and 2011, respectively.</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The Company sells its products nationally and internationally, primarily to full service beverage distributors, retail</w:t>
      </w:r>
      <w:r>
        <w:rPr>
          <w:rFonts w:ascii="Arial" w:cs="Arial" w:eastAsia="Arial" w:hAnsi="Arial"/>
          <w:sz w:val="18"/>
          <w:szCs w:val="18"/>
          <w:i w:val="1"/>
          <w:iCs w:val="1"/>
          <w:color w:val="auto"/>
        </w:rPr>
        <w:t xml:space="preserve"> </w:t>
      </w:r>
      <w:r>
        <w:rPr>
          <w:rFonts w:ascii="Arial" w:cs="Arial" w:eastAsia="Arial" w:hAnsi="Arial"/>
          <w:sz w:val="18"/>
          <w:szCs w:val="18"/>
          <w:color w:val="auto"/>
        </w:rPr>
        <w:t>grocery and specialty chains, wholesalers, club stores, drug chains, mass merchandisers, convenience chains, health food distributors and food service customers. The Company performs ongoing credit evaluations of its customers and generally does not require collateral. The Company maintains reserves for estimated credit losses, and historically, such losses have been within management’s expectations.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Fair Value of Financial Instruments </w:t>
      </w:r>
      <w:r>
        <w:rPr>
          <w:rFonts w:ascii="Arial" w:cs="Arial" w:eastAsia="Arial" w:hAnsi="Arial"/>
          <w:sz w:val="20"/>
          <w:szCs w:val="20"/>
          <w:color w:val="auto"/>
        </w:rPr>
        <w:t>– The carrying value of the Company’s financial instruments, including cash and cash equivalents,</w:t>
      </w:r>
      <w:r>
        <w:rPr>
          <w:rFonts w:ascii="Arial" w:cs="Arial" w:eastAsia="Arial" w:hAnsi="Arial"/>
          <w:sz w:val="20"/>
          <w:szCs w:val="20"/>
          <w:i w:val="1"/>
          <w:iCs w:val="1"/>
          <w:color w:val="auto"/>
        </w:rPr>
        <w:t xml:space="preserve"> </w:t>
      </w:r>
      <w:r>
        <w:rPr>
          <w:rFonts w:ascii="Arial" w:cs="Arial" w:eastAsia="Arial" w:hAnsi="Arial"/>
          <w:sz w:val="20"/>
          <w:szCs w:val="20"/>
          <w:color w:val="auto"/>
        </w:rPr>
        <w:t>accounts receivable, accounts payable and accrued liabilities, approximate fair value due to the relatively short maturity of the respective instruments.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Use of Estimates </w:t>
      </w:r>
      <w:r>
        <w:rPr>
          <w:rFonts w:ascii="Arial" w:cs="Arial" w:eastAsia="Arial" w:hAnsi="Arial"/>
          <w:sz w:val="20"/>
          <w:szCs w:val="20"/>
          <w:color w:val="auto"/>
        </w:rPr>
        <w:t>– The preparation of the consolidated financial statements in conformity with GAAP requires management to make</w:t>
      </w:r>
      <w:r>
        <w:rPr>
          <w:rFonts w:ascii="Arial" w:cs="Arial" w:eastAsia="Arial" w:hAnsi="Arial"/>
          <w:sz w:val="20"/>
          <w:szCs w:val="20"/>
          <w:i w:val="1"/>
          <w:iCs w:val="1"/>
          <w:color w:val="auto"/>
        </w:rPr>
        <w:t xml:space="preserve"> </w:t>
      </w:r>
      <w:r>
        <w:rPr>
          <w:rFonts w:ascii="Arial" w:cs="Arial" w:eastAsia="Arial" w:hAnsi="Arial"/>
          <w:sz w:val="20"/>
          <w:szCs w:val="20"/>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ind w:firstLine="492"/>
        <w:spacing w:after="0" w:line="272" w:lineRule="auto"/>
        <w:rPr>
          <w:sz w:val="20"/>
          <w:szCs w:val="20"/>
          <w:color w:val="auto"/>
        </w:rPr>
      </w:pPr>
      <w:r>
        <w:rPr>
          <w:rFonts w:ascii="Arial" w:cs="Arial" w:eastAsia="Arial" w:hAnsi="Arial"/>
          <w:sz w:val="18"/>
          <w:szCs w:val="18"/>
          <w:i w:val="1"/>
          <w:iCs w:val="1"/>
          <w:color w:val="auto"/>
        </w:rPr>
        <w:t xml:space="preserve">Recent Accounting Pronouncements – </w:t>
      </w:r>
      <w:r>
        <w:rPr>
          <w:rFonts w:ascii="Arial" w:cs="Arial" w:eastAsia="Arial" w:hAnsi="Arial"/>
          <w:sz w:val="18"/>
          <w:szCs w:val="18"/>
          <w:color w:val="auto"/>
        </w:rPr>
        <w:t>In July 2013, the FASB issued Accounting Standards Update (“ASU”) No. 2013-11,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(Topic 740): Presentation of an Unrecognized Tax Benefit when a Net Operating Loss Carryforward, a Similar Tax Loss, or a Tax Credit Carryforward Exists (a consensus of the FASB Emerging Issues Task Force)”. The amendments in this ASU provide guidance on the 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The amendments in ASU No. 2013-11 are not expected to have a material impact on the Company’s financial position, results of operations or liquidity.</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February 2013, the FASB issued ASU No. 2013-02, “Comprehensive Income (Topic 220): Reporting of Amounts Reclassified Out of Accumulated Other Comprehensive Income”.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GAAP to be reclassified to net income in its entirety in the same reporting period. For other amounts that are not required under GAAP to be reclassified in their entirety to net income, an entity is required to cross-reference to other disclosures required under GAAP that provide additional detail about those amounts. The guidance became effective for the Company on January 1, 2013. The adoption of ASU 2013-02 did not have a material impact on the Company’s financial position, results of operations or liquidity.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ectPr>
          <w:pgSz w:w="11900" w:h="16838" w:orient="portrait"/>
          <w:cols w:equalWidth="0" w:num="1">
            <w:col w:w="11420"/>
          </w:cols>
          <w:pgMar w:left="240" w:top="122" w:right="239" w:bottom="0" w:gutter="0" w:footer="0" w:header="0"/>
        </w:sectPr>
      </w:pPr>
    </w:p>
    <w:p>
      <w:pPr>
        <w:spacing w:after="0" w:line="205" w:lineRule="exact"/>
        <w:rPr>
          <w:sz w:val="20"/>
          <w:szCs w:val="20"/>
          <w:color w:val="auto"/>
        </w:rPr>
      </w:pPr>
    </w:p>
    <w:p>
      <w:pPr>
        <w:ind w:right="5260"/>
        <w:spacing w:after="0" w:line="280"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w:t>
      </w:r>
    </w:p>
    <w:p>
      <w:pPr>
        <w:sectPr>
          <w:pgSz w:w="11900" w:h="16838" w:orient="portrait"/>
          <w:cols w:equalWidth="0" w:num="1">
            <w:col w:w="11420"/>
          </w:cols>
          <w:pgMar w:left="240" w:top="122" w:right="239" w:bottom="0" w:gutter="0" w:footer="0" w:header="0"/>
          <w:type w:val="continuous"/>
        </w:sectPr>
      </w:pPr>
    </w:p>
    <w:bookmarkStart w:id="52" w:name="page53"/>
    <w:bookmarkEnd w:id="52"/>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5"/>
                <w:szCs w:val="15"/>
                <w:color w:val="auto"/>
                <w:w w:val="94"/>
              </w:rPr>
              <w:t>Continuous</w:t>
            </w:r>
          </w:p>
        </w:tc>
        <w:tc>
          <w:tcPr>
            <w:tcW w:w="980" w:type="dxa"/>
            <w:vAlign w:val="bottom"/>
          </w:tcPr>
          <w:p>
            <w:pPr>
              <w:jc w:val="center"/>
              <w:ind w:left="63"/>
              <w:spacing w:after="0"/>
              <w:rPr>
                <w:sz w:val="20"/>
                <w:szCs w:val="20"/>
                <w:color w:val="auto"/>
              </w:rPr>
            </w:pPr>
            <w:r>
              <w:rPr>
                <w:rFonts w:ascii="Arial" w:cs="Arial" w:eastAsia="Arial" w:hAnsi="Arial"/>
                <w:sz w:val="15"/>
                <w:szCs w:val="15"/>
                <w:color w:val="auto"/>
                <w:w w:val="94"/>
              </w:rPr>
              <w:t>Continuous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4"/>
              </w:rPr>
              <w:t>Unrealized</w:t>
            </w:r>
          </w:p>
        </w:tc>
        <w:tc>
          <w:tcPr>
            <w:tcW w:w="980" w:type="dxa"/>
            <w:vAlign w:val="bottom"/>
          </w:tcPr>
          <w:p>
            <w:pPr>
              <w:jc w:val="center"/>
              <w:ind w:left="63"/>
              <w:spacing w:after="0" w:line="162" w:lineRule="exact"/>
              <w:rPr>
                <w:sz w:val="20"/>
                <w:szCs w:val="20"/>
                <w:color w:val="auto"/>
              </w:rPr>
            </w:pPr>
            <w:r>
              <w:rPr>
                <w:rFonts w:ascii="Arial" w:cs="Arial" w:eastAsia="Arial" w:hAnsi="Arial"/>
                <w:sz w:val="15"/>
                <w:szCs w:val="15"/>
                <w:color w:val="auto"/>
                <w:w w:val="94"/>
              </w:rPr>
              <w:t>Unrealized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94"/>
              </w:rPr>
              <w:t>Unrealized</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94"/>
              </w:rPr>
              <w:t>Unrealized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220"/>
              <w:spacing w:after="0" w:line="162" w:lineRule="exact"/>
              <w:rPr>
                <w:sz w:val="20"/>
                <w:szCs w:val="20"/>
                <w:color w:val="auto"/>
              </w:rPr>
            </w:pPr>
            <w:r>
              <w:rPr>
                <w:rFonts w:ascii="Arial" w:cs="Arial" w:eastAsia="Arial" w:hAnsi="Arial"/>
                <w:sz w:val="15"/>
                <w:szCs w:val="15"/>
                <w:color w:val="auto"/>
                <w:w w:val="94"/>
              </w:rPr>
              <w:t>Loss Position</w:t>
            </w:r>
          </w:p>
        </w:tc>
        <w:tc>
          <w:tcPr>
            <w:tcW w:w="980" w:type="dxa"/>
            <w:vAlign w:val="bottom"/>
          </w:tcPr>
          <w:p>
            <w:pPr>
              <w:jc w:val="center"/>
              <w:ind w:left="63"/>
              <w:spacing w:after="0" w:line="162" w:lineRule="exact"/>
              <w:rPr>
                <w:sz w:val="20"/>
                <w:szCs w:val="20"/>
                <w:color w:val="auto"/>
              </w:rPr>
            </w:pPr>
            <w:r>
              <w:rPr>
                <w:rFonts w:ascii="Arial" w:cs="Arial" w:eastAsia="Arial" w:hAnsi="Arial"/>
                <w:sz w:val="15"/>
                <w:szCs w:val="15"/>
                <w:color w:val="auto"/>
                <w:w w:val="94"/>
              </w:rPr>
              <w:t>Loss Position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0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8"/>
              </w:rPr>
              <w:t>Holding</w:t>
            </w:r>
          </w:p>
        </w:tc>
        <w:tc>
          <w:tcPr>
            <w:tcW w:w="260" w:type="dxa"/>
            <w:vAlign w:val="bottom"/>
          </w:tcPr>
          <w:p>
            <w:pPr>
              <w:spacing w:after="0"/>
              <w:rPr>
                <w:sz w:val="14"/>
                <w:szCs w:val="14"/>
                <w:color w:val="auto"/>
              </w:rPr>
            </w:pPr>
          </w:p>
        </w:tc>
        <w:tc>
          <w:tcPr>
            <w:tcW w:w="860" w:type="dxa"/>
            <w:vAlign w:val="bottom"/>
          </w:tcPr>
          <w:p>
            <w:pPr>
              <w:jc w:val="center"/>
              <w:ind w:right="183"/>
              <w:spacing w:after="0" w:line="162" w:lineRule="exact"/>
              <w:rPr>
                <w:sz w:val="20"/>
                <w:szCs w:val="20"/>
                <w:color w:val="auto"/>
              </w:rPr>
            </w:pPr>
            <w:r>
              <w:rPr>
                <w:rFonts w:ascii="Arial" w:cs="Arial" w:eastAsia="Arial" w:hAnsi="Arial"/>
                <w:sz w:val="15"/>
                <w:szCs w:val="15"/>
                <w:color w:val="auto"/>
                <w:w w:val="92"/>
              </w:rPr>
              <w:t>Fair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88"/>
              </w:rPr>
              <w:t>less than 12</w:t>
            </w:r>
          </w:p>
        </w:tc>
        <w:tc>
          <w:tcPr>
            <w:tcW w:w="112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90"/>
              </w:rPr>
              <w:t>greater than 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2013</w:t>
            </w:r>
          </w:p>
        </w:tc>
        <w:tc>
          <w:tcPr>
            <w:tcW w:w="150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color w:val="auto"/>
              </w:rPr>
              <w:t>Amortized Cost</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1"/>
              </w:rPr>
              <w:t>Gains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84"/>
              </w:rPr>
              <w:t>Losses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83"/>
              <w:spacing w:after="0"/>
              <w:rPr>
                <w:sz w:val="20"/>
                <w:szCs w:val="20"/>
                <w:color w:val="auto"/>
              </w:rPr>
            </w:pPr>
            <w:r>
              <w:rPr>
                <w:rFonts w:ascii="Arial" w:cs="Arial" w:eastAsia="Arial" w:hAnsi="Arial"/>
                <w:sz w:val="15"/>
                <w:szCs w:val="15"/>
                <w:color w:val="auto"/>
                <w:w w:val="93"/>
              </w:rPr>
              <w:t>Value</w:t>
            </w: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5"/>
                <w:szCs w:val="15"/>
                <w:color w:val="auto"/>
                <w:w w:val="97"/>
              </w:rPr>
              <w:t>Months</w:t>
            </w:r>
          </w:p>
        </w:tc>
        <w:tc>
          <w:tcPr>
            <w:tcW w:w="980" w:type="dxa"/>
            <w:vAlign w:val="bottom"/>
            <w:tcBorders>
              <w:bottom w:val="single" w:sz="8" w:color="auto"/>
            </w:tcBorders>
          </w:tcPr>
          <w:p>
            <w:pPr>
              <w:jc w:val="center"/>
              <w:ind w:left="63"/>
              <w:spacing w:after="0"/>
              <w:rPr>
                <w:sz w:val="20"/>
                <w:szCs w:val="20"/>
                <w:color w:val="auto"/>
              </w:rPr>
            </w:pPr>
            <w:r>
              <w:rPr>
                <w:rFonts w:ascii="Arial" w:cs="Arial" w:eastAsia="Arial" w:hAnsi="Arial"/>
                <w:sz w:val="15"/>
                <w:szCs w:val="15"/>
                <w:color w:val="auto"/>
                <w:w w:val="97"/>
              </w:rPr>
              <w:t>Months</w:t>
            </w:r>
          </w:p>
        </w:tc>
        <w:tc>
          <w:tcPr>
            <w:tcW w:w="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line="149" w:lineRule="exact"/>
              <w:rPr>
                <w:sz w:val="20"/>
                <w:szCs w:val="20"/>
                <w:color w:val="auto"/>
              </w:rPr>
            </w:pPr>
            <w:r>
              <w:rPr>
                <w:rFonts w:ascii="Arial" w:cs="Arial" w:eastAsia="Arial" w:hAnsi="Arial"/>
                <w:sz w:val="15"/>
                <w:szCs w:val="15"/>
                <w:b w:val="1"/>
                <w:bCs w:val="1"/>
                <w:color w:val="auto"/>
              </w:rPr>
              <w:t>Held-to-Maturity</w:t>
            </w: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420" w:type="dxa"/>
            <w:vAlign w:val="bottom"/>
          </w:tcPr>
          <w:p>
            <w:pPr>
              <w:jc w:val="right"/>
              <w:ind w:right="203"/>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22,045</w:t>
            </w:r>
          </w:p>
        </w:tc>
        <w:tc>
          <w:tcPr>
            <w:tcW w:w="24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22,045</w:t>
            </w:r>
          </w:p>
        </w:tc>
        <w:tc>
          <w:tcPr>
            <w:tcW w:w="4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743"/>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Commercial paper</w:t>
            </w:r>
          </w:p>
        </w:tc>
        <w:tc>
          <w:tcPr>
            <w:tcW w:w="420" w:type="dxa"/>
            <w:vAlign w:val="bottom"/>
          </w:tcPr>
          <w:p>
            <w:pPr>
              <w:spacing w:after="0"/>
              <w:rPr>
                <w:sz w:val="14"/>
                <w:szCs w:val="14"/>
                <w:color w:val="auto"/>
              </w:rPr>
            </w:pP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5,991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5,991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367,819</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48</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367,867</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6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360"/>
              <w:spacing w:after="0" w:line="162"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203"/>
              <w:spacing w:after="0" w:line="16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395,855</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48</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395,903</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743"/>
              <w:spacing w:after="0" w:line="162"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jc w:val="right"/>
              <w:ind w:right="6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line="142" w:lineRule="exact"/>
              <w:rPr>
                <w:sz w:val="20"/>
                <w:szCs w:val="20"/>
                <w:color w:val="auto"/>
              </w:rPr>
            </w:pPr>
            <w:r>
              <w:rPr>
                <w:rFonts w:ascii="Arial" w:cs="Arial" w:eastAsia="Arial" w:hAnsi="Arial"/>
                <w:sz w:val="15"/>
                <w:szCs w:val="15"/>
                <w:b w:val="1"/>
                <w:bCs w:val="1"/>
                <w:color w:val="auto"/>
              </w:rPr>
              <w:t>Trading</w:t>
            </w: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3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6,392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9,792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360"/>
              <w:spacing w:after="0" w:line="162" w:lineRule="exact"/>
              <w:rPr>
                <w:sz w:val="20"/>
                <w:szCs w:val="20"/>
                <w:color w:val="auto"/>
              </w:rPr>
            </w:pPr>
            <w:r>
              <w:rPr>
                <w:rFonts w:ascii="Arial" w:cs="Arial" w:eastAsia="Arial" w:hAnsi="Arial"/>
                <w:sz w:val="15"/>
                <w:szCs w:val="15"/>
                <w:color w:val="auto"/>
              </w:rPr>
              <w:t>Total</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412,087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5"/>
                <w:szCs w:val="15"/>
                <w:color w:val="auto"/>
                <w:w w:val="94"/>
              </w:rPr>
              <w:t>Continuous</w:t>
            </w:r>
          </w:p>
        </w:tc>
        <w:tc>
          <w:tcPr>
            <w:tcW w:w="980" w:type="dxa"/>
            <w:vAlign w:val="bottom"/>
            <w:vMerge w:val="restart"/>
          </w:tcPr>
          <w:p>
            <w:pPr>
              <w:jc w:val="center"/>
              <w:ind w:left="63"/>
              <w:spacing w:after="0"/>
              <w:rPr>
                <w:sz w:val="20"/>
                <w:szCs w:val="20"/>
                <w:color w:val="auto"/>
              </w:rPr>
            </w:pPr>
            <w:r>
              <w:rPr>
                <w:rFonts w:ascii="Arial" w:cs="Arial" w:eastAsia="Arial" w:hAnsi="Arial"/>
                <w:sz w:val="15"/>
                <w:szCs w:val="15"/>
                <w:color w:val="auto"/>
                <w:w w:val="94"/>
              </w:rPr>
              <w:t>Continuous</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4"/>
              </w:rPr>
              <w:t>Unrealized</w:t>
            </w:r>
          </w:p>
        </w:tc>
        <w:tc>
          <w:tcPr>
            <w:tcW w:w="980" w:type="dxa"/>
            <w:vAlign w:val="bottom"/>
          </w:tcPr>
          <w:p>
            <w:pPr>
              <w:jc w:val="center"/>
              <w:ind w:left="63"/>
              <w:spacing w:after="0" w:line="162" w:lineRule="exact"/>
              <w:rPr>
                <w:sz w:val="20"/>
                <w:szCs w:val="20"/>
                <w:color w:val="auto"/>
              </w:rPr>
            </w:pPr>
            <w:r>
              <w:rPr>
                <w:rFonts w:ascii="Arial" w:cs="Arial" w:eastAsia="Arial" w:hAnsi="Arial"/>
                <w:sz w:val="15"/>
                <w:szCs w:val="15"/>
                <w:color w:val="auto"/>
                <w:w w:val="94"/>
              </w:rPr>
              <w:t>Unrealized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94"/>
              </w:rPr>
              <w:t>Unrealized</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94"/>
              </w:rPr>
              <w:t>Unrealized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220"/>
              <w:spacing w:after="0" w:line="162" w:lineRule="exact"/>
              <w:rPr>
                <w:sz w:val="20"/>
                <w:szCs w:val="20"/>
                <w:color w:val="auto"/>
              </w:rPr>
            </w:pPr>
            <w:r>
              <w:rPr>
                <w:rFonts w:ascii="Arial" w:cs="Arial" w:eastAsia="Arial" w:hAnsi="Arial"/>
                <w:sz w:val="15"/>
                <w:szCs w:val="15"/>
                <w:color w:val="auto"/>
                <w:w w:val="94"/>
              </w:rPr>
              <w:t>Loss Position</w:t>
            </w:r>
          </w:p>
        </w:tc>
        <w:tc>
          <w:tcPr>
            <w:tcW w:w="980" w:type="dxa"/>
            <w:vAlign w:val="bottom"/>
          </w:tcPr>
          <w:p>
            <w:pPr>
              <w:jc w:val="center"/>
              <w:ind w:left="63"/>
              <w:spacing w:after="0" w:line="162" w:lineRule="exact"/>
              <w:rPr>
                <w:sz w:val="20"/>
                <w:szCs w:val="20"/>
                <w:color w:val="auto"/>
              </w:rPr>
            </w:pPr>
            <w:r>
              <w:rPr>
                <w:rFonts w:ascii="Arial" w:cs="Arial" w:eastAsia="Arial" w:hAnsi="Arial"/>
                <w:sz w:val="15"/>
                <w:szCs w:val="15"/>
                <w:color w:val="auto"/>
                <w:w w:val="94"/>
              </w:rPr>
              <w:t>Loss Position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0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8"/>
              </w:rPr>
              <w:t>Holding</w:t>
            </w:r>
          </w:p>
        </w:tc>
        <w:tc>
          <w:tcPr>
            <w:tcW w:w="260" w:type="dxa"/>
            <w:vAlign w:val="bottom"/>
          </w:tcPr>
          <w:p>
            <w:pPr>
              <w:spacing w:after="0"/>
              <w:rPr>
                <w:sz w:val="14"/>
                <w:szCs w:val="14"/>
                <w:color w:val="auto"/>
              </w:rPr>
            </w:pPr>
          </w:p>
        </w:tc>
        <w:tc>
          <w:tcPr>
            <w:tcW w:w="860" w:type="dxa"/>
            <w:vAlign w:val="bottom"/>
          </w:tcPr>
          <w:p>
            <w:pPr>
              <w:jc w:val="center"/>
              <w:ind w:right="183"/>
              <w:spacing w:after="0" w:line="162" w:lineRule="exact"/>
              <w:rPr>
                <w:sz w:val="20"/>
                <w:szCs w:val="20"/>
                <w:color w:val="auto"/>
              </w:rPr>
            </w:pPr>
            <w:r>
              <w:rPr>
                <w:rFonts w:ascii="Arial" w:cs="Arial" w:eastAsia="Arial" w:hAnsi="Arial"/>
                <w:sz w:val="15"/>
                <w:szCs w:val="15"/>
                <w:color w:val="auto"/>
                <w:w w:val="92"/>
              </w:rPr>
              <w:t>Fair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88"/>
              </w:rPr>
              <w:t>less than 12</w:t>
            </w:r>
          </w:p>
        </w:tc>
        <w:tc>
          <w:tcPr>
            <w:tcW w:w="112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90"/>
              </w:rPr>
              <w:t>greater than 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2012</w:t>
            </w:r>
          </w:p>
        </w:tc>
        <w:tc>
          <w:tcPr>
            <w:tcW w:w="150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color w:val="auto"/>
              </w:rPr>
              <w:t>Amortized Cost</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1"/>
              </w:rPr>
              <w:t>Gains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84"/>
              </w:rPr>
              <w:t>Losses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83"/>
              <w:spacing w:after="0"/>
              <w:rPr>
                <w:sz w:val="20"/>
                <w:szCs w:val="20"/>
                <w:color w:val="auto"/>
              </w:rPr>
            </w:pPr>
            <w:r>
              <w:rPr>
                <w:rFonts w:ascii="Arial" w:cs="Arial" w:eastAsia="Arial" w:hAnsi="Arial"/>
                <w:sz w:val="15"/>
                <w:szCs w:val="15"/>
                <w:color w:val="auto"/>
                <w:w w:val="93"/>
              </w:rPr>
              <w:t>Value</w:t>
            </w: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5"/>
                <w:szCs w:val="15"/>
                <w:color w:val="auto"/>
                <w:w w:val="97"/>
              </w:rPr>
              <w:t>Months</w:t>
            </w:r>
          </w:p>
        </w:tc>
        <w:tc>
          <w:tcPr>
            <w:tcW w:w="980" w:type="dxa"/>
            <w:vAlign w:val="bottom"/>
            <w:tcBorders>
              <w:bottom w:val="single" w:sz="8" w:color="auto"/>
            </w:tcBorders>
          </w:tcPr>
          <w:p>
            <w:pPr>
              <w:jc w:val="center"/>
              <w:ind w:left="63"/>
              <w:spacing w:after="0"/>
              <w:rPr>
                <w:sz w:val="20"/>
                <w:szCs w:val="20"/>
                <w:color w:val="auto"/>
              </w:rPr>
            </w:pPr>
            <w:r>
              <w:rPr>
                <w:rFonts w:ascii="Arial" w:cs="Arial" w:eastAsia="Arial" w:hAnsi="Arial"/>
                <w:sz w:val="15"/>
                <w:szCs w:val="15"/>
                <w:color w:val="auto"/>
                <w:w w:val="97"/>
              </w:rPr>
              <w:t>Months</w:t>
            </w: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line="149" w:lineRule="exact"/>
              <w:rPr>
                <w:sz w:val="20"/>
                <w:szCs w:val="20"/>
                <w:color w:val="auto"/>
              </w:rPr>
            </w:pPr>
            <w:r>
              <w:rPr>
                <w:rFonts w:ascii="Arial" w:cs="Arial" w:eastAsia="Arial" w:hAnsi="Arial"/>
                <w:sz w:val="15"/>
                <w:szCs w:val="15"/>
                <w:b w:val="1"/>
                <w:bCs w:val="1"/>
                <w:color w:val="auto"/>
              </w:rPr>
              <w:t>Held-to-Maturity</w:t>
            </w: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U.S. Treasuries</w:t>
            </w:r>
          </w:p>
        </w:tc>
        <w:tc>
          <w:tcPr>
            <w:tcW w:w="420" w:type="dxa"/>
            <w:vAlign w:val="bottom"/>
          </w:tcPr>
          <w:p>
            <w:pPr>
              <w:jc w:val="right"/>
              <w:ind w:right="203"/>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16,040</w:t>
            </w:r>
          </w:p>
        </w:tc>
        <w:tc>
          <w:tcPr>
            <w:tcW w:w="24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16,040</w:t>
            </w:r>
          </w:p>
        </w:tc>
        <w:tc>
          <w:tcPr>
            <w:tcW w:w="4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743"/>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420" w:type="dxa"/>
            <w:vAlign w:val="bottom"/>
          </w:tcPr>
          <w:p>
            <w:pPr>
              <w:spacing w:after="0"/>
              <w:rPr>
                <w:sz w:val="14"/>
                <w:szCs w:val="14"/>
                <w:color w:val="auto"/>
              </w:rPr>
            </w:pP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2,201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2,201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180"/>
              <w:spacing w:after="0" w:line="158" w:lineRule="exact"/>
              <w:rPr>
                <w:sz w:val="20"/>
                <w:szCs w:val="20"/>
                <w:color w:val="auto"/>
              </w:rPr>
            </w:pPr>
            <w:r>
              <w:rPr>
                <w:rFonts w:ascii="Arial" w:cs="Arial" w:eastAsia="Arial" w:hAnsi="Arial"/>
                <w:sz w:val="15"/>
                <w:szCs w:val="15"/>
                <w:color w:val="auto"/>
              </w:rPr>
              <w:t>Municipal securities</w:t>
            </w:r>
          </w:p>
        </w:tc>
        <w:tc>
          <w:tcPr>
            <w:tcW w:w="420" w:type="dxa"/>
            <w:vAlign w:val="bottom"/>
          </w:tcPr>
          <w:p>
            <w:pPr>
              <w:spacing w:after="0"/>
              <w:rPr>
                <w:sz w:val="13"/>
                <w:szCs w:val="13"/>
                <w:color w:val="auto"/>
              </w:rPr>
            </w:pPr>
          </w:p>
        </w:tc>
        <w:tc>
          <w:tcPr>
            <w:tcW w:w="840" w:type="dxa"/>
            <w:vAlign w:val="bottom"/>
          </w:tcPr>
          <w:p>
            <w:pPr>
              <w:jc w:val="right"/>
              <w:ind w:right="3"/>
              <w:spacing w:after="0" w:line="158" w:lineRule="exact"/>
              <w:rPr>
                <w:sz w:val="20"/>
                <w:szCs w:val="20"/>
                <w:color w:val="auto"/>
              </w:rPr>
            </w:pPr>
            <w:r>
              <w:rPr>
                <w:rFonts w:ascii="Arial" w:cs="Arial" w:eastAsia="Arial" w:hAnsi="Arial"/>
                <w:sz w:val="15"/>
                <w:szCs w:val="15"/>
                <w:color w:val="auto"/>
              </w:rPr>
              <w:t>77,038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3"/>
              <w:spacing w:after="0" w:line="158"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3"/>
              <w:spacing w:after="0" w:line="158" w:lineRule="exact"/>
              <w:rPr>
                <w:sz w:val="20"/>
                <w:szCs w:val="20"/>
                <w:color w:val="auto"/>
              </w:rPr>
            </w:pPr>
            <w:r>
              <w:rPr>
                <w:rFonts w:ascii="Arial" w:cs="Arial" w:eastAsia="Arial" w:hAnsi="Arial"/>
                <w:sz w:val="15"/>
                <w:szCs w:val="15"/>
                <w:color w:val="auto"/>
              </w:rPr>
              <w:t>11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
              <w:spacing w:after="0" w:line="158" w:lineRule="exact"/>
              <w:rPr>
                <w:sz w:val="20"/>
                <w:szCs w:val="20"/>
                <w:color w:val="auto"/>
              </w:rPr>
            </w:pPr>
            <w:r>
              <w:rPr>
                <w:rFonts w:ascii="Arial" w:cs="Arial" w:eastAsia="Arial" w:hAnsi="Arial"/>
                <w:sz w:val="15"/>
                <w:szCs w:val="15"/>
                <w:color w:val="auto"/>
              </w:rPr>
              <w:t>77,027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3"/>
              <w:spacing w:after="0" w:line="158" w:lineRule="exact"/>
              <w:rPr>
                <w:sz w:val="20"/>
                <w:szCs w:val="20"/>
                <w:color w:val="auto"/>
              </w:rPr>
            </w:pPr>
            <w:r>
              <w:rPr>
                <w:rFonts w:ascii="Arial" w:cs="Arial" w:eastAsia="Arial" w:hAnsi="Arial"/>
                <w:sz w:val="15"/>
                <w:szCs w:val="15"/>
                <w:color w:val="auto"/>
              </w:rPr>
              <w:t>11</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line="167" w:lineRule="exact"/>
              <w:rPr>
                <w:sz w:val="20"/>
                <w:szCs w:val="20"/>
                <w:color w:val="auto"/>
              </w:rPr>
            </w:pPr>
            <w:r>
              <w:rPr>
                <w:rFonts w:ascii="Arial" w:cs="Arial" w:eastAsia="Arial" w:hAnsi="Arial"/>
                <w:sz w:val="15"/>
                <w:szCs w:val="15"/>
                <w:b w:val="1"/>
                <w:bCs w:val="1"/>
                <w:color w:val="auto"/>
              </w:rPr>
              <w:t>Available-for-sale</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3,310</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2,483</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5,793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6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360"/>
              <w:spacing w:after="0" w:line="162"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203"/>
              <w:spacing w:after="0" w:line="16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98,589</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2,483</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11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101,061</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11</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743"/>
              <w:spacing w:after="0" w:line="162"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jc w:val="right"/>
              <w:ind w:right="62"/>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line="142" w:lineRule="exact"/>
              <w:rPr>
                <w:sz w:val="20"/>
                <w:szCs w:val="20"/>
                <w:color w:val="auto"/>
              </w:rPr>
            </w:pPr>
            <w:r>
              <w:rPr>
                <w:rFonts w:ascii="Arial" w:cs="Arial" w:eastAsia="Arial" w:hAnsi="Arial"/>
                <w:sz w:val="15"/>
                <w:szCs w:val="15"/>
                <w:b w:val="1"/>
                <w:bCs w:val="1"/>
                <w:color w:val="auto"/>
              </w:rPr>
              <w:t>Trading</w:t>
            </w: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3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1,763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15,600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360"/>
              <w:spacing w:after="0" w:line="162" w:lineRule="exact"/>
              <w:rPr>
                <w:sz w:val="20"/>
                <w:szCs w:val="20"/>
                <w:color w:val="auto"/>
              </w:rPr>
            </w:pPr>
            <w:r>
              <w:rPr>
                <w:rFonts w:ascii="Arial" w:cs="Arial" w:eastAsia="Arial" w:hAnsi="Arial"/>
                <w:sz w:val="15"/>
                <w:szCs w:val="15"/>
                <w:color w:val="auto"/>
              </w:rPr>
              <w:t>Total</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118,424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During the year ended December 31, 2013, the Company recognized $2.5 million of realized gains on the sale of available-for-sale investments. Realized gains or losses on the sale of all other investments during the year ended December 31, 2013 were not significant. During the years ended December 31, 2012 and 2011, realized gains or losses recognized on the sale of investments were not significant.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9"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a net gain (loss) through earnings on its trading securities as follows for the years ended:</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5460" w:type="dxa"/>
            <w:vAlign w:val="bottom"/>
            <w:vMerge w:val="restart"/>
          </w:tcPr>
          <w:p>
            <w:pPr>
              <w:spacing w:after="0"/>
              <w:rPr>
                <w:sz w:val="20"/>
                <w:szCs w:val="20"/>
                <w:color w:val="auto"/>
              </w:rPr>
            </w:pPr>
            <w:r>
              <w:rPr>
                <w:rFonts w:ascii="Arial" w:cs="Arial" w:eastAsia="Arial" w:hAnsi="Arial"/>
                <w:sz w:val="20"/>
                <w:szCs w:val="20"/>
                <w:color w:val="auto"/>
              </w:rPr>
              <w:t>(Loss) on transfer from available-for-sale to trading</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2013</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2012</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2011</w:t>
            </w:r>
          </w:p>
        </w:tc>
        <w:tc>
          <w:tcPr>
            <w:tcW w:w="0" w:type="dxa"/>
            <w:vAlign w:val="bottom"/>
          </w:tcPr>
          <w:p>
            <w:pPr>
              <w:spacing w:after="0"/>
              <w:rPr>
                <w:sz w:val="1"/>
                <w:szCs w:val="1"/>
                <w:color w:val="auto"/>
              </w:rPr>
            </w:pPr>
          </w:p>
        </w:tc>
      </w:tr>
      <w:tr>
        <w:trPr>
          <w:trHeight w:val="206"/>
        </w:trPr>
        <w:tc>
          <w:tcPr>
            <w:tcW w:w="5460" w:type="dxa"/>
            <w:vAlign w:val="bottom"/>
            <w:vMerge w:val="continue"/>
          </w:tcPr>
          <w:p>
            <w:pPr>
              <w:spacing w:after="0"/>
              <w:rPr>
                <w:sz w:val="17"/>
                <w:szCs w:val="17"/>
                <w:color w:val="auto"/>
              </w:rPr>
            </w:pPr>
          </w:p>
        </w:tc>
        <w:tc>
          <w:tcPr>
            <w:tcW w:w="34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300" w:type="dxa"/>
            <w:vAlign w:val="bottom"/>
          </w:tcPr>
          <w:p>
            <w:pPr>
              <w:spacing w:after="0"/>
              <w:rPr>
                <w:sz w:val="17"/>
                <w:szCs w:val="17"/>
                <w:color w:val="auto"/>
              </w:rPr>
            </w:pPr>
          </w:p>
        </w:tc>
        <w:tc>
          <w:tcPr>
            <w:tcW w:w="3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07" w:lineRule="exact"/>
              <w:rPr>
                <w:sz w:val="20"/>
                <w:szCs w:val="20"/>
                <w:color w:val="auto"/>
              </w:rPr>
            </w:pPr>
            <w:r>
              <w:rPr>
                <w:rFonts w:ascii="Arial" w:cs="Arial" w:eastAsia="Arial" w:hAnsi="Arial"/>
                <w:sz w:val="20"/>
                <w:szCs w:val="20"/>
                <w:color w:val="auto"/>
              </w:rPr>
              <w:t>(2,438)</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20"/>
                <w:szCs w:val="20"/>
                <w:color w:val="auto"/>
              </w:rPr>
              <w:t>Gain on trading securities sold</w:t>
            </w: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255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1,130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2,604</w:t>
            </w:r>
          </w:p>
        </w:tc>
        <w:tc>
          <w:tcPr>
            <w:tcW w:w="0" w:type="dxa"/>
            <w:vAlign w:val="bottom"/>
          </w:tcPr>
          <w:p>
            <w:pPr>
              <w:spacing w:after="0"/>
              <w:rPr>
                <w:sz w:val="1"/>
                <w:szCs w:val="1"/>
                <w:color w:val="auto"/>
              </w:rPr>
            </w:pPr>
          </w:p>
        </w:tc>
      </w:tr>
      <w:tr>
        <w:trPr>
          <w:trHeight w:val="240"/>
        </w:trPr>
        <w:tc>
          <w:tcPr>
            <w:tcW w:w="5460" w:type="dxa"/>
            <w:vAlign w:val="bottom"/>
          </w:tcPr>
          <w:p>
            <w:pPr>
              <w:spacing w:after="0"/>
              <w:rPr>
                <w:sz w:val="20"/>
                <w:szCs w:val="20"/>
                <w:color w:val="auto"/>
              </w:rPr>
            </w:pPr>
            <w:r>
              <w:rPr>
                <w:rFonts w:ascii="Arial" w:cs="Arial" w:eastAsia="Arial" w:hAnsi="Arial"/>
                <w:sz w:val="20"/>
                <w:szCs w:val="20"/>
                <w:color w:val="auto"/>
              </w:rPr>
              <w:t>Gain (loss) on trading securities held</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816</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753</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(210)</w:t>
            </w:r>
          </w:p>
        </w:tc>
        <w:tc>
          <w:tcPr>
            <w:tcW w:w="0" w:type="dxa"/>
            <w:vAlign w:val="bottom"/>
          </w:tcPr>
          <w:p>
            <w:pPr>
              <w:spacing w:after="0"/>
              <w:rPr>
                <w:sz w:val="1"/>
                <w:szCs w:val="1"/>
                <w:color w:val="auto"/>
              </w:rPr>
            </w:pPr>
          </w:p>
        </w:tc>
      </w:tr>
      <w:tr>
        <w:trPr>
          <w:trHeight w:val="230"/>
        </w:trPr>
        <w:tc>
          <w:tcPr>
            <w:tcW w:w="5460" w:type="dxa"/>
            <w:vAlign w:val="bottom"/>
          </w:tcPr>
          <w:p>
            <w:pPr>
              <w:spacing w:after="0" w:line="220" w:lineRule="exact"/>
              <w:rPr>
                <w:sz w:val="20"/>
                <w:szCs w:val="20"/>
                <w:color w:val="auto"/>
              </w:rPr>
            </w:pPr>
            <w:r>
              <w:rPr>
                <w:rFonts w:ascii="Arial" w:cs="Arial" w:eastAsia="Arial" w:hAnsi="Arial"/>
                <w:sz w:val="20"/>
                <w:szCs w:val="20"/>
                <w:color w:val="auto"/>
              </w:rPr>
              <w:t>Gain (loss) on trading securites</w:t>
            </w:r>
          </w:p>
        </w:tc>
        <w:tc>
          <w:tcPr>
            <w:tcW w:w="3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1,071</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1,883</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Company’s investments at December 31, 2013 and 2012 in U.S. Treasuries, certificates of deposit, commercial paper and/or municipal securities carried investment grade credit ratings. All of the Company’s investments at December 31, 2013 in municipal, educational or other public body securities with an auction reset feature (“auction rate securities”) also carried investment grade credit ratings. A portion of the Company’s investments at December 31, 2012 in auction rate securities carried investment grade credit ratings.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785"/>
              <w:spacing w:after="0"/>
              <w:rPr>
                <w:sz w:val="20"/>
                <w:szCs w:val="20"/>
                <w:color w:val="auto"/>
              </w:rPr>
            </w:pPr>
            <w:r>
              <w:rPr>
                <w:rFonts w:ascii="Arial" w:cs="Arial" w:eastAsia="Arial" w:hAnsi="Arial"/>
                <w:sz w:val="19"/>
                <w:szCs w:val="19"/>
                <w:color w:val="auto"/>
              </w:rPr>
              <w:t>December 31, 2013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85"/>
              <w:spacing w:after="0"/>
              <w:rPr>
                <w:sz w:val="20"/>
                <w:szCs w:val="20"/>
                <w:color w:val="auto"/>
              </w:rPr>
            </w:pPr>
            <w:r>
              <w:rPr>
                <w:rFonts w:ascii="Arial" w:cs="Arial" w:eastAsia="Arial" w:hAnsi="Arial"/>
                <w:sz w:val="19"/>
                <w:szCs w:val="19"/>
                <w:color w:val="auto"/>
              </w:rPr>
              <w:t>December 31, 2012</w:t>
            </w:r>
          </w:p>
        </w:tc>
        <w:tc>
          <w:tcPr>
            <w:tcW w:w="0" w:type="dxa"/>
            <w:vAlign w:val="bottom"/>
          </w:tcPr>
          <w:p>
            <w:pPr>
              <w:spacing w:after="0"/>
              <w:rPr>
                <w:sz w:val="1"/>
                <w:szCs w:val="1"/>
                <w:color w:val="auto"/>
              </w:rPr>
            </w:pPr>
          </w:p>
        </w:tc>
      </w:tr>
      <w:tr>
        <w:trPr>
          <w:trHeight w:val="426"/>
        </w:trPr>
        <w:tc>
          <w:tcPr>
            <w:tcW w:w="448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18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9"/>
                <w:szCs w:val="19"/>
                <w:color w:val="auto"/>
              </w:rPr>
              <w:t>Amortized Cost</w:t>
            </w:r>
          </w:p>
        </w:tc>
        <w:tc>
          <w:tcPr>
            <w:tcW w:w="24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9"/>
                <w:szCs w:val="19"/>
                <w:color w:val="auto"/>
              </w:rPr>
              <w:t>Fair Value</w:t>
            </w:r>
          </w:p>
        </w:tc>
        <w:tc>
          <w:tcPr>
            <w:tcW w:w="18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9"/>
                <w:szCs w:val="19"/>
                <w:color w:val="auto"/>
              </w:rPr>
              <w:t>Amortized Cost</w:t>
            </w:r>
          </w:p>
        </w:tc>
        <w:tc>
          <w:tcPr>
            <w:tcW w:w="24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Arial" w:cs="Arial" w:eastAsia="Arial" w:hAnsi="Arial"/>
                <w:sz w:val="19"/>
                <w:szCs w:val="19"/>
                <w:color w:val="auto"/>
                <w:w w:val="94"/>
              </w:rPr>
              <w:t>Fair Value</w:t>
            </w:r>
          </w:p>
        </w:tc>
        <w:tc>
          <w:tcPr>
            <w:tcW w:w="0" w:type="dxa"/>
            <w:vAlign w:val="bottom"/>
          </w:tcPr>
          <w:p>
            <w:pPr>
              <w:spacing w:after="0"/>
              <w:rPr>
                <w:sz w:val="1"/>
                <w:szCs w:val="1"/>
                <w:color w:val="auto"/>
              </w:rPr>
            </w:pPr>
          </w:p>
        </w:tc>
      </w:tr>
      <w:tr>
        <w:trPr>
          <w:trHeight w:val="174"/>
        </w:trPr>
        <w:tc>
          <w:tcPr>
            <w:tcW w:w="4480" w:type="dxa"/>
            <w:vAlign w:val="bottom"/>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20"/>
              <w:spacing w:after="0" w:line="216" w:lineRule="exact"/>
              <w:rPr>
                <w:sz w:val="20"/>
                <w:szCs w:val="20"/>
                <w:color w:val="auto"/>
              </w:rPr>
            </w:pPr>
            <w:r>
              <w:rPr>
                <w:rFonts w:ascii="Arial" w:cs="Arial" w:eastAsia="Arial" w:hAnsi="Arial"/>
                <w:sz w:val="19"/>
                <w:szCs w:val="19"/>
                <w:color w:val="auto"/>
              </w:rPr>
              <w:t>U.S. Treasuries</w:t>
            </w:r>
          </w:p>
        </w:tc>
        <w:tc>
          <w:tcPr>
            <w:tcW w:w="1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4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2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1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420" w:type="dxa"/>
            <w:vAlign w:val="bottom"/>
          </w:tcPr>
          <w:p>
            <w:pPr>
              <w:jc w:val="right"/>
              <w:ind w:right="5"/>
              <w:spacing w:after="0" w:line="216" w:lineRule="exact"/>
              <w:rPr>
                <w:sz w:val="20"/>
                <w:szCs w:val="20"/>
                <w:color w:val="auto"/>
              </w:rPr>
            </w:pPr>
            <w:r>
              <w:rPr>
                <w:rFonts w:ascii="Arial" w:cs="Arial" w:eastAsia="Arial" w:hAnsi="Arial"/>
                <w:sz w:val="19"/>
                <w:szCs w:val="19"/>
                <w:color w:val="auto"/>
              </w:rPr>
              <w:t>16,040</w:t>
            </w:r>
          </w:p>
        </w:tc>
        <w:tc>
          <w:tcPr>
            <w:tcW w:w="28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16,040</w:t>
            </w:r>
          </w:p>
        </w:tc>
        <w:tc>
          <w:tcPr>
            <w:tcW w:w="0" w:type="dxa"/>
            <w:vAlign w:val="bottom"/>
          </w:tcPr>
          <w:p>
            <w:pPr>
              <w:spacing w:after="0"/>
              <w:rPr>
                <w:sz w:val="1"/>
                <w:szCs w:val="1"/>
                <w:color w:val="auto"/>
              </w:rPr>
            </w:pPr>
          </w:p>
        </w:tc>
      </w:tr>
      <w:tr>
        <w:trPr>
          <w:trHeight w:val="216"/>
        </w:trPr>
        <w:tc>
          <w:tcPr>
            <w:tcW w:w="4480" w:type="dxa"/>
            <w:vAlign w:val="bottom"/>
          </w:tcPr>
          <w:p>
            <w:pPr>
              <w:ind w:left="320"/>
              <w:spacing w:after="0" w:line="216" w:lineRule="exact"/>
              <w:rPr>
                <w:sz w:val="20"/>
                <w:szCs w:val="20"/>
                <w:color w:val="auto"/>
              </w:rPr>
            </w:pPr>
            <w:r>
              <w:rPr>
                <w:rFonts w:ascii="Arial" w:cs="Arial" w:eastAsia="Arial" w:hAnsi="Arial"/>
                <w:sz w:val="19"/>
                <w:szCs w:val="19"/>
                <w:color w:val="auto"/>
              </w:rPr>
              <w:t>Certificates of deposit</w:t>
            </w:r>
          </w:p>
        </w:tc>
        <w:tc>
          <w:tcPr>
            <w:tcW w:w="180" w:type="dxa"/>
            <w:vAlign w:val="bottom"/>
          </w:tcPr>
          <w:p>
            <w:pPr>
              <w:spacing w:after="0"/>
              <w:rPr>
                <w:sz w:val="18"/>
                <w:szCs w:val="18"/>
                <w:color w:val="auto"/>
              </w:rPr>
            </w:pPr>
          </w:p>
        </w:tc>
        <w:tc>
          <w:tcPr>
            <w:tcW w:w="1400" w:type="dxa"/>
            <w:vAlign w:val="bottom"/>
          </w:tcPr>
          <w:p>
            <w:pPr>
              <w:jc w:val="right"/>
              <w:ind w:right="5"/>
              <w:spacing w:after="0" w:line="216" w:lineRule="exact"/>
              <w:rPr>
                <w:sz w:val="20"/>
                <w:szCs w:val="20"/>
                <w:color w:val="auto"/>
              </w:rPr>
            </w:pPr>
            <w:r>
              <w:rPr>
                <w:rFonts w:ascii="Arial" w:cs="Arial" w:eastAsia="Arial" w:hAnsi="Arial"/>
                <w:sz w:val="19"/>
                <w:szCs w:val="19"/>
                <w:color w:val="auto"/>
              </w:rPr>
              <w:t>22,045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
              <w:spacing w:after="0" w:line="216" w:lineRule="exact"/>
              <w:rPr>
                <w:sz w:val="20"/>
                <w:szCs w:val="20"/>
                <w:color w:val="auto"/>
              </w:rPr>
            </w:pPr>
            <w:r>
              <w:rPr>
                <w:rFonts w:ascii="Arial" w:cs="Arial" w:eastAsia="Arial" w:hAnsi="Arial"/>
                <w:sz w:val="19"/>
                <w:szCs w:val="19"/>
                <w:color w:val="auto"/>
              </w:rPr>
              <w:t>22,045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5"/>
              <w:spacing w:after="0" w:line="216" w:lineRule="exact"/>
              <w:rPr>
                <w:sz w:val="20"/>
                <w:szCs w:val="20"/>
                <w:color w:val="auto"/>
              </w:rPr>
            </w:pPr>
            <w:r>
              <w:rPr>
                <w:rFonts w:ascii="Arial" w:cs="Arial" w:eastAsia="Arial" w:hAnsi="Arial"/>
                <w:sz w:val="19"/>
                <w:szCs w:val="19"/>
                <w:color w:val="auto"/>
              </w:rPr>
              <w:t>2,201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2,201</w:t>
            </w:r>
          </w:p>
        </w:tc>
        <w:tc>
          <w:tcPr>
            <w:tcW w:w="0" w:type="dxa"/>
            <w:vAlign w:val="bottom"/>
          </w:tcPr>
          <w:p>
            <w:pPr>
              <w:spacing w:after="0"/>
              <w:rPr>
                <w:sz w:val="1"/>
                <w:szCs w:val="1"/>
                <w:color w:val="auto"/>
              </w:rPr>
            </w:pPr>
          </w:p>
        </w:tc>
      </w:tr>
      <w:tr>
        <w:trPr>
          <w:trHeight w:val="240"/>
        </w:trPr>
        <w:tc>
          <w:tcPr>
            <w:tcW w:w="4480" w:type="dxa"/>
            <w:vAlign w:val="bottom"/>
          </w:tcPr>
          <w:p>
            <w:pPr>
              <w:ind w:left="320"/>
              <w:spacing w:after="0"/>
              <w:rPr>
                <w:sz w:val="20"/>
                <w:szCs w:val="20"/>
                <w:color w:val="auto"/>
              </w:rPr>
            </w:pPr>
            <w:r>
              <w:rPr>
                <w:rFonts w:ascii="Arial" w:cs="Arial" w:eastAsia="Arial" w:hAnsi="Arial"/>
                <w:sz w:val="19"/>
                <w:szCs w:val="19"/>
                <w:color w:val="auto"/>
              </w:rPr>
              <w:t>Commercial paper</w:t>
            </w:r>
          </w:p>
        </w:tc>
        <w:tc>
          <w:tcPr>
            <w:tcW w:w="180" w:type="dxa"/>
            <w:vAlign w:val="bottom"/>
          </w:tcPr>
          <w:p>
            <w:pPr>
              <w:spacing w:after="0"/>
              <w:rPr>
                <w:sz w:val="20"/>
                <w:szCs w:val="20"/>
                <w:color w:val="auto"/>
              </w:rPr>
            </w:pPr>
          </w:p>
        </w:tc>
        <w:tc>
          <w:tcPr>
            <w:tcW w:w="1400" w:type="dxa"/>
            <w:vAlign w:val="bottom"/>
          </w:tcPr>
          <w:p>
            <w:pPr>
              <w:jc w:val="right"/>
              <w:ind w:right="5"/>
              <w:spacing w:after="0"/>
              <w:rPr>
                <w:sz w:val="20"/>
                <w:szCs w:val="20"/>
                <w:color w:val="auto"/>
              </w:rPr>
            </w:pPr>
            <w:r>
              <w:rPr>
                <w:rFonts w:ascii="Arial" w:cs="Arial" w:eastAsia="Arial" w:hAnsi="Arial"/>
                <w:sz w:val="19"/>
                <w:szCs w:val="19"/>
                <w:color w:val="auto"/>
              </w:rPr>
              <w:t>5,991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5"/>
              <w:spacing w:after="0"/>
              <w:rPr>
                <w:sz w:val="20"/>
                <w:szCs w:val="20"/>
                <w:color w:val="auto"/>
              </w:rPr>
            </w:pPr>
            <w:r>
              <w:rPr>
                <w:rFonts w:ascii="Arial" w:cs="Arial" w:eastAsia="Arial" w:hAnsi="Arial"/>
                <w:sz w:val="19"/>
                <w:szCs w:val="19"/>
                <w:color w:val="auto"/>
              </w:rPr>
              <w:t>5,991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ectPr>
          <w:pgSz w:w="11900" w:h="16899" w:orient="portrait"/>
          <w:cols w:equalWidth="0" w:num="1">
            <w:col w:w="11420"/>
          </w:cols>
          <w:pgMar w:left="240" w:top="112" w:right="239" w:bottom="0" w:gutter="0" w:footer="0" w:header="0"/>
        </w:sectPr>
      </w:pPr>
    </w:p>
    <w:bookmarkStart w:id="53" w:name="page54"/>
    <w:bookmarkEnd w:id="5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4480" w:type="dxa"/>
            <w:vAlign w:val="bottom"/>
          </w:tcPr>
          <w:p>
            <w:pPr>
              <w:ind w:left="320"/>
              <w:spacing w:after="0"/>
              <w:rPr>
                <w:sz w:val="20"/>
                <w:szCs w:val="20"/>
                <w:color w:val="auto"/>
              </w:rPr>
            </w:pPr>
            <w:r>
              <w:rPr>
                <w:rFonts w:ascii="Arial" w:cs="Arial" w:eastAsia="Arial" w:hAnsi="Arial"/>
                <w:sz w:val="19"/>
                <w:szCs w:val="19"/>
                <w:color w:val="auto"/>
              </w:rPr>
              <w:t>Municipal securities</w:t>
            </w:r>
          </w:p>
        </w:tc>
        <w:tc>
          <w:tcPr>
            <w:tcW w:w="520" w:type="dxa"/>
            <w:vAlign w:val="bottom"/>
          </w:tcPr>
          <w:p>
            <w:pPr>
              <w:spacing w:after="0"/>
              <w:rPr>
                <w:sz w:val="18"/>
                <w:szCs w:val="18"/>
                <w:color w:val="auto"/>
              </w:rPr>
            </w:pPr>
          </w:p>
        </w:tc>
        <w:tc>
          <w:tcPr>
            <w:tcW w:w="1060" w:type="dxa"/>
            <w:vAlign w:val="bottom"/>
          </w:tcPr>
          <w:p>
            <w:pPr>
              <w:jc w:val="right"/>
              <w:ind w:right="5"/>
              <w:spacing w:after="0"/>
              <w:rPr>
                <w:sz w:val="20"/>
                <w:szCs w:val="20"/>
                <w:color w:val="auto"/>
              </w:rPr>
            </w:pPr>
            <w:r>
              <w:rPr>
                <w:rFonts w:ascii="Arial" w:cs="Arial" w:eastAsia="Arial" w:hAnsi="Arial"/>
                <w:sz w:val="19"/>
                <w:szCs w:val="19"/>
                <w:color w:val="auto"/>
              </w:rPr>
              <w:t>367,819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5"/>
              <w:spacing w:after="0"/>
              <w:rPr>
                <w:sz w:val="20"/>
                <w:szCs w:val="20"/>
                <w:color w:val="auto"/>
              </w:rPr>
            </w:pPr>
            <w:r>
              <w:rPr>
                <w:rFonts w:ascii="Arial" w:cs="Arial" w:eastAsia="Arial" w:hAnsi="Arial"/>
                <w:sz w:val="19"/>
                <w:szCs w:val="19"/>
                <w:color w:val="auto"/>
              </w:rPr>
              <w:t>367,867</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5"/>
              <w:spacing w:after="0"/>
              <w:rPr>
                <w:sz w:val="20"/>
                <w:szCs w:val="20"/>
                <w:color w:val="auto"/>
              </w:rPr>
            </w:pPr>
            <w:r>
              <w:rPr>
                <w:rFonts w:ascii="Arial" w:cs="Arial" w:eastAsia="Arial" w:hAnsi="Arial"/>
                <w:sz w:val="19"/>
                <w:szCs w:val="19"/>
                <w:color w:val="auto"/>
              </w:rPr>
              <w:t>77,038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25"/>
              <w:spacing w:after="0"/>
              <w:rPr>
                <w:sz w:val="20"/>
                <w:szCs w:val="20"/>
                <w:color w:val="auto"/>
              </w:rPr>
            </w:pPr>
            <w:r>
              <w:rPr>
                <w:rFonts w:ascii="Arial" w:cs="Arial" w:eastAsia="Arial" w:hAnsi="Arial"/>
                <w:sz w:val="19"/>
                <w:szCs w:val="19"/>
                <w:color w:val="auto"/>
              </w:rPr>
              <w:t>77,027</w:t>
            </w:r>
          </w:p>
        </w:tc>
        <w:tc>
          <w:tcPr>
            <w:tcW w:w="0" w:type="dxa"/>
            <w:vAlign w:val="bottom"/>
          </w:tcPr>
          <w:p>
            <w:pPr>
              <w:spacing w:after="0"/>
              <w:rPr>
                <w:sz w:val="1"/>
                <w:szCs w:val="1"/>
                <w:color w:val="auto"/>
              </w:rPr>
            </w:pPr>
          </w:p>
        </w:tc>
      </w:tr>
      <w:tr>
        <w:trPr>
          <w:trHeight w:val="216"/>
        </w:trPr>
        <w:tc>
          <w:tcPr>
            <w:tcW w:w="4480" w:type="dxa"/>
            <w:vAlign w:val="bottom"/>
          </w:tcPr>
          <w:p>
            <w:pPr>
              <w:ind w:left="320"/>
              <w:spacing w:after="0" w:line="216" w:lineRule="exact"/>
              <w:rPr>
                <w:sz w:val="20"/>
                <w:szCs w:val="20"/>
                <w:color w:val="auto"/>
              </w:rPr>
            </w:pPr>
            <w:r>
              <w:rPr>
                <w:rFonts w:ascii="Arial" w:cs="Arial" w:eastAsia="Arial" w:hAnsi="Arial"/>
                <w:sz w:val="19"/>
                <w:szCs w:val="19"/>
                <w:color w:val="auto"/>
              </w:rPr>
              <w:t>U.S. government agency securities</w:t>
            </w:r>
          </w:p>
        </w:tc>
        <w:tc>
          <w:tcPr>
            <w:tcW w:w="52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20"/>
              <w:spacing w:after="0" w:line="216" w:lineRule="exact"/>
              <w:rPr>
                <w:sz w:val="20"/>
                <w:szCs w:val="20"/>
                <w:color w:val="auto"/>
              </w:rPr>
            </w:pPr>
            <w:r>
              <w:rPr>
                <w:rFonts w:ascii="Arial" w:cs="Arial" w:eastAsia="Arial" w:hAnsi="Arial"/>
                <w:sz w:val="19"/>
                <w:szCs w:val="19"/>
                <w:color w:val="auto"/>
              </w:rPr>
              <w:t>Auction rate securities</w:t>
            </w:r>
          </w:p>
        </w:tc>
        <w:tc>
          <w:tcPr>
            <w:tcW w:w="52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11,102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5"/>
              <w:spacing w:after="0" w:line="216" w:lineRule="exact"/>
              <w:rPr>
                <w:sz w:val="20"/>
                <w:szCs w:val="20"/>
                <w:color w:val="auto"/>
              </w:rPr>
            </w:pPr>
            <w:r>
              <w:rPr>
                <w:rFonts w:ascii="Arial" w:cs="Arial" w:eastAsia="Arial" w:hAnsi="Arial"/>
                <w:sz w:val="19"/>
                <w:szCs w:val="19"/>
                <w:color w:val="auto"/>
              </w:rPr>
              <w:t>11,102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10,748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10,748</w:t>
            </w:r>
          </w:p>
        </w:tc>
        <w:tc>
          <w:tcPr>
            <w:tcW w:w="0" w:type="dxa"/>
            <w:vAlign w:val="bottom"/>
          </w:tcPr>
          <w:p>
            <w:pPr>
              <w:spacing w:after="0"/>
              <w:rPr>
                <w:sz w:val="1"/>
                <w:szCs w:val="1"/>
                <w:color w:val="auto"/>
              </w:rPr>
            </w:pPr>
          </w:p>
        </w:tc>
      </w:tr>
      <w:tr>
        <w:trPr>
          <w:trHeight w:val="216"/>
        </w:trPr>
        <w:tc>
          <w:tcPr>
            <w:tcW w:w="448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20"/>
              <w:spacing w:after="0" w:line="216" w:lineRule="exact"/>
              <w:rPr>
                <w:sz w:val="20"/>
                <w:szCs w:val="20"/>
                <w:color w:val="auto"/>
              </w:rPr>
            </w:pPr>
            <w:r>
              <w:rPr>
                <w:rFonts w:ascii="Arial" w:cs="Arial" w:eastAsia="Arial" w:hAnsi="Arial"/>
                <w:sz w:val="19"/>
                <w:szCs w:val="19"/>
                <w:color w:val="auto"/>
              </w:rPr>
              <w:t>Auction rate securities</w:t>
            </w:r>
          </w:p>
        </w:tc>
        <w:tc>
          <w:tcPr>
            <w:tcW w:w="52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5,082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5"/>
              <w:spacing w:after="0" w:line="216" w:lineRule="exact"/>
              <w:rPr>
                <w:sz w:val="20"/>
                <w:szCs w:val="20"/>
                <w:color w:val="auto"/>
              </w:rPr>
            </w:pPr>
            <w:r>
              <w:rPr>
                <w:rFonts w:ascii="Arial" w:cs="Arial" w:eastAsia="Arial" w:hAnsi="Arial"/>
                <w:sz w:val="19"/>
                <w:szCs w:val="19"/>
                <w:color w:val="auto"/>
              </w:rPr>
              <w:t>5,082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5"/>
              <w:spacing w:after="0" w:line="216" w:lineRule="exact"/>
              <w:rPr>
                <w:sz w:val="20"/>
                <w:szCs w:val="20"/>
                <w:color w:val="auto"/>
              </w:rPr>
            </w:pPr>
            <w:r>
              <w:rPr>
                <w:rFonts w:ascii="Arial" w:cs="Arial" w:eastAsia="Arial" w:hAnsi="Arial"/>
                <w:sz w:val="19"/>
                <w:szCs w:val="19"/>
                <w:color w:val="auto"/>
              </w:rPr>
              <w:t>9,925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12,408</w:t>
            </w:r>
          </w:p>
        </w:tc>
        <w:tc>
          <w:tcPr>
            <w:tcW w:w="0" w:type="dxa"/>
            <w:vAlign w:val="bottom"/>
          </w:tcPr>
          <w:p>
            <w:pPr>
              <w:spacing w:after="0"/>
              <w:rPr>
                <w:sz w:val="1"/>
                <w:szCs w:val="1"/>
                <w:color w:val="auto"/>
              </w:rPr>
            </w:pPr>
          </w:p>
        </w:tc>
      </w:tr>
      <w:tr>
        <w:trPr>
          <w:trHeight w:val="22"/>
        </w:trPr>
        <w:tc>
          <w:tcPr>
            <w:tcW w:w="4480" w:type="dxa"/>
            <w:vAlign w:val="bottom"/>
            <w:vMerge w:val="restart"/>
          </w:tcPr>
          <w:p>
            <w:pPr>
              <w:ind w:left="180"/>
              <w:spacing w:after="0"/>
              <w:rPr>
                <w:sz w:val="20"/>
                <w:szCs w:val="20"/>
                <w:color w:val="auto"/>
              </w:rPr>
            </w:pPr>
            <w:r>
              <w:rPr>
                <w:rFonts w:ascii="Arial" w:cs="Arial" w:eastAsia="Arial" w:hAnsi="Arial"/>
                <w:sz w:val="19"/>
                <w:szCs w:val="19"/>
                <w:color w:val="auto"/>
              </w:rPr>
              <w:t>Total</w:t>
            </w: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520" w:type="dxa"/>
            <w:vAlign w:val="bottom"/>
            <w:tcBorders>
              <w:bottom w:val="single" w:sz="8" w:color="auto"/>
            </w:tcBorders>
          </w:tcPr>
          <w:p>
            <w:pPr>
              <w:jc w:val="right"/>
              <w:ind w:right="245"/>
              <w:spacing w:after="0" w:line="210" w:lineRule="exact"/>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412,039</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145"/>
              <w:spacing w:after="0" w:line="210" w:lineRule="exact"/>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412,087</w:t>
            </w:r>
          </w:p>
        </w:tc>
        <w:tc>
          <w:tcPr>
            <w:tcW w:w="280" w:type="dxa"/>
            <w:vAlign w:val="bottom"/>
          </w:tcPr>
          <w:p>
            <w:pPr>
              <w:spacing w:after="0"/>
              <w:rPr>
                <w:sz w:val="18"/>
                <w:szCs w:val="18"/>
                <w:color w:val="auto"/>
              </w:rPr>
            </w:pPr>
          </w:p>
        </w:tc>
        <w:tc>
          <w:tcPr>
            <w:tcW w:w="540" w:type="dxa"/>
            <w:vAlign w:val="bottom"/>
            <w:tcBorders>
              <w:bottom w:val="single" w:sz="8" w:color="auto"/>
            </w:tcBorders>
          </w:tcPr>
          <w:p>
            <w:pPr>
              <w:jc w:val="right"/>
              <w:ind w:right="265"/>
              <w:spacing w:after="0" w:line="210" w:lineRule="exact"/>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115,952</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05"/>
              <w:spacing w:after="0" w:line="210"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118,424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202" w:lineRule="exact"/>
        <w:rPr>
          <w:sz w:val="20"/>
          <w:szCs w:val="20"/>
          <w:color w:val="auto"/>
        </w:rPr>
      </w:pPr>
    </w:p>
    <w:p>
      <w:pPr>
        <w:ind w:left="620" w:hanging="288"/>
        <w:spacing w:after="0"/>
        <w:tabs>
          <w:tab w:leader="none" w:pos="620"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9"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0"/>
          <w:szCs w:val="20"/>
          <w:color w:val="auto"/>
        </w:rPr>
      </w:pPr>
    </w:p>
    <w:p>
      <w:pPr>
        <w:ind w:left="660" w:hanging="328"/>
        <w:spacing w:after="0" w:line="267" w:lineRule="auto"/>
        <w:tabs>
          <w:tab w:leader="none" w:pos="709"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8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0"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The following tables present the Company’s held-to-maturity investments at amortized cost as well as the fair value of the Company’s financial assets that are recorded at fair value on a recurring basis, segregated among the appropriate levels within the fair value hierarchy at: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December 31, 2013</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Level 1</w:t>
            </w: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Level 2</w:t>
            </w: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Level 3</w:t>
            </w:r>
          </w:p>
        </w:tc>
        <w:tc>
          <w:tcPr>
            <w:tcW w:w="4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900" w:type="dxa"/>
            <w:vAlign w:val="bottom"/>
          </w:tcPr>
          <w:p>
            <w:pPr>
              <w:ind w:left="40"/>
              <w:spacing w:after="0" w:line="207" w:lineRule="exact"/>
              <w:rPr>
                <w:sz w:val="20"/>
                <w:szCs w:val="20"/>
                <w:color w:val="auto"/>
              </w:rPr>
            </w:pPr>
            <w:r>
              <w:rPr>
                <w:rFonts w:ascii="Arial" w:cs="Arial" w:eastAsia="Arial" w:hAnsi="Arial"/>
                <w:sz w:val="20"/>
                <w:szCs w:val="20"/>
                <w:color w:val="auto"/>
              </w:rPr>
              <w:t>Cash</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line="207" w:lineRule="exact"/>
              <w:rPr>
                <w:sz w:val="20"/>
                <w:szCs w:val="20"/>
                <w:color w:val="auto"/>
              </w:rPr>
            </w:pPr>
            <w:r>
              <w:rPr>
                <w:rFonts w:ascii="Arial" w:cs="Arial" w:eastAsia="Arial" w:hAnsi="Arial"/>
                <w:sz w:val="20"/>
                <w:szCs w:val="20"/>
                <w:color w:val="auto"/>
              </w:rPr>
              <w:t>139,300</w:t>
            </w:r>
          </w:p>
        </w:tc>
        <w:tc>
          <w:tcPr>
            <w:tcW w:w="4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48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139,300</w:t>
            </w:r>
          </w:p>
        </w:tc>
        <w:tc>
          <w:tcPr>
            <w:tcW w:w="0" w:type="dxa"/>
            <w:vAlign w:val="bottom"/>
          </w:tcPr>
          <w:p>
            <w:pPr>
              <w:spacing w:after="0"/>
              <w:rPr>
                <w:sz w:val="1"/>
                <w:szCs w:val="1"/>
                <w:color w:val="auto"/>
              </w:rPr>
            </w:pPr>
          </w:p>
        </w:tc>
      </w:tr>
      <w:tr>
        <w:trPr>
          <w:trHeight w:val="230"/>
        </w:trPr>
        <w:tc>
          <w:tcPr>
            <w:tcW w:w="4900" w:type="dxa"/>
            <w:vAlign w:val="bottom"/>
          </w:tcPr>
          <w:p>
            <w:pPr>
              <w:ind w:left="40"/>
              <w:spacing w:after="0"/>
              <w:rPr>
                <w:sz w:val="20"/>
                <w:szCs w:val="20"/>
                <w:color w:val="auto"/>
              </w:rPr>
            </w:pPr>
            <w:r>
              <w:rPr>
                <w:rFonts w:ascii="Arial" w:cs="Arial" w:eastAsia="Arial" w:hAnsi="Arial"/>
                <w:sz w:val="20"/>
                <w:szCs w:val="20"/>
                <w:color w:val="auto"/>
              </w:rPr>
              <w:t>Money market funds</w:t>
            </w:r>
          </w:p>
        </w:tc>
        <w:tc>
          <w:tcPr>
            <w:tcW w:w="2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60,102</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60,102</w:t>
            </w:r>
          </w:p>
        </w:tc>
        <w:tc>
          <w:tcPr>
            <w:tcW w:w="0" w:type="dxa"/>
            <w:vAlign w:val="bottom"/>
          </w:tcPr>
          <w:p>
            <w:pPr>
              <w:spacing w:after="0"/>
              <w:rPr>
                <w:sz w:val="1"/>
                <w:szCs w:val="1"/>
                <w:color w:val="auto"/>
              </w:rPr>
            </w:pPr>
          </w:p>
        </w:tc>
      </w:tr>
      <w:tr>
        <w:trPr>
          <w:trHeight w:val="230"/>
        </w:trPr>
        <w:tc>
          <w:tcPr>
            <w:tcW w:w="4900" w:type="dxa"/>
            <w:vAlign w:val="bottom"/>
          </w:tcPr>
          <w:p>
            <w:pPr>
              <w:ind w:left="40"/>
              <w:spacing w:after="0"/>
              <w:rPr>
                <w:sz w:val="20"/>
                <w:szCs w:val="20"/>
                <w:color w:val="auto"/>
              </w:rPr>
            </w:pPr>
            <w:r>
              <w:rPr>
                <w:rFonts w:ascii="Arial" w:cs="Arial" w:eastAsia="Arial" w:hAnsi="Arial"/>
                <w:sz w:val="20"/>
                <w:szCs w:val="20"/>
                <w:color w:val="auto"/>
              </w:rPr>
              <w:t>Certificates of deposit</w:t>
            </w:r>
          </w:p>
        </w:tc>
        <w:tc>
          <w:tcPr>
            <w:tcW w:w="2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22,045</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22,045</w:t>
            </w:r>
          </w:p>
        </w:tc>
        <w:tc>
          <w:tcPr>
            <w:tcW w:w="0" w:type="dxa"/>
            <w:vAlign w:val="bottom"/>
          </w:tcPr>
          <w:p>
            <w:pPr>
              <w:spacing w:after="0"/>
              <w:rPr>
                <w:sz w:val="1"/>
                <w:szCs w:val="1"/>
                <w:color w:val="auto"/>
              </w:rPr>
            </w:pPr>
          </w:p>
        </w:tc>
      </w:tr>
      <w:tr>
        <w:trPr>
          <w:trHeight w:val="230"/>
        </w:trPr>
        <w:tc>
          <w:tcPr>
            <w:tcW w:w="4900" w:type="dxa"/>
            <w:vAlign w:val="bottom"/>
          </w:tcPr>
          <w:p>
            <w:pPr>
              <w:ind w:left="40"/>
              <w:spacing w:after="0"/>
              <w:rPr>
                <w:sz w:val="20"/>
                <w:szCs w:val="20"/>
                <w:color w:val="auto"/>
              </w:rPr>
            </w:pPr>
            <w:r>
              <w:rPr>
                <w:rFonts w:ascii="Arial" w:cs="Arial" w:eastAsia="Arial" w:hAnsi="Arial"/>
                <w:sz w:val="20"/>
                <w:szCs w:val="20"/>
                <w:color w:val="auto"/>
              </w:rPr>
              <w:t>Commercial paper</w:t>
            </w:r>
          </w:p>
        </w:tc>
        <w:tc>
          <w:tcPr>
            <w:tcW w:w="2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5,991</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5,991</w:t>
            </w:r>
          </w:p>
        </w:tc>
        <w:tc>
          <w:tcPr>
            <w:tcW w:w="0" w:type="dxa"/>
            <w:vAlign w:val="bottom"/>
          </w:tcPr>
          <w:p>
            <w:pPr>
              <w:spacing w:after="0"/>
              <w:rPr>
                <w:sz w:val="1"/>
                <w:szCs w:val="1"/>
                <w:color w:val="auto"/>
              </w:rPr>
            </w:pPr>
          </w:p>
        </w:tc>
      </w:tr>
      <w:tr>
        <w:trPr>
          <w:trHeight w:val="230"/>
        </w:trPr>
        <w:tc>
          <w:tcPr>
            <w:tcW w:w="4900" w:type="dxa"/>
            <w:vAlign w:val="bottom"/>
          </w:tcPr>
          <w:p>
            <w:pPr>
              <w:ind w:left="40"/>
              <w:spacing w:after="0"/>
              <w:rPr>
                <w:sz w:val="20"/>
                <w:szCs w:val="20"/>
                <w:color w:val="auto"/>
              </w:rPr>
            </w:pPr>
            <w:r>
              <w:rPr>
                <w:rFonts w:ascii="Arial" w:cs="Arial" w:eastAsia="Arial" w:hAnsi="Arial"/>
                <w:sz w:val="20"/>
                <w:szCs w:val="20"/>
                <w:color w:val="auto"/>
              </w:rPr>
              <w:t>Municipal securities</w:t>
            </w:r>
          </w:p>
        </w:tc>
        <w:tc>
          <w:tcPr>
            <w:tcW w:w="2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379,766</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379,766</w:t>
            </w:r>
          </w:p>
        </w:tc>
        <w:tc>
          <w:tcPr>
            <w:tcW w:w="0" w:type="dxa"/>
            <w:vAlign w:val="bottom"/>
          </w:tcPr>
          <w:p>
            <w:pPr>
              <w:spacing w:after="0"/>
              <w:rPr>
                <w:sz w:val="1"/>
                <w:szCs w:val="1"/>
                <w:color w:val="auto"/>
              </w:rPr>
            </w:pPr>
          </w:p>
        </w:tc>
      </w:tr>
      <w:tr>
        <w:trPr>
          <w:trHeight w:val="230"/>
        </w:trPr>
        <w:tc>
          <w:tcPr>
            <w:tcW w:w="4900" w:type="dxa"/>
            <w:vAlign w:val="bottom"/>
          </w:tcPr>
          <w:p>
            <w:pPr>
              <w:ind w:left="40"/>
              <w:spacing w:after="0"/>
              <w:rPr>
                <w:sz w:val="20"/>
                <w:szCs w:val="20"/>
                <w:color w:val="auto"/>
              </w:rPr>
            </w:pPr>
            <w:r>
              <w:rPr>
                <w:rFonts w:ascii="Arial" w:cs="Arial" w:eastAsia="Arial" w:hAnsi="Arial"/>
                <w:sz w:val="20"/>
                <w:szCs w:val="20"/>
                <w:color w:val="auto"/>
              </w:rPr>
              <w:t>Auction rate securities</w:t>
            </w:r>
          </w:p>
        </w:tc>
        <w:tc>
          <w:tcPr>
            <w:tcW w:w="2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16,184</w:t>
            </w:r>
          </w:p>
        </w:tc>
        <w:tc>
          <w:tcPr>
            <w:tcW w:w="4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16,184</w:t>
            </w:r>
          </w:p>
        </w:tc>
        <w:tc>
          <w:tcPr>
            <w:tcW w:w="0" w:type="dxa"/>
            <w:vAlign w:val="bottom"/>
          </w:tcPr>
          <w:p>
            <w:pPr>
              <w:spacing w:after="0"/>
              <w:rPr>
                <w:sz w:val="1"/>
                <w:szCs w:val="1"/>
                <w:color w:val="auto"/>
              </w:rPr>
            </w:pPr>
          </w:p>
        </w:tc>
      </w:tr>
      <w:tr>
        <w:trPr>
          <w:trHeight w:val="240"/>
        </w:trPr>
        <w:tc>
          <w:tcPr>
            <w:tcW w:w="4900" w:type="dxa"/>
            <w:vAlign w:val="bottom"/>
          </w:tcPr>
          <w:p>
            <w:pPr>
              <w:ind w:left="40"/>
              <w:spacing w:after="0"/>
              <w:rPr>
                <w:sz w:val="20"/>
                <w:szCs w:val="20"/>
                <w:color w:val="auto"/>
              </w:rPr>
            </w:pPr>
            <w:r>
              <w:rPr>
                <w:rFonts w:ascii="Arial" w:cs="Arial" w:eastAsia="Arial" w:hAnsi="Arial"/>
                <w:sz w:val="20"/>
                <w:szCs w:val="20"/>
                <w:color w:val="auto"/>
              </w:rPr>
              <w:t>Put option related to auction rate securities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1,092</w:t>
            </w: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1,092</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line="220" w:lineRule="exact"/>
              <w:rPr>
                <w:sz w:val="20"/>
                <w:szCs w:val="20"/>
                <w:color w:val="auto"/>
              </w:rPr>
            </w:pPr>
            <w:r>
              <w:rPr>
                <w:rFonts w:ascii="Arial" w:cs="Arial" w:eastAsia="Arial" w:hAnsi="Arial"/>
                <w:sz w:val="20"/>
                <w:szCs w:val="20"/>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199,402</w:t>
            </w: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407,802</w:t>
            </w: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17,276</w:t>
            </w:r>
          </w:p>
        </w:tc>
        <w:tc>
          <w:tcPr>
            <w:tcW w:w="4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624,480</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0"/>
              <w:spacing w:after="0"/>
              <w:rPr>
                <w:sz w:val="20"/>
                <w:szCs w:val="20"/>
                <w:color w:val="auto"/>
              </w:rPr>
            </w:pPr>
            <w:r>
              <w:rPr>
                <w:rFonts w:ascii="Arial" w:cs="Arial" w:eastAsia="Arial" w:hAnsi="Arial"/>
                <w:sz w:val="20"/>
                <w:szCs w:val="20"/>
                <w:color w:val="auto"/>
              </w:rPr>
              <w:t>Amounts included in:</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00"/>
              <w:spacing w:after="0"/>
              <w:rPr>
                <w:sz w:val="20"/>
                <w:szCs w:val="20"/>
                <w:color w:val="auto"/>
              </w:rPr>
            </w:pPr>
            <w:r>
              <w:rPr>
                <w:rFonts w:ascii="Arial" w:cs="Arial" w:eastAsia="Arial" w:hAnsi="Arial"/>
                <w:sz w:val="20"/>
                <w:szCs w:val="20"/>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199,402</w:t>
            </w:r>
          </w:p>
        </w:tc>
        <w:tc>
          <w:tcPr>
            <w:tcW w:w="4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11,947</w:t>
            </w:r>
          </w:p>
        </w:tc>
        <w:tc>
          <w:tcPr>
            <w:tcW w:w="4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211,349</w:t>
            </w:r>
          </w:p>
        </w:tc>
        <w:tc>
          <w:tcPr>
            <w:tcW w:w="0" w:type="dxa"/>
            <w:vAlign w:val="bottom"/>
          </w:tcPr>
          <w:p>
            <w:pPr>
              <w:spacing w:after="0"/>
              <w:rPr>
                <w:sz w:val="1"/>
                <w:szCs w:val="1"/>
                <w:color w:val="auto"/>
              </w:rPr>
            </w:pPr>
          </w:p>
        </w:tc>
      </w:tr>
      <w:tr>
        <w:trPr>
          <w:trHeight w:val="230"/>
        </w:trPr>
        <w:tc>
          <w:tcPr>
            <w:tcW w:w="4900" w:type="dxa"/>
            <w:vAlign w:val="bottom"/>
          </w:tcPr>
          <w:p>
            <w:pPr>
              <w:ind w:left="100"/>
              <w:spacing w:after="0"/>
              <w:rPr>
                <w:sz w:val="20"/>
                <w:szCs w:val="20"/>
                <w:color w:val="auto"/>
              </w:rPr>
            </w:pPr>
            <w:r>
              <w:rPr>
                <w:rFonts w:ascii="Arial" w:cs="Arial" w:eastAsia="Arial" w:hAnsi="Arial"/>
                <w:sz w:val="20"/>
                <w:szCs w:val="20"/>
                <w:color w:val="auto"/>
              </w:rPr>
              <w:t>Short-term investments</w:t>
            </w:r>
          </w:p>
        </w:tc>
        <w:tc>
          <w:tcPr>
            <w:tcW w:w="2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395,855</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6,392</w:t>
            </w:r>
          </w:p>
        </w:tc>
        <w:tc>
          <w:tcPr>
            <w:tcW w:w="4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402,247</w:t>
            </w:r>
          </w:p>
        </w:tc>
        <w:tc>
          <w:tcPr>
            <w:tcW w:w="0" w:type="dxa"/>
            <w:vAlign w:val="bottom"/>
          </w:tcPr>
          <w:p>
            <w:pPr>
              <w:spacing w:after="0"/>
              <w:rPr>
                <w:sz w:val="1"/>
                <w:szCs w:val="1"/>
                <w:color w:val="auto"/>
              </w:rPr>
            </w:pPr>
          </w:p>
        </w:tc>
      </w:tr>
      <w:tr>
        <w:trPr>
          <w:trHeight w:val="230"/>
        </w:trPr>
        <w:tc>
          <w:tcPr>
            <w:tcW w:w="4900" w:type="dxa"/>
            <w:vAlign w:val="bottom"/>
          </w:tcPr>
          <w:p>
            <w:pPr>
              <w:ind w:left="100"/>
              <w:spacing w:after="0"/>
              <w:rPr>
                <w:sz w:val="20"/>
                <w:szCs w:val="20"/>
                <w:color w:val="auto"/>
              </w:rPr>
            </w:pPr>
            <w:r>
              <w:rPr>
                <w:rFonts w:ascii="Arial" w:cs="Arial" w:eastAsia="Arial" w:hAnsi="Arial"/>
                <w:sz w:val="20"/>
                <w:szCs w:val="20"/>
                <w:color w:val="auto"/>
              </w:rPr>
              <w:t>Investments</w:t>
            </w:r>
          </w:p>
        </w:tc>
        <w:tc>
          <w:tcPr>
            <w:tcW w:w="2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9,792</w:t>
            </w:r>
          </w:p>
        </w:tc>
        <w:tc>
          <w:tcPr>
            <w:tcW w:w="4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9,792</w:t>
            </w:r>
          </w:p>
        </w:tc>
        <w:tc>
          <w:tcPr>
            <w:tcW w:w="0" w:type="dxa"/>
            <w:vAlign w:val="bottom"/>
          </w:tcPr>
          <w:p>
            <w:pPr>
              <w:spacing w:after="0"/>
              <w:rPr>
                <w:sz w:val="1"/>
                <w:szCs w:val="1"/>
                <w:color w:val="auto"/>
              </w:rPr>
            </w:pPr>
          </w:p>
        </w:tc>
      </w:tr>
      <w:tr>
        <w:trPr>
          <w:trHeight w:val="230"/>
        </w:trPr>
        <w:tc>
          <w:tcPr>
            <w:tcW w:w="4900" w:type="dxa"/>
            <w:vAlign w:val="bottom"/>
          </w:tcPr>
          <w:p>
            <w:pPr>
              <w:ind w:left="100"/>
              <w:spacing w:after="0"/>
              <w:rPr>
                <w:sz w:val="20"/>
                <w:szCs w:val="20"/>
                <w:color w:val="auto"/>
              </w:rPr>
            </w:pPr>
            <w:r>
              <w:rPr>
                <w:rFonts w:ascii="Arial" w:cs="Arial" w:eastAsia="Arial" w:hAnsi="Arial"/>
                <w:sz w:val="20"/>
                <w:szCs w:val="20"/>
                <w:color w:val="auto"/>
              </w:rPr>
              <w:t>Prepaid expenses and other current assets</w:t>
            </w:r>
          </w:p>
        </w:tc>
        <w:tc>
          <w:tcPr>
            <w:tcW w:w="2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486</w:t>
            </w:r>
          </w:p>
        </w:tc>
        <w:tc>
          <w:tcPr>
            <w:tcW w:w="4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486</w:t>
            </w:r>
          </w:p>
        </w:tc>
        <w:tc>
          <w:tcPr>
            <w:tcW w:w="0" w:type="dxa"/>
            <w:vAlign w:val="bottom"/>
          </w:tcPr>
          <w:p>
            <w:pPr>
              <w:spacing w:after="0"/>
              <w:rPr>
                <w:sz w:val="1"/>
                <w:szCs w:val="1"/>
                <w:color w:val="auto"/>
              </w:rPr>
            </w:pPr>
          </w:p>
        </w:tc>
      </w:tr>
      <w:tr>
        <w:trPr>
          <w:trHeight w:val="240"/>
        </w:trPr>
        <w:tc>
          <w:tcPr>
            <w:tcW w:w="4900" w:type="dxa"/>
            <w:vAlign w:val="bottom"/>
          </w:tcPr>
          <w:p>
            <w:pPr>
              <w:ind w:left="100"/>
              <w:spacing w:after="0"/>
              <w:rPr>
                <w:sz w:val="20"/>
                <w:szCs w:val="20"/>
                <w:color w:val="auto"/>
              </w:rPr>
            </w:pPr>
            <w:r>
              <w:rPr>
                <w:rFonts w:ascii="Arial" w:cs="Arial" w:eastAsia="Arial" w:hAnsi="Arial"/>
                <w:sz w:val="20"/>
                <w:szCs w:val="20"/>
                <w:color w:val="auto"/>
              </w:rPr>
              <w:t>Other assets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606</w:t>
            </w: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606</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line="220" w:lineRule="exact"/>
              <w:rPr>
                <w:sz w:val="20"/>
                <w:szCs w:val="20"/>
                <w:color w:val="auto"/>
              </w:rPr>
            </w:pPr>
            <w:r>
              <w:rPr>
                <w:rFonts w:ascii="Arial" w:cs="Arial" w:eastAsia="Arial" w:hAnsi="Arial"/>
                <w:sz w:val="20"/>
                <w:szCs w:val="20"/>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199,402</w:t>
            </w: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407,802</w:t>
            </w: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17,276</w:t>
            </w:r>
          </w:p>
        </w:tc>
        <w:tc>
          <w:tcPr>
            <w:tcW w:w="4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624,480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December 31, 2012</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1</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2</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3</w:t>
            </w: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900" w:type="dxa"/>
            <w:vAlign w:val="bottom"/>
          </w:tcPr>
          <w:p>
            <w:pPr>
              <w:ind w:left="40"/>
              <w:spacing w:after="0" w:line="207" w:lineRule="exact"/>
              <w:rPr>
                <w:sz w:val="20"/>
                <w:szCs w:val="20"/>
                <w:color w:val="auto"/>
              </w:rPr>
            </w:pPr>
            <w:r>
              <w:rPr>
                <w:rFonts w:ascii="Arial" w:cs="Arial" w:eastAsia="Arial" w:hAnsi="Arial"/>
                <w:sz w:val="20"/>
                <w:szCs w:val="20"/>
                <w:color w:val="auto"/>
              </w:rPr>
              <w:t>Cash</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line="207" w:lineRule="exact"/>
              <w:rPr>
                <w:sz w:val="20"/>
                <w:szCs w:val="20"/>
                <w:color w:val="auto"/>
              </w:rPr>
            </w:pPr>
            <w:r>
              <w:rPr>
                <w:rFonts w:ascii="Arial" w:cs="Arial" w:eastAsia="Arial" w:hAnsi="Arial"/>
                <w:sz w:val="20"/>
                <w:szCs w:val="20"/>
                <w:color w:val="auto"/>
              </w:rPr>
              <w:t>147,113</w:t>
            </w:r>
          </w:p>
        </w:tc>
        <w:tc>
          <w:tcPr>
            <w:tcW w:w="4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48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147,113</w:t>
            </w:r>
          </w:p>
        </w:tc>
        <w:tc>
          <w:tcPr>
            <w:tcW w:w="0" w:type="dxa"/>
            <w:vAlign w:val="bottom"/>
          </w:tcPr>
          <w:p>
            <w:pPr>
              <w:spacing w:after="0"/>
              <w:rPr>
                <w:sz w:val="1"/>
                <w:szCs w:val="1"/>
                <w:color w:val="auto"/>
              </w:rPr>
            </w:pPr>
          </w:p>
        </w:tc>
      </w:tr>
      <w:tr>
        <w:trPr>
          <w:trHeight w:val="230"/>
        </w:trPr>
        <w:tc>
          <w:tcPr>
            <w:tcW w:w="4900" w:type="dxa"/>
            <w:vAlign w:val="bottom"/>
          </w:tcPr>
          <w:p>
            <w:pPr>
              <w:ind w:left="40"/>
              <w:spacing w:after="0"/>
              <w:rPr>
                <w:sz w:val="20"/>
                <w:szCs w:val="20"/>
                <w:color w:val="auto"/>
              </w:rPr>
            </w:pPr>
            <w:r>
              <w:rPr>
                <w:rFonts w:ascii="Arial" w:cs="Arial" w:eastAsia="Arial" w:hAnsi="Arial"/>
                <w:sz w:val="20"/>
                <w:szCs w:val="20"/>
                <w:color w:val="auto"/>
              </w:rPr>
              <w:t>Money market funds</w:t>
            </w:r>
          </w:p>
        </w:tc>
        <w:tc>
          <w:tcPr>
            <w:tcW w:w="2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63,974</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63,974</w:t>
            </w:r>
          </w:p>
        </w:tc>
        <w:tc>
          <w:tcPr>
            <w:tcW w:w="0" w:type="dxa"/>
            <w:vAlign w:val="bottom"/>
          </w:tcPr>
          <w:p>
            <w:pPr>
              <w:spacing w:after="0"/>
              <w:rPr>
                <w:sz w:val="1"/>
                <w:szCs w:val="1"/>
                <w:color w:val="auto"/>
              </w:rPr>
            </w:pPr>
          </w:p>
        </w:tc>
      </w:tr>
      <w:tr>
        <w:trPr>
          <w:trHeight w:val="230"/>
        </w:trPr>
        <w:tc>
          <w:tcPr>
            <w:tcW w:w="4900" w:type="dxa"/>
            <w:vAlign w:val="bottom"/>
          </w:tcPr>
          <w:p>
            <w:pPr>
              <w:ind w:left="40"/>
              <w:spacing w:after="0"/>
              <w:rPr>
                <w:sz w:val="20"/>
                <w:szCs w:val="20"/>
                <w:color w:val="auto"/>
              </w:rPr>
            </w:pPr>
            <w:r>
              <w:rPr>
                <w:rFonts w:ascii="Arial" w:cs="Arial" w:eastAsia="Arial" w:hAnsi="Arial"/>
                <w:sz w:val="20"/>
                <w:szCs w:val="20"/>
                <w:color w:val="auto"/>
              </w:rPr>
              <w:t>U.S. Treasuries</w:t>
            </w:r>
          </w:p>
        </w:tc>
        <w:tc>
          <w:tcPr>
            <w:tcW w:w="2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24,065</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24,065</w:t>
            </w:r>
          </w:p>
        </w:tc>
        <w:tc>
          <w:tcPr>
            <w:tcW w:w="0" w:type="dxa"/>
            <w:vAlign w:val="bottom"/>
          </w:tcPr>
          <w:p>
            <w:pPr>
              <w:spacing w:after="0"/>
              <w:rPr>
                <w:sz w:val="1"/>
                <w:szCs w:val="1"/>
                <w:color w:val="auto"/>
              </w:rPr>
            </w:pPr>
          </w:p>
        </w:tc>
      </w:tr>
      <w:tr>
        <w:trPr>
          <w:trHeight w:val="230"/>
        </w:trPr>
        <w:tc>
          <w:tcPr>
            <w:tcW w:w="4900" w:type="dxa"/>
            <w:vAlign w:val="bottom"/>
          </w:tcPr>
          <w:p>
            <w:pPr>
              <w:ind w:left="40"/>
              <w:spacing w:after="0"/>
              <w:rPr>
                <w:sz w:val="20"/>
                <w:szCs w:val="20"/>
                <w:color w:val="auto"/>
              </w:rPr>
            </w:pPr>
            <w:r>
              <w:rPr>
                <w:rFonts w:ascii="Arial" w:cs="Arial" w:eastAsia="Arial" w:hAnsi="Arial"/>
                <w:sz w:val="20"/>
                <w:szCs w:val="20"/>
                <w:color w:val="auto"/>
              </w:rPr>
              <w:t>Certificates of deposit</w:t>
            </w:r>
          </w:p>
        </w:tc>
        <w:tc>
          <w:tcPr>
            <w:tcW w:w="2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5,603</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5,603</w:t>
            </w:r>
          </w:p>
        </w:tc>
        <w:tc>
          <w:tcPr>
            <w:tcW w:w="0" w:type="dxa"/>
            <w:vAlign w:val="bottom"/>
          </w:tcPr>
          <w:p>
            <w:pPr>
              <w:spacing w:after="0"/>
              <w:rPr>
                <w:sz w:val="1"/>
                <w:szCs w:val="1"/>
                <w:color w:val="auto"/>
              </w:rPr>
            </w:pPr>
          </w:p>
        </w:tc>
      </w:tr>
      <w:tr>
        <w:trPr>
          <w:trHeight w:val="230"/>
        </w:trPr>
        <w:tc>
          <w:tcPr>
            <w:tcW w:w="4900" w:type="dxa"/>
            <w:vAlign w:val="bottom"/>
          </w:tcPr>
          <w:p>
            <w:pPr>
              <w:ind w:left="40"/>
              <w:spacing w:after="0"/>
              <w:rPr>
                <w:sz w:val="20"/>
                <w:szCs w:val="20"/>
                <w:color w:val="auto"/>
              </w:rPr>
            </w:pPr>
            <w:r>
              <w:rPr>
                <w:rFonts w:ascii="Arial" w:cs="Arial" w:eastAsia="Arial" w:hAnsi="Arial"/>
                <w:sz w:val="20"/>
                <w:szCs w:val="20"/>
                <w:color w:val="auto"/>
              </w:rPr>
              <w:t>Municipal securities</w:t>
            </w:r>
          </w:p>
        </w:tc>
        <w:tc>
          <w:tcPr>
            <w:tcW w:w="2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77,038</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77,038</w:t>
            </w:r>
          </w:p>
        </w:tc>
        <w:tc>
          <w:tcPr>
            <w:tcW w:w="0" w:type="dxa"/>
            <w:vAlign w:val="bottom"/>
          </w:tcPr>
          <w:p>
            <w:pPr>
              <w:spacing w:after="0"/>
              <w:rPr>
                <w:sz w:val="1"/>
                <w:szCs w:val="1"/>
                <w:color w:val="auto"/>
              </w:rPr>
            </w:pPr>
          </w:p>
        </w:tc>
      </w:tr>
      <w:tr>
        <w:trPr>
          <w:trHeight w:val="230"/>
        </w:trPr>
        <w:tc>
          <w:tcPr>
            <w:tcW w:w="4900" w:type="dxa"/>
            <w:vAlign w:val="bottom"/>
          </w:tcPr>
          <w:p>
            <w:pPr>
              <w:ind w:left="40"/>
              <w:spacing w:after="0"/>
              <w:rPr>
                <w:sz w:val="20"/>
                <w:szCs w:val="20"/>
                <w:color w:val="auto"/>
              </w:rPr>
            </w:pPr>
            <w:r>
              <w:rPr>
                <w:rFonts w:ascii="Arial" w:cs="Arial" w:eastAsia="Arial" w:hAnsi="Arial"/>
                <w:sz w:val="20"/>
                <w:szCs w:val="20"/>
                <w:color w:val="auto"/>
              </w:rPr>
              <w:t>Auction rate securities</w:t>
            </w:r>
          </w:p>
        </w:tc>
        <w:tc>
          <w:tcPr>
            <w:tcW w:w="2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23,156</w:t>
            </w:r>
          </w:p>
        </w:tc>
        <w:tc>
          <w:tcPr>
            <w:tcW w:w="4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23,156</w:t>
            </w:r>
          </w:p>
        </w:tc>
        <w:tc>
          <w:tcPr>
            <w:tcW w:w="0" w:type="dxa"/>
            <w:vAlign w:val="bottom"/>
          </w:tcPr>
          <w:p>
            <w:pPr>
              <w:spacing w:after="0"/>
              <w:rPr>
                <w:sz w:val="1"/>
                <w:szCs w:val="1"/>
                <w:color w:val="auto"/>
              </w:rPr>
            </w:pPr>
          </w:p>
        </w:tc>
      </w:tr>
      <w:tr>
        <w:trPr>
          <w:trHeight w:val="240"/>
        </w:trPr>
        <w:tc>
          <w:tcPr>
            <w:tcW w:w="4900" w:type="dxa"/>
            <w:vAlign w:val="bottom"/>
          </w:tcPr>
          <w:p>
            <w:pPr>
              <w:ind w:left="40"/>
              <w:spacing w:after="0"/>
              <w:rPr>
                <w:sz w:val="20"/>
                <w:szCs w:val="20"/>
                <w:color w:val="auto"/>
              </w:rPr>
            </w:pPr>
            <w:r>
              <w:rPr>
                <w:rFonts w:ascii="Arial" w:cs="Arial" w:eastAsia="Arial" w:hAnsi="Arial"/>
                <w:sz w:val="20"/>
                <w:szCs w:val="20"/>
                <w:color w:val="auto"/>
              </w:rPr>
              <w:t>Put option related to auction rate securities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1,929</w:t>
            </w: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1,929</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line="220" w:lineRule="exact"/>
              <w:rPr>
                <w:sz w:val="20"/>
                <w:szCs w:val="20"/>
                <w:color w:val="auto"/>
              </w:rPr>
            </w:pPr>
            <w:r>
              <w:rPr>
                <w:rFonts w:ascii="Arial" w:cs="Arial" w:eastAsia="Arial" w:hAnsi="Arial"/>
                <w:sz w:val="20"/>
                <w:szCs w:val="20"/>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211,087</w:t>
            </w: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106,706</w:t>
            </w: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25,085</w:t>
            </w:r>
          </w:p>
        </w:tc>
        <w:tc>
          <w:tcPr>
            <w:tcW w:w="4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342,878</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0"/>
              <w:spacing w:after="0"/>
              <w:rPr>
                <w:sz w:val="20"/>
                <w:szCs w:val="20"/>
                <w:color w:val="auto"/>
              </w:rPr>
            </w:pPr>
            <w:r>
              <w:rPr>
                <w:rFonts w:ascii="Arial" w:cs="Arial" w:eastAsia="Arial" w:hAnsi="Arial"/>
                <w:sz w:val="20"/>
                <w:szCs w:val="20"/>
                <w:color w:val="auto"/>
              </w:rPr>
              <w:t>Amounts included in:</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100"/>
              <w:spacing w:after="0"/>
              <w:rPr>
                <w:sz w:val="20"/>
                <w:szCs w:val="20"/>
                <w:color w:val="auto"/>
              </w:rPr>
            </w:pPr>
            <w:r>
              <w:rPr>
                <w:rFonts w:ascii="Arial" w:cs="Arial" w:eastAsia="Arial" w:hAnsi="Arial"/>
                <w:sz w:val="20"/>
                <w:szCs w:val="20"/>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211,087</w:t>
            </w:r>
          </w:p>
        </w:tc>
        <w:tc>
          <w:tcPr>
            <w:tcW w:w="4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11,427</w:t>
            </w:r>
          </w:p>
        </w:tc>
        <w:tc>
          <w:tcPr>
            <w:tcW w:w="4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222,514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0" w:gutter="0" w:footer="0" w:header="0"/>
        </w:sectPr>
      </w:pPr>
    </w:p>
    <w:bookmarkStart w:id="54" w:name="page55"/>
    <w:bookmarkEnd w:id="54"/>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31"/>
        </w:trPr>
        <w:tc>
          <w:tcPr>
            <w:tcW w:w="4800" w:type="dxa"/>
            <w:vAlign w:val="bottom"/>
          </w:tcPr>
          <w:p>
            <w:pPr>
              <w:spacing w:after="0"/>
              <w:rPr>
                <w:sz w:val="20"/>
                <w:szCs w:val="20"/>
                <w:color w:val="auto"/>
              </w:rPr>
            </w:pPr>
            <w:r>
              <w:rPr>
                <w:rFonts w:ascii="Arial" w:cs="Arial" w:eastAsia="Arial" w:hAnsi="Arial"/>
                <w:sz w:val="20"/>
                <w:szCs w:val="20"/>
                <w:color w:val="auto"/>
              </w:rPr>
              <w:t>Short-term investments</w:t>
            </w:r>
          </w:p>
        </w:tc>
        <w:tc>
          <w:tcPr>
            <w:tcW w:w="420" w:type="dxa"/>
            <w:vAlign w:val="bottom"/>
          </w:tcPr>
          <w:p>
            <w:pPr>
              <w:spacing w:after="0"/>
              <w:rPr>
                <w:sz w:val="20"/>
                <w:szCs w:val="20"/>
                <w:color w:val="auto"/>
              </w:rPr>
            </w:pP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8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Arial" w:cs="Arial" w:eastAsia="Arial" w:hAnsi="Arial"/>
                <w:sz w:val="20"/>
                <w:szCs w:val="20"/>
                <w:color w:val="auto"/>
              </w:rPr>
              <w:t>95,279</w:t>
            </w:r>
          </w:p>
        </w:tc>
        <w:tc>
          <w:tcPr>
            <w:tcW w:w="62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20"/>
                <w:szCs w:val="20"/>
                <w:color w:val="auto"/>
              </w:rPr>
              <w:t>1,763</w:t>
            </w:r>
          </w:p>
        </w:tc>
        <w:tc>
          <w:tcPr>
            <w:tcW w:w="6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97,042</w:t>
            </w:r>
          </w:p>
        </w:tc>
      </w:tr>
      <w:tr>
        <w:trPr>
          <w:trHeight w:val="230"/>
        </w:trPr>
        <w:tc>
          <w:tcPr>
            <w:tcW w:w="4800" w:type="dxa"/>
            <w:vAlign w:val="bottom"/>
          </w:tcPr>
          <w:p>
            <w:pPr>
              <w:spacing w:after="0"/>
              <w:rPr>
                <w:sz w:val="20"/>
                <w:szCs w:val="20"/>
                <w:color w:val="auto"/>
              </w:rPr>
            </w:pPr>
            <w:r>
              <w:rPr>
                <w:rFonts w:ascii="Arial" w:cs="Arial" w:eastAsia="Arial" w:hAnsi="Arial"/>
                <w:sz w:val="20"/>
                <w:szCs w:val="20"/>
                <w:color w:val="auto"/>
              </w:rPr>
              <w:t>Investments</w:t>
            </w:r>
          </w:p>
        </w:tc>
        <w:tc>
          <w:tcPr>
            <w:tcW w:w="420" w:type="dxa"/>
            <w:vAlign w:val="bottom"/>
          </w:tcPr>
          <w:p>
            <w:pPr>
              <w:spacing w:after="0"/>
              <w:rPr>
                <w:sz w:val="19"/>
                <w:szCs w:val="19"/>
                <w:color w:val="auto"/>
              </w:rPr>
            </w:pP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80" w:type="dxa"/>
            <w:vAlign w:val="bottom"/>
          </w:tcPr>
          <w:p>
            <w:pPr>
              <w:spacing w:after="0"/>
              <w:rPr>
                <w:sz w:val="19"/>
                <w:szCs w:val="19"/>
                <w:color w:val="auto"/>
              </w:rPr>
            </w:pPr>
          </w:p>
        </w:tc>
        <w:tc>
          <w:tcPr>
            <w:tcW w:w="11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20" w:type="dxa"/>
            <w:vAlign w:val="bottom"/>
          </w:tcPr>
          <w:p>
            <w:pPr>
              <w:spacing w:after="0"/>
              <w:rPr>
                <w:sz w:val="19"/>
                <w:szCs w:val="19"/>
                <w:color w:val="auto"/>
              </w:rPr>
            </w:pPr>
          </w:p>
        </w:tc>
        <w:tc>
          <w:tcPr>
            <w:tcW w:w="1080" w:type="dxa"/>
            <w:vAlign w:val="bottom"/>
          </w:tcPr>
          <w:p>
            <w:pPr>
              <w:jc w:val="right"/>
              <w:ind w:right="81"/>
              <w:spacing w:after="0"/>
              <w:rPr>
                <w:sz w:val="20"/>
                <w:szCs w:val="20"/>
                <w:color w:val="auto"/>
              </w:rPr>
            </w:pPr>
            <w:r>
              <w:rPr>
                <w:rFonts w:ascii="Arial" w:cs="Arial" w:eastAsia="Arial" w:hAnsi="Arial"/>
                <w:sz w:val="20"/>
                <w:szCs w:val="20"/>
                <w:color w:val="auto"/>
              </w:rPr>
              <w:t>21,393</w:t>
            </w:r>
          </w:p>
        </w:tc>
        <w:tc>
          <w:tcPr>
            <w:tcW w:w="6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21,393</w:t>
            </w:r>
          </w:p>
        </w:tc>
      </w:tr>
      <w:tr>
        <w:trPr>
          <w:trHeight w:val="230"/>
        </w:trPr>
        <w:tc>
          <w:tcPr>
            <w:tcW w:w="4800" w:type="dxa"/>
            <w:vAlign w:val="bottom"/>
          </w:tcPr>
          <w:p>
            <w:pPr>
              <w:spacing w:after="0"/>
              <w:rPr>
                <w:sz w:val="20"/>
                <w:szCs w:val="20"/>
                <w:color w:val="auto"/>
              </w:rPr>
            </w:pPr>
            <w:r>
              <w:rPr>
                <w:rFonts w:ascii="Arial" w:cs="Arial" w:eastAsia="Arial" w:hAnsi="Arial"/>
                <w:sz w:val="20"/>
                <w:szCs w:val="20"/>
                <w:color w:val="auto"/>
              </w:rPr>
              <w:t>Prepaid expenses and other current assets</w:t>
            </w:r>
          </w:p>
        </w:tc>
        <w:tc>
          <w:tcPr>
            <w:tcW w:w="420" w:type="dxa"/>
            <w:vAlign w:val="bottom"/>
          </w:tcPr>
          <w:p>
            <w:pPr>
              <w:spacing w:after="0"/>
              <w:rPr>
                <w:sz w:val="19"/>
                <w:szCs w:val="19"/>
                <w:color w:val="auto"/>
              </w:rPr>
            </w:pP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80" w:type="dxa"/>
            <w:vAlign w:val="bottom"/>
          </w:tcPr>
          <w:p>
            <w:pPr>
              <w:spacing w:after="0"/>
              <w:rPr>
                <w:sz w:val="19"/>
                <w:szCs w:val="19"/>
                <w:color w:val="auto"/>
              </w:rPr>
            </w:pPr>
          </w:p>
        </w:tc>
        <w:tc>
          <w:tcPr>
            <w:tcW w:w="11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20" w:type="dxa"/>
            <w:vAlign w:val="bottom"/>
          </w:tcPr>
          <w:p>
            <w:pPr>
              <w:spacing w:after="0"/>
              <w:rPr>
                <w:sz w:val="19"/>
                <w:szCs w:val="19"/>
                <w:color w:val="auto"/>
              </w:rPr>
            </w:pPr>
          </w:p>
        </w:tc>
        <w:tc>
          <w:tcPr>
            <w:tcW w:w="1080" w:type="dxa"/>
            <w:vAlign w:val="bottom"/>
          </w:tcPr>
          <w:p>
            <w:pPr>
              <w:jc w:val="right"/>
              <w:ind w:right="81"/>
              <w:spacing w:after="0"/>
              <w:rPr>
                <w:sz w:val="20"/>
                <w:szCs w:val="20"/>
                <w:color w:val="auto"/>
              </w:rPr>
            </w:pPr>
            <w:r>
              <w:rPr>
                <w:rFonts w:ascii="Arial" w:cs="Arial" w:eastAsia="Arial" w:hAnsi="Arial"/>
                <w:sz w:val="20"/>
                <w:szCs w:val="20"/>
                <w:color w:val="auto"/>
              </w:rPr>
              <w:t>225</w:t>
            </w:r>
          </w:p>
        </w:tc>
        <w:tc>
          <w:tcPr>
            <w:tcW w:w="6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225</w:t>
            </w:r>
          </w:p>
        </w:tc>
      </w:tr>
      <w:tr>
        <w:trPr>
          <w:trHeight w:val="240"/>
        </w:trPr>
        <w:tc>
          <w:tcPr>
            <w:tcW w:w="4800" w:type="dxa"/>
            <w:vAlign w:val="bottom"/>
          </w:tcPr>
          <w:p>
            <w:pPr>
              <w:spacing w:after="0"/>
              <w:rPr>
                <w:sz w:val="20"/>
                <w:szCs w:val="20"/>
                <w:color w:val="auto"/>
              </w:rPr>
            </w:pPr>
            <w:r>
              <w:rPr>
                <w:rFonts w:ascii="Arial" w:cs="Arial" w:eastAsia="Arial" w:hAnsi="Arial"/>
                <w:sz w:val="20"/>
                <w:szCs w:val="20"/>
                <w:color w:val="auto"/>
              </w:rPr>
              <w:t>Other assets</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1,704</w:t>
            </w: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1,704</w:t>
            </w:r>
          </w:p>
        </w:tc>
      </w:tr>
      <w:tr>
        <w:trPr>
          <w:trHeight w:val="230"/>
        </w:trPr>
        <w:tc>
          <w:tcPr>
            <w:tcW w:w="4800" w:type="dxa"/>
            <w:vAlign w:val="bottom"/>
          </w:tcPr>
          <w:p>
            <w:pPr>
              <w:ind w:left="120"/>
              <w:spacing w:after="0" w:line="220" w:lineRule="exact"/>
              <w:rPr>
                <w:sz w:val="20"/>
                <w:szCs w:val="20"/>
                <w:color w:val="auto"/>
              </w:rPr>
            </w:pPr>
            <w:r>
              <w:rPr>
                <w:rFonts w:ascii="Arial" w:cs="Arial" w:eastAsia="Arial" w:hAnsi="Arial"/>
                <w:sz w:val="20"/>
                <w:szCs w:val="20"/>
                <w:color w:val="auto"/>
              </w:rPr>
              <w:t>Total</w:t>
            </w:r>
          </w:p>
        </w:tc>
        <w:tc>
          <w:tcPr>
            <w:tcW w:w="42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211,087</w:t>
            </w:r>
          </w:p>
        </w:tc>
        <w:tc>
          <w:tcPr>
            <w:tcW w:w="58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106,706</w:t>
            </w: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25,085</w:t>
            </w:r>
          </w:p>
        </w:tc>
        <w:tc>
          <w:tcPr>
            <w:tcW w:w="60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342,878</w:t>
            </w:r>
          </w:p>
        </w:tc>
      </w:tr>
      <w:tr>
        <w:trPr>
          <w:trHeight w:val="20"/>
        </w:trPr>
        <w:tc>
          <w:tcPr>
            <w:tcW w:w="4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majority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U.S. Treasuries, certificates of deposit, commercial paper and municipal securities, is based on other observable inputs, specifically a market approach which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9"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utilizes valuation models, pricing systems, mathematical tools and other relevant information for the same or similar securities. There were no transfers between Level 1 and Level 2 measurements during the year ended December 31, 2013 or the year ended December 31, 2012, and there were no changes in the Company’s valuation techniques.</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Company’s Level 3 assets are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year ended December 31, 2013.</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presents quantitative information related to the significant unobservable inputs utilized in the Company’s Level 3 recurring fair value measurements as of December 31, 2013.</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60" w:type="dxa"/>
            <w:vAlign w:val="bottom"/>
            <w:vMerge w:val="restart"/>
          </w:tcPr>
          <w:p>
            <w:pPr>
              <w:spacing w:after="0"/>
              <w:rPr>
                <w:sz w:val="20"/>
                <w:szCs w:val="20"/>
                <w:color w:val="auto"/>
              </w:rPr>
            </w:pPr>
            <w:r>
              <w:rPr>
                <w:rFonts w:ascii="Arial" w:cs="Arial" w:eastAsia="Arial" w:hAnsi="Arial"/>
                <w:sz w:val="19"/>
                <w:szCs w:val="19"/>
                <w:color w:val="auto"/>
              </w:rPr>
              <w:t>Auction Rate Securities</w:t>
            </w:r>
          </w:p>
        </w:tc>
        <w:tc>
          <w:tcPr>
            <w:tcW w:w="460" w:type="dxa"/>
            <w:vAlign w:val="bottom"/>
          </w:tcPr>
          <w:p>
            <w:pPr>
              <w:spacing w:after="0"/>
              <w:rPr>
                <w:sz w:val="20"/>
                <w:szCs w:val="20"/>
                <w:color w:val="auto"/>
              </w:rPr>
            </w:pPr>
          </w:p>
        </w:tc>
        <w:tc>
          <w:tcPr>
            <w:tcW w:w="2320" w:type="dxa"/>
            <w:vAlign w:val="bottom"/>
            <w:tcBorders>
              <w:bottom w:val="single" w:sz="8" w:color="auto"/>
            </w:tcBorders>
          </w:tcPr>
          <w:p>
            <w:pPr>
              <w:ind w:left="380"/>
              <w:spacing w:after="0"/>
              <w:rPr>
                <w:sz w:val="20"/>
                <w:szCs w:val="20"/>
                <w:color w:val="auto"/>
              </w:rPr>
            </w:pPr>
            <w:r>
              <w:rPr>
                <w:rFonts w:ascii="Arial" w:cs="Arial" w:eastAsia="Arial" w:hAnsi="Arial"/>
                <w:sz w:val="19"/>
                <w:szCs w:val="19"/>
                <w:color w:val="auto"/>
              </w:rPr>
              <w:t>Valuation Technique</w:t>
            </w:r>
          </w:p>
        </w:tc>
        <w:tc>
          <w:tcPr>
            <w:tcW w:w="240" w:type="dxa"/>
            <w:vAlign w:val="bottom"/>
          </w:tcPr>
          <w:p>
            <w:pPr>
              <w:spacing w:after="0"/>
              <w:rPr>
                <w:sz w:val="20"/>
                <w:szCs w:val="20"/>
                <w:color w:val="auto"/>
              </w:rPr>
            </w:pPr>
          </w:p>
        </w:tc>
        <w:tc>
          <w:tcPr>
            <w:tcW w:w="3000" w:type="dxa"/>
            <w:vAlign w:val="bottom"/>
            <w:tcBorders>
              <w:bottom w:val="single" w:sz="8" w:color="auto"/>
            </w:tcBorders>
          </w:tcPr>
          <w:p>
            <w:pPr>
              <w:ind w:left="760"/>
              <w:spacing w:after="0"/>
              <w:rPr>
                <w:sz w:val="20"/>
                <w:szCs w:val="20"/>
                <w:color w:val="auto"/>
              </w:rPr>
            </w:pPr>
            <w:r>
              <w:rPr>
                <w:rFonts w:ascii="Arial" w:cs="Arial" w:eastAsia="Arial" w:hAnsi="Arial"/>
                <w:sz w:val="19"/>
                <w:szCs w:val="19"/>
                <w:color w:val="auto"/>
              </w:rPr>
              <w:t>Unobservable Input</w:t>
            </w:r>
          </w:p>
        </w:tc>
        <w:tc>
          <w:tcPr>
            <w:tcW w:w="260" w:type="dxa"/>
            <w:vAlign w:val="bottom"/>
          </w:tcPr>
          <w:p>
            <w:pPr>
              <w:spacing w:after="0"/>
              <w:rPr>
                <w:sz w:val="20"/>
                <w:szCs w:val="20"/>
                <w:color w:val="auto"/>
              </w:rPr>
            </w:pPr>
          </w:p>
        </w:tc>
        <w:tc>
          <w:tcPr>
            <w:tcW w:w="2820" w:type="dxa"/>
            <w:vAlign w:val="bottom"/>
            <w:tcBorders>
              <w:bottom w:val="single" w:sz="8" w:color="auto"/>
            </w:tcBorders>
          </w:tcPr>
          <w:p>
            <w:pPr>
              <w:jc w:val="right"/>
              <w:ind w:right="285"/>
              <w:spacing w:after="0"/>
              <w:rPr>
                <w:sz w:val="20"/>
                <w:szCs w:val="20"/>
                <w:color w:val="auto"/>
              </w:rPr>
            </w:pPr>
            <w:r>
              <w:rPr>
                <w:rFonts w:ascii="Arial" w:cs="Arial" w:eastAsia="Arial" w:hAnsi="Arial"/>
                <w:sz w:val="19"/>
                <w:szCs w:val="19"/>
                <w:color w:val="auto"/>
              </w:rPr>
              <w:t>Range (Weighted-Average)</w:t>
            </w:r>
          </w:p>
        </w:tc>
        <w:tc>
          <w:tcPr>
            <w:tcW w:w="0" w:type="dxa"/>
            <w:vAlign w:val="bottom"/>
          </w:tcPr>
          <w:p>
            <w:pPr>
              <w:spacing w:after="0"/>
              <w:rPr>
                <w:sz w:val="1"/>
                <w:szCs w:val="1"/>
                <w:color w:val="auto"/>
              </w:rPr>
            </w:pPr>
          </w:p>
        </w:tc>
      </w:tr>
      <w:tr>
        <w:trPr>
          <w:trHeight w:val="187"/>
        </w:trPr>
        <w:tc>
          <w:tcPr>
            <w:tcW w:w="22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320" w:type="dxa"/>
            <w:vAlign w:val="bottom"/>
          </w:tcPr>
          <w:p>
            <w:pPr>
              <w:spacing w:after="0" w:line="187" w:lineRule="exact"/>
              <w:rPr>
                <w:sz w:val="20"/>
                <w:szCs w:val="20"/>
                <w:color w:val="auto"/>
              </w:rPr>
            </w:pPr>
            <w:r>
              <w:rPr>
                <w:rFonts w:ascii="Arial" w:cs="Arial" w:eastAsia="Arial" w:hAnsi="Arial"/>
                <w:sz w:val="19"/>
                <w:szCs w:val="19"/>
                <w:color w:val="auto"/>
              </w:rPr>
              <w:t>Discounted cash flow</w:t>
            </w:r>
          </w:p>
        </w:tc>
        <w:tc>
          <w:tcPr>
            <w:tcW w:w="240" w:type="dxa"/>
            <w:vAlign w:val="bottom"/>
          </w:tcPr>
          <w:p>
            <w:pPr>
              <w:spacing w:after="0"/>
              <w:rPr>
                <w:sz w:val="16"/>
                <w:szCs w:val="16"/>
                <w:color w:val="auto"/>
              </w:rPr>
            </w:pPr>
          </w:p>
        </w:tc>
        <w:tc>
          <w:tcPr>
            <w:tcW w:w="3000" w:type="dxa"/>
            <w:vAlign w:val="bottom"/>
          </w:tcPr>
          <w:p>
            <w:pPr>
              <w:spacing w:after="0" w:line="187" w:lineRule="exact"/>
              <w:rPr>
                <w:sz w:val="20"/>
                <w:szCs w:val="20"/>
                <w:color w:val="auto"/>
              </w:rPr>
            </w:pPr>
            <w:r>
              <w:rPr>
                <w:rFonts w:ascii="Arial" w:cs="Arial" w:eastAsia="Arial" w:hAnsi="Arial"/>
                <w:sz w:val="19"/>
                <w:szCs w:val="19"/>
                <w:color w:val="auto"/>
              </w:rPr>
              <w:t>Maximum rate probability</w:t>
            </w:r>
          </w:p>
        </w:tc>
        <w:tc>
          <w:tcPr>
            <w:tcW w:w="260" w:type="dxa"/>
            <w:vAlign w:val="bottom"/>
          </w:tcPr>
          <w:p>
            <w:pPr>
              <w:spacing w:after="0"/>
              <w:rPr>
                <w:sz w:val="16"/>
                <w:szCs w:val="16"/>
                <w:color w:val="auto"/>
              </w:rPr>
            </w:pPr>
          </w:p>
        </w:tc>
        <w:tc>
          <w:tcPr>
            <w:tcW w:w="2820" w:type="dxa"/>
            <w:vAlign w:val="bottom"/>
          </w:tcPr>
          <w:p>
            <w:pPr>
              <w:jc w:val="right"/>
              <w:ind w:right="1025"/>
              <w:spacing w:after="0" w:line="187" w:lineRule="exact"/>
              <w:rPr>
                <w:sz w:val="20"/>
                <w:szCs w:val="20"/>
                <w:color w:val="auto"/>
              </w:rPr>
            </w:pPr>
            <w:r>
              <w:rPr>
                <w:rFonts w:ascii="Arial" w:cs="Arial" w:eastAsia="Arial" w:hAnsi="Arial"/>
                <w:sz w:val="19"/>
                <w:szCs w:val="19"/>
                <w:color w:val="auto"/>
                <w:w w:val="90"/>
              </w:rPr>
              <w:t>0.57%-2.30% (1.34%)</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40" w:type="dxa"/>
            <w:vAlign w:val="bottom"/>
            <w:gridSpan w:val="2"/>
          </w:tcPr>
          <w:p>
            <w:pPr>
              <w:ind w:left="240"/>
              <w:spacing w:after="0" w:line="216" w:lineRule="exact"/>
              <w:rPr>
                <w:sz w:val="20"/>
                <w:szCs w:val="20"/>
                <w:color w:val="auto"/>
              </w:rPr>
            </w:pPr>
            <w:r>
              <w:rPr>
                <w:rFonts w:ascii="Arial" w:cs="Arial" w:eastAsia="Arial" w:hAnsi="Arial"/>
                <w:sz w:val="19"/>
                <w:szCs w:val="19"/>
                <w:color w:val="auto"/>
              </w:rPr>
              <w:t>Principal returned probability</w:t>
            </w:r>
          </w:p>
        </w:tc>
        <w:tc>
          <w:tcPr>
            <w:tcW w:w="3080" w:type="dxa"/>
            <w:vAlign w:val="bottom"/>
            <w:gridSpan w:val="2"/>
          </w:tcPr>
          <w:p>
            <w:pPr>
              <w:ind w:left="240"/>
              <w:spacing w:after="0" w:line="216" w:lineRule="exact"/>
              <w:rPr>
                <w:sz w:val="20"/>
                <w:szCs w:val="20"/>
                <w:color w:val="auto"/>
              </w:rPr>
            </w:pPr>
            <w:r>
              <w:rPr>
                <w:rFonts w:ascii="Arial" w:cs="Arial" w:eastAsia="Arial" w:hAnsi="Arial"/>
                <w:sz w:val="19"/>
                <w:szCs w:val="19"/>
                <w:color w:val="auto"/>
              </w:rPr>
              <w:t>85.84%-94.93% (87.13%)</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40" w:type="dxa"/>
            <w:vAlign w:val="bottom"/>
            <w:gridSpan w:val="2"/>
          </w:tcPr>
          <w:p>
            <w:pPr>
              <w:ind w:left="240"/>
              <w:spacing w:after="0" w:line="216" w:lineRule="exact"/>
              <w:rPr>
                <w:sz w:val="20"/>
                <w:szCs w:val="20"/>
                <w:color w:val="auto"/>
              </w:rPr>
            </w:pPr>
            <w:r>
              <w:rPr>
                <w:rFonts w:ascii="Arial" w:cs="Arial" w:eastAsia="Arial" w:hAnsi="Arial"/>
                <w:sz w:val="19"/>
                <w:szCs w:val="19"/>
                <w:color w:val="auto"/>
              </w:rPr>
              <w:t>Default probability</w:t>
            </w:r>
          </w:p>
        </w:tc>
        <w:tc>
          <w:tcPr>
            <w:tcW w:w="3080" w:type="dxa"/>
            <w:vAlign w:val="bottom"/>
            <w:gridSpan w:val="2"/>
          </w:tcPr>
          <w:p>
            <w:pPr>
              <w:ind w:left="240"/>
              <w:spacing w:after="0" w:line="216" w:lineRule="exact"/>
              <w:rPr>
                <w:sz w:val="20"/>
                <w:szCs w:val="20"/>
                <w:color w:val="auto"/>
              </w:rPr>
            </w:pPr>
            <w:r>
              <w:rPr>
                <w:rFonts w:ascii="Arial" w:cs="Arial" w:eastAsia="Arial" w:hAnsi="Arial"/>
                <w:sz w:val="19"/>
                <w:szCs w:val="19"/>
                <w:color w:val="auto"/>
              </w:rPr>
              <w:t>4.18%-12.08% (11.53%)</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40" w:type="dxa"/>
            <w:vAlign w:val="bottom"/>
            <w:gridSpan w:val="2"/>
          </w:tcPr>
          <w:p>
            <w:pPr>
              <w:ind w:left="240"/>
              <w:spacing w:after="0" w:line="216" w:lineRule="exact"/>
              <w:rPr>
                <w:sz w:val="20"/>
                <w:szCs w:val="20"/>
                <w:color w:val="auto"/>
              </w:rPr>
            </w:pPr>
            <w:r>
              <w:rPr>
                <w:rFonts w:ascii="Arial" w:cs="Arial" w:eastAsia="Arial" w:hAnsi="Arial"/>
                <w:sz w:val="19"/>
                <w:szCs w:val="19"/>
                <w:color w:val="auto"/>
              </w:rPr>
              <w:t>Liquidity risk</w:t>
            </w:r>
          </w:p>
        </w:tc>
        <w:tc>
          <w:tcPr>
            <w:tcW w:w="3080" w:type="dxa"/>
            <w:vAlign w:val="bottom"/>
            <w:gridSpan w:val="2"/>
          </w:tcPr>
          <w:p>
            <w:pPr>
              <w:ind w:left="240"/>
              <w:spacing w:after="0" w:line="216" w:lineRule="exact"/>
              <w:rPr>
                <w:sz w:val="20"/>
                <w:szCs w:val="20"/>
                <w:color w:val="auto"/>
              </w:rPr>
            </w:pPr>
            <w:r>
              <w:rPr>
                <w:rFonts w:ascii="Arial" w:cs="Arial" w:eastAsia="Arial" w:hAnsi="Arial"/>
                <w:sz w:val="19"/>
                <w:szCs w:val="19"/>
                <w:color w:val="auto"/>
              </w:rPr>
              <w:t>3.00%-3.00% (3.00%)</w:t>
            </w:r>
          </w:p>
        </w:tc>
        <w:tc>
          <w:tcPr>
            <w:tcW w:w="0" w:type="dxa"/>
            <w:vAlign w:val="bottom"/>
          </w:tcPr>
          <w:p>
            <w:pPr>
              <w:spacing w:after="0"/>
              <w:rPr>
                <w:sz w:val="1"/>
                <w:szCs w:val="1"/>
                <w:color w:val="auto"/>
              </w:rPr>
            </w:pPr>
          </w:p>
        </w:tc>
      </w:tr>
      <w:tr>
        <w:trPr>
          <w:trHeight w:val="240"/>
        </w:trPr>
        <w:tc>
          <w:tcPr>
            <w:tcW w:w="2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40" w:type="dxa"/>
            <w:vAlign w:val="bottom"/>
            <w:gridSpan w:val="2"/>
          </w:tcPr>
          <w:p>
            <w:pPr>
              <w:ind w:left="240"/>
              <w:spacing w:after="0"/>
              <w:rPr>
                <w:sz w:val="20"/>
                <w:szCs w:val="20"/>
                <w:color w:val="auto"/>
              </w:rPr>
            </w:pPr>
            <w:r>
              <w:rPr>
                <w:rFonts w:ascii="Arial" w:cs="Arial" w:eastAsia="Arial" w:hAnsi="Arial"/>
                <w:sz w:val="19"/>
                <w:szCs w:val="19"/>
                <w:color w:val="auto"/>
              </w:rPr>
              <w:t>Recovery rate</w:t>
            </w:r>
          </w:p>
        </w:tc>
        <w:tc>
          <w:tcPr>
            <w:tcW w:w="3080" w:type="dxa"/>
            <w:vAlign w:val="bottom"/>
            <w:gridSpan w:val="2"/>
          </w:tcPr>
          <w:p>
            <w:pPr>
              <w:ind w:left="240"/>
              <w:spacing w:after="0"/>
              <w:rPr>
                <w:sz w:val="20"/>
                <w:szCs w:val="20"/>
                <w:color w:val="auto"/>
              </w:rPr>
            </w:pPr>
            <w:r>
              <w:rPr>
                <w:rFonts w:ascii="Arial" w:cs="Arial" w:eastAsia="Arial" w:hAnsi="Arial"/>
                <w:sz w:val="19"/>
                <w:szCs w:val="19"/>
                <w:color w:val="auto"/>
              </w:rPr>
              <w:t>60-60 (60)</w:t>
            </w:r>
          </w:p>
        </w:tc>
        <w:tc>
          <w:tcPr>
            <w:tcW w:w="0" w:type="dxa"/>
            <w:vAlign w:val="bottom"/>
          </w:tcPr>
          <w:p>
            <w:pPr>
              <w:spacing w:after="0"/>
              <w:rPr>
                <w:sz w:val="1"/>
                <w:szCs w:val="1"/>
                <w:color w:val="auto"/>
              </w:rPr>
            </w:pPr>
          </w:p>
        </w:tc>
      </w:tr>
      <w:tr>
        <w:trPr>
          <w:trHeight w:val="432"/>
        </w:trPr>
        <w:tc>
          <w:tcPr>
            <w:tcW w:w="2260" w:type="dxa"/>
            <w:vAlign w:val="bottom"/>
          </w:tcPr>
          <w:p>
            <w:pPr>
              <w:spacing w:after="0"/>
              <w:rPr>
                <w:sz w:val="20"/>
                <w:szCs w:val="20"/>
                <w:color w:val="auto"/>
              </w:rPr>
            </w:pPr>
            <w:r>
              <w:rPr>
                <w:rFonts w:ascii="Arial" w:cs="Arial" w:eastAsia="Arial" w:hAnsi="Arial"/>
                <w:sz w:val="19"/>
                <w:szCs w:val="19"/>
                <w:color w:val="auto"/>
              </w:rPr>
              <w:t>Put Options</w:t>
            </w:r>
          </w:p>
        </w:tc>
        <w:tc>
          <w:tcPr>
            <w:tcW w:w="2780" w:type="dxa"/>
            <w:vAlign w:val="bottom"/>
            <w:gridSpan w:val="2"/>
          </w:tcPr>
          <w:p>
            <w:pPr>
              <w:ind w:left="460"/>
              <w:spacing w:after="0"/>
              <w:rPr>
                <w:sz w:val="20"/>
                <w:szCs w:val="20"/>
                <w:color w:val="auto"/>
              </w:rPr>
            </w:pPr>
            <w:r>
              <w:rPr>
                <w:rFonts w:ascii="Arial" w:cs="Arial" w:eastAsia="Arial" w:hAnsi="Arial"/>
                <w:sz w:val="19"/>
                <w:szCs w:val="19"/>
                <w:color w:val="auto"/>
              </w:rPr>
              <w:t>Discounted cash flow</w:t>
            </w:r>
          </w:p>
        </w:tc>
        <w:tc>
          <w:tcPr>
            <w:tcW w:w="3240" w:type="dxa"/>
            <w:vAlign w:val="bottom"/>
            <w:gridSpan w:val="2"/>
          </w:tcPr>
          <w:p>
            <w:pPr>
              <w:ind w:left="240"/>
              <w:spacing w:after="0"/>
              <w:rPr>
                <w:sz w:val="20"/>
                <w:szCs w:val="20"/>
                <w:color w:val="auto"/>
              </w:rPr>
            </w:pPr>
            <w:r>
              <w:rPr>
                <w:rFonts w:ascii="Arial" w:cs="Arial" w:eastAsia="Arial" w:hAnsi="Arial"/>
                <w:sz w:val="19"/>
                <w:szCs w:val="19"/>
                <w:color w:val="auto"/>
              </w:rPr>
              <w:t>Counterparty risk</w:t>
            </w:r>
          </w:p>
        </w:tc>
        <w:tc>
          <w:tcPr>
            <w:tcW w:w="3080" w:type="dxa"/>
            <w:vAlign w:val="bottom"/>
            <w:gridSpan w:val="2"/>
          </w:tcPr>
          <w:p>
            <w:pPr>
              <w:ind w:left="240"/>
              <w:spacing w:after="0"/>
              <w:rPr>
                <w:sz w:val="20"/>
                <w:szCs w:val="20"/>
                <w:color w:val="auto"/>
              </w:rPr>
            </w:pPr>
            <w:r>
              <w:rPr>
                <w:rFonts w:ascii="Arial" w:cs="Arial" w:eastAsia="Arial" w:hAnsi="Arial"/>
                <w:sz w:val="19"/>
                <w:szCs w:val="19"/>
                <w:color w:val="auto"/>
              </w:rPr>
              <w:t>0.47%-0.76% (0.59%)</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At December 31, 2013, the Company held auction rate securities with a face value of $17.2 million (amortized cost basis of $16.2 million). A Level 3 valuation was performed on the Company’s auction rate securities as of December 31, 2013 resulting in a fair value of $16.2 million for the Company’s trading auction rate securities (after a $1.0 million impairment), which are included in short-term and long-term investments.</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June 2011, the Company entered into an agreement (the “2011 ARS Agreement”), related to $24.5 million of par value auction rate securities (the “2011 ARS Securities”). Under the 2011 ARS Agreement, the Company has the right to sell the 2011 ARS Securities including all accrued but unpaid interest thereon (the “2011 Put Option”) as follows: (i) on or after July 1, 2013, up to $1.0 million aggregate par value;</w:t>
      </w:r>
    </w:p>
    <w:p>
      <w:pPr>
        <w:spacing w:after="0" w:line="1" w:lineRule="exact"/>
        <w:rPr>
          <w:sz w:val="20"/>
          <w:szCs w:val="20"/>
          <w:color w:val="auto"/>
        </w:rPr>
      </w:pPr>
    </w:p>
    <w:p>
      <w:pPr>
        <w:jc w:val="both"/>
        <w:ind w:firstLine="8"/>
        <w:spacing w:after="0" w:line="253" w:lineRule="auto"/>
        <w:tabs>
          <w:tab w:leader="none" w:pos="307" w:val="left"/>
        </w:tabs>
        <w:numPr>
          <w:ilvl w:val="0"/>
          <w:numId w:val="33"/>
        </w:numPr>
        <w:rPr>
          <w:rFonts w:ascii="Arial" w:cs="Arial" w:eastAsia="Arial" w:hAnsi="Arial"/>
          <w:sz w:val="19"/>
          <w:szCs w:val="19"/>
          <w:color w:val="auto"/>
        </w:rPr>
      </w:pPr>
      <w:r>
        <w:rPr>
          <w:rFonts w:ascii="Arial" w:cs="Arial" w:eastAsia="Arial" w:hAnsi="Arial"/>
          <w:sz w:val="19"/>
          <w:szCs w:val="19"/>
          <w:color w:val="auto"/>
        </w:rPr>
        <w:t>on or after October 1, 2013, up to an additional $1.0 million aggregate par value; and (iii) in quarterly installments thereafter based on a formula of the then outstanding 2011 ARS Securities, as adjusted for normal market redemptions, with full sale rights available on or after April 1, 2016. The 2011 ARS Securities will continue to accrue interest until redeemed through the 2011 Put Option, or as determined by the auction process, or should the auction process fail, the terms outlined in the prospectus of the respective 2011 ARS Securities. Under the 2011 ARS Agreement, the Company has the obligation, should it receive written notification from the put issuer, to sell the 2011 ARS Securities at par plus all accrued but unpaid interest. During the year ended December 31, 2013, $2.0 million of 2011 ARS Securities were redeemed at par through the exercise of a portion of the 2011 Put Option and $0.3 million of 2011 ARS Securities were redeemed at par through normal market channels ($1.3 million and $3.7 million of 2011 ARS Securities were redeemed at par through normal market channels during the years ended December 31, 2012 and 2011, respectively). Subsequent to December 31, 2013, $1.7 million of 2011 ARS Securities were redeemed at par through the exercise of a portion of the 2011 Put Option. The 2011 Put Option does not meet the definition of derivative instruments under ASC 815.</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ectPr>
          <w:pgSz w:w="11900" w:h="16838" w:orient="portrait"/>
          <w:cols w:equalWidth="0" w:num="1">
            <w:col w:w="11420"/>
          </w:cols>
          <w:pgMar w:left="240" w:top="122" w:right="239" w:bottom="0" w:gutter="0" w:footer="0" w:header="0"/>
        </w:sectPr>
      </w:pPr>
    </w:p>
    <w:p>
      <w:pPr>
        <w:spacing w:after="0" w:line="219"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ectPr>
          <w:pgSz w:w="11900" w:h="16838" w:orient="portrait"/>
          <w:cols w:equalWidth="0" w:num="1">
            <w:col w:w="11420"/>
          </w:cols>
          <w:pgMar w:left="240" w:top="122" w:right="239" w:bottom="0" w:gutter="0" w:footer="0" w:header="0"/>
          <w:type w:val="continuous"/>
        </w:sectPr>
      </w:pPr>
    </w:p>
    <w:bookmarkStart w:id="55" w:name="page56"/>
    <w:bookmarkEnd w:id="55"/>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spacing w:after="0" w:line="250" w:lineRule="auto"/>
        <w:rPr>
          <w:sz w:val="20"/>
          <w:szCs w:val="20"/>
          <w:color w:val="auto"/>
        </w:rPr>
      </w:pPr>
      <w:r>
        <w:rPr>
          <w:rFonts w:ascii="Arial" w:cs="Arial" w:eastAsia="Arial" w:hAnsi="Arial"/>
          <w:sz w:val="20"/>
          <w:szCs w:val="20"/>
          <w:color w:val="auto"/>
        </w:rPr>
        <w:t>Therefore, the Company elected the fair value option under ASC 825-10 in accounting for the 2011 Put Option. As of December 31, 2013, the Company recorded $1.1 million as the fair market value of the 2011 Put Option, included in prepaid expenses and other current assets, as well as in other assets, in the condensed consolidated balance sheet.</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March 2010, the Company entered into an agreement (the “2010 ARS Agreement”), related to $54.2 million of par value auction rate securities (the “2010 ARS Securities”). Under the 2010 ARS Agreement, the Company had the right, but not the obligation, to sell the 2010 ARS Securities including all accrued but unpaid interest thereon (the “2010 Put Option”), under various terms. During the three-months ended March 31, 2012, the remaining $15.7 million of par value 2010 ARS Securities were redeemed at par through the exercise of the 2010 Put Option, which exhausted the Company’s rights under the 2010 ARS Agreement (as of December 31, 2011, $38.5 million of par value 2010 ARS Securities had been redeemed at par through the exercise of the 2010 Put Option as well as through normal market channels).</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net effect of (i) the revaluation of the 2011 Put Option as of December 31, 2013; (ii) the redemption at par of certain 2011 ARS Securities; (iii) the revaluation of the Company’s trading auction rate securities as of December 31, 2013; and (iv) a recognized gain resulting from the redemption of previously other-than-temporary impaired securities; resulted in a gain of $2.7 million, which is included in other (expense) income for the year ended December 31, 2013. The net effect of (i) the revaluation of the 2011 Put Option as of December 31, 2012;</w:t>
      </w:r>
    </w:p>
    <w:p>
      <w:pPr>
        <w:spacing w:after="0" w:line="3" w:lineRule="exact"/>
        <w:rPr>
          <w:sz w:val="20"/>
          <w:szCs w:val="20"/>
          <w:color w:val="auto"/>
        </w:rPr>
      </w:pPr>
    </w:p>
    <w:p>
      <w:pPr>
        <w:jc w:val="both"/>
        <w:ind w:firstLine="8"/>
        <w:spacing w:after="0" w:line="266" w:lineRule="auto"/>
        <w:tabs>
          <w:tab w:leader="none" w:pos="30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revaluation of the Company’s trading auction rate securities as of December 31, 2012; (iii) the redemption at par of certain 2011 ARS Securities; (iv) the redemption at par of certain 2010 ARS Securities, including those redeemed at par through the exercise of the 2010 Put Option; and (v) a recognized gain resulting from the redemption at par of a previously other-than-temporary impaired security; resulted in a gain of $0.8 million, which is included in other income (expense) for the year ended December 31, 2012. The net effect of (i) the acquisition of the 2011 Put Option during the second fiscal quarter of 2011; (ii) the revaluation of the 2011 Put Option and the 2010 Put Option as of December 31, 2011; (iii) the transfer from available-for-sale to trading of the 2011 ARS Securities during the second fiscal quarter of 2011;</w:t>
      </w:r>
    </w:p>
    <w:p>
      <w:pPr>
        <w:spacing w:after="0" w:line="1" w:lineRule="exact"/>
        <w:rPr>
          <w:rFonts w:ascii="Arial" w:cs="Arial" w:eastAsia="Arial" w:hAnsi="Arial"/>
          <w:sz w:val="18"/>
          <w:szCs w:val="18"/>
          <w:color w:val="auto"/>
        </w:rPr>
      </w:pPr>
    </w:p>
    <w:p>
      <w:pPr>
        <w:jc w:val="both"/>
        <w:ind w:firstLine="8"/>
        <w:spacing w:after="0" w:line="258" w:lineRule="auto"/>
        <w:tabs>
          <w:tab w:leader="none" w:pos="347"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revaluation of the Company’s trading auction rate securities as of December 31, 2011; (v) the redemption at par of certain 2011 ARS Securities and 2010 ARS Securities, including those redeemed at par through the exercise of the 2010 Put Option; and (vi) a recognized gain resulting from the redemption at par of a previously other-than-temporary impaired security during the first fiscal quarter of 2011, resulted in a (loss) of ($0.8) million included in other (expense) income for the year ended December 31, 2011.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following table provides a summary reconciliation of the Company’s financial assets that are recorded at fair value on a recurring basis using significant unobservable inputs (Level 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December 31, 2013</w:t>
            </w:r>
          </w:p>
        </w:tc>
        <w:tc>
          <w:tcPr>
            <w:tcW w:w="6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ind w:left="380"/>
              <w:spacing w:after="0"/>
              <w:rPr>
                <w:sz w:val="20"/>
                <w:szCs w:val="20"/>
                <w:color w:val="auto"/>
              </w:rPr>
            </w:pPr>
            <w:r>
              <w:rPr>
                <w:rFonts w:ascii="Arial" w:cs="Arial" w:eastAsia="Arial" w:hAnsi="Arial"/>
                <w:sz w:val="20"/>
                <w:szCs w:val="20"/>
                <w:color w:val="auto"/>
                <w:w w:val="91"/>
              </w:rPr>
              <w:t>December 31, 2012</w:t>
            </w: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center"/>
              <w:ind w:right="660"/>
              <w:spacing w:after="0" w:line="207" w:lineRule="exact"/>
              <w:rPr>
                <w:sz w:val="20"/>
                <w:szCs w:val="20"/>
                <w:color w:val="auto"/>
              </w:rPr>
            </w:pPr>
            <w:r>
              <w:rPr>
                <w:rFonts w:ascii="Arial" w:cs="Arial" w:eastAsia="Arial" w:hAnsi="Arial"/>
                <w:sz w:val="20"/>
                <w:szCs w:val="20"/>
                <w:color w:val="auto"/>
                <w:w w:val="95"/>
              </w:rPr>
              <w:t>Auction</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center"/>
              <w:ind w:right="620"/>
              <w:spacing w:after="0" w:line="207" w:lineRule="exact"/>
              <w:rPr>
                <w:sz w:val="20"/>
                <w:szCs w:val="20"/>
                <w:color w:val="auto"/>
              </w:rPr>
            </w:pPr>
            <w:r>
              <w:rPr>
                <w:rFonts w:ascii="Arial" w:cs="Arial" w:eastAsia="Arial" w:hAnsi="Arial"/>
                <w:sz w:val="20"/>
                <w:szCs w:val="20"/>
                <w:color w:val="auto"/>
                <w:w w:val="95"/>
              </w:rPr>
              <w:t>Auction</w:t>
            </w: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20"/>
                <w:szCs w:val="20"/>
                <w:color w:val="auto"/>
                <w:w w:val="85"/>
              </w:rPr>
              <w:t>Rate</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20"/>
                <w:szCs w:val="20"/>
                <w:color w:val="auto"/>
                <w:w w:val="85"/>
              </w:rPr>
              <w:t>Rate</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vMerge w:val="restart"/>
          </w:tcPr>
          <w:p>
            <w:pPr>
              <w:spacing w:after="0"/>
              <w:rPr>
                <w:sz w:val="20"/>
                <w:szCs w:val="20"/>
                <w:color w:val="auto"/>
              </w:rPr>
            </w:pPr>
            <w:r>
              <w:rPr>
                <w:rFonts w:ascii="Arial" w:cs="Arial" w:eastAsia="Arial" w:hAnsi="Arial"/>
                <w:sz w:val="20"/>
                <w:szCs w:val="20"/>
                <w:color w:val="auto"/>
              </w:rPr>
              <w:t>Opening Balance</w:t>
            </w:r>
          </w:p>
        </w:tc>
        <w:tc>
          <w:tcPr>
            <w:tcW w:w="1660" w:type="dxa"/>
            <w:vAlign w:val="bottom"/>
            <w:gridSpan w:val="3"/>
          </w:tcPr>
          <w:p>
            <w:pPr>
              <w:jc w:val="center"/>
              <w:ind w:right="280"/>
              <w:spacing w:after="0"/>
              <w:rPr>
                <w:sz w:val="20"/>
                <w:szCs w:val="20"/>
                <w:color w:val="auto"/>
              </w:rPr>
            </w:pPr>
            <w:r>
              <w:rPr>
                <w:rFonts w:ascii="Arial" w:cs="Arial" w:eastAsia="Arial" w:hAnsi="Arial"/>
                <w:sz w:val="20"/>
                <w:szCs w:val="20"/>
                <w:color w:val="auto"/>
                <w:w w:val="88"/>
              </w:rPr>
              <w:t>Securities</w:t>
            </w:r>
          </w:p>
        </w:tc>
        <w:tc>
          <w:tcPr>
            <w:tcW w:w="1660" w:type="dxa"/>
            <w:vAlign w:val="bottom"/>
            <w:gridSpan w:val="3"/>
          </w:tcPr>
          <w:p>
            <w:pPr>
              <w:ind w:left="220"/>
              <w:spacing w:after="0"/>
              <w:rPr>
                <w:sz w:val="20"/>
                <w:szCs w:val="20"/>
                <w:color w:val="auto"/>
              </w:rPr>
            </w:pPr>
            <w:r>
              <w:rPr>
                <w:rFonts w:ascii="Arial" w:cs="Arial" w:eastAsia="Arial" w:hAnsi="Arial"/>
                <w:sz w:val="20"/>
                <w:szCs w:val="20"/>
                <w:color w:val="auto"/>
              </w:rPr>
              <w:t>Put Options</w:t>
            </w:r>
          </w:p>
        </w:tc>
        <w:tc>
          <w:tcPr>
            <w:tcW w:w="1640" w:type="dxa"/>
            <w:vAlign w:val="bottom"/>
            <w:gridSpan w:val="3"/>
          </w:tcPr>
          <w:p>
            <w:pPr>
              <w:jc w:val="center"/>
              <w:ind w:right="300"/>
              <w:spacing w:after="0"/>
              <w:rPr>
                <w:sz w:val="20"/>
                <w:szCs w:val="20"/>
                <w:color w:val="auto"/>
              </w:rPr>
            </w:pPr>
            <w:r>
              <w:rPr>
                <w:rFonts w:ascii="Arial" w:cs="Arial" w:eastAsia="Arial" w:hAnsi="Arial"/>
                <w:sz w:val="20"/>
                <w:szCs w:val="20"/>
                <w:color w:val="auto"/>
                <w:w w:val="88"/>
              </w:rPr>
              <w:t>Securities</w:t>
            </w:r>
          </w:p>
        </w:tc>
        <w:tc>
          <w:tcPr>
            <w:tcW w:w="1360" w:type="dxa"/>
            <w:vAlign w:val="bottom"/>
            <w:gridSpan w:val="2"/>
          </w:tcPr>
          <w:p>
            <w:pPr>
              <w:ind w:left="200"/>
              <w:spacing w:after="0"/>
              <w:rPr>
                <w:sz w:val="20"/>
                <w:szCs w:val="20"/>
                <w:color w:val="auto"/>
              </w:rPr>
            </w:pPr>
            <w:r>
              <w:rPr>
                <w:rFonts w:ascii="Arial" w:cs="Arial" w:eastAsia="Arial" w:hAnsi="Arial"/>
                <w:sz w:val="20"/>
                <w:szCs w:val="20"/>
                <w:color w:val="auto"/>
              </w:rPr>
              <w:t>Put Options</w:t>
            </w:r>
          </w:p>
        </w:tc>
        <w:tc>
          <w:tcPr>
            <w:tcW w:w="0" w:type="dxa"/>
            <w:vAlign w:val="bottom"/>
          </w:tcPr>
          <w:p>
            <w:pPr>
              <w:spacing w:after="0"/>
              <w:rPr>
                <w:sz w:val="1"/>
                <w:szCs w:val="1"/>
                <w:color w:val="auto"/>
              </w:rPr>
            </w:pPr>
          </w:p>
        </w:tc>
      </w:tr>
      <w:tr>
        <w:trPr>
          <w:trHeight w:val="206"/>
        </w:trPr>
        <w:tc>
          <w:tcPr>
            <w:tcW w:w="5000" w:type="dxa"/>
            <w:vAlign w:val="bottom"/>
            <w:vMerge w:val="continue"/>
          </w:tcPr>
          <w:p>
            <w:pPr>
              <w:spacing w:after="0"/>
              <w:rPr>
                <w:sz w:val="17"/>
                <w:szCs w:val="17"/>
                <w:color w:val="auto"/>
              </w:rPr>
            </w:pPr>
          </w:p>
        </w:tc>
        <w:tc>
          <w:tcPr>
            <w:tcW w:w="3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23,156</w:t>
            </w:r>
          </w:p>
        </w:tc>
        <w:tc>
          <w:tcPr>
            <w:tcW w:w="300" w:type="dxa"/>
            <w:vAlign w:val="bottom"/>
          </w:tcPr>
          <w:p>
            <w:pPr>
              <w:spacing w:after="0"/>
              <w:rPr>
                <w:sz w:val="17"/>
                <w:szCs w:val="17"/>
                <w:color w:val="auto"/>
              </w:rPr>
            </w:pPr>
          </w:p>
        </w:tc>
        <w:tc>
          <w:tcPr>
            <w:tcW w:w="740" w:type="dxa"/>
            <w:vAlign w:val="bottom"/>
            <w:tcBorders>
              <w:top w:val="single" w:sz="8" w:color="auto"/>
            </w:tcBorders>
          </w:tcPr>
          <w:p>
            <w:pPr>
              <w:jc w:val="right"/>
              <w:ind w:right="281"/>
              <w:spacing w:after="0" w:line="207" w:lineRule="exact"/>
              <w:rPr>
                <w:sz w:val="20"/>
                <w:szCs w:val="20"/>
                <w:color w:val="auto"/>
              </w:rPr>
            </w:pPr>
            <w:r>
              <w:rPr>
                <w:rFonts w:ascii="Arial" w:cs="Arial" w:eastAsia="Arial" w:hAnsi="Arial"/>
                <w:sz w:val="20"/>
                <w:szCs w:val="20"/>
                <w:color w:val="auto"/>
              </w:rPr>
              <w:t>$</w:t>
            </w:r>
          </w:p>
        </w:tc>
        <w:tc>
          <w:tcPr>
            <w:tcW w:w="6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1,929</w:t>
            </w:r>
          </w:p>
        </w:tc>
        <w:tc>
          <w:tcPr>
            <w:tcW w:w="280" w:type="dxa"/>
            <w:vAlign w:val="bottom"/>
          </w:tcPr>
          <w:p>
            <w:pPr>
              <w:spacing w:after="0"/>
              <w:rPr>
                <w:sz w:val="17"/>
                <w:szCs w:val="17"/>
                <w:color w:val="auto"/>
              </w:rPr>
            </w:pPr>
          </w:p>
        </w:tc>
        <w:tc>
          <w:tcPr>
            <w:tcW w:w="3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35,852</w:t>
            </w:r>
          </w:p>
        </w:tc>
        <w:tc>
          <w:tcPr>
            <w:tcW w:w="280" w:type="dxa"/>
            <w:vAlign w:val="bottom"/>
          </w:tcPr>
          <w:p>
            <w:pPr>
              <w:spacing w:after="0"/>
              <w:rPr>
                <w:sz w:val="17"/>
                <w:szCs w:val="17"/>
                <w:color w:val="auto"/>
              </w:rPr>
            </w:pPr>
          </w:p>
        </w:tc>
        <w:tc>
          <w:tcPr>
            <w:tcW w:w="700" w:type="dxa"/>
            <w:vAlign w:val="bottom"/>
            <w:tcBorders>
              <w:top w:val="single" w:sz="8" w:color="auto"/>
            </w:tcBorders>
          </w:tcPr>
          <w:p>
            <w:pPr>
              <w:ind w:left="220"/>
              <w:spacing w:after="0" w:line="207" w:lineRule="exact"/>
              <w:rPr>
                <w:sz w:val="20"/>
                <w:szCs w:val="20"/>
                <w:color w:val="auto"/>
              </w:rPr>
            </w:pPr>
            <w:r>
              <w:rPr>
                <w:rFonts w:ascii="Arial" w:cs="Arial" w:eastAsia="Arial" w:hAnsi="Arial"/>
                <w:sz w:val="20"/>
                <w:szCs w:val="20"/>
                <w:color w:val="auto"/>
              </w:rPr>
              <w:t>$</w:t>
            </w:r>
          </w:p>
        </w:tc>
        <w:tc>
          <w:tcPr>
            <w:tcW w:w="6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3,041</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Transfers into Level 3</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Transfers out of Level 3</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Total gains (losses) for the period:</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20"/>
                <w:szCs w:val="20"/>
                <w:color w:val="auto"/>
              </w:rPr>
              <w:t>Included in earnings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3,553</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(837)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1,897</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4"/>
              </w:rPr>
              <w:t>(1,112)</w:t>
            </w: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20"/>
                <w:szCs w:val="20"/>
                <w:color w:val="auto"/>
              </w:rPr>
              <w:t>Included in other comprehensive income</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(2,482)</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2,482</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5000" w:type="dxa"/>
            <w:vAlign w:val="bottom"/>
          </w:tcPr>
          <w:p>
            <w:pPr>
              <w:ind w:left="180"/>
              <w:spacing w:after="0"/>
              <w:rPr>
                <w:sz w:val="20"/>
                <w:szCs w:val="20"/>
                <w:color w:val="auto"/>
              </w:rPr>
            </w:pPr>
            <w:r>
              <w:rPr>
                <w:rFonts w:ascii="Arial" w:cs="Arial" w:eastAsia="Arial" w:hAnsi="Arial"/>
                <w:sz w:val="20"/>
                <w:szCs w:val="20"/>
                <w:color w:val="auto"/>
              </w:rPr>
              <w:t>Settlements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(8,043)</w:t>
            </w:r>
          </w:p>
        </w:tc>
        <w:tc>
          <w:tcPr>
            <w:tcW w:w="3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(17,075)</w:t>
            </w:r>
          </w:p>
        </w:tc>
        <w:tc>
          <w:tcPr>
            <w:tcW w:w="2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tcPr>
          <w:p>
            <w:pPr>
              <w:spacing w:after="0" w:line="220" w:lineRule="exact"/>
              <w:rPr>
                <w:sz w:val="20"/>
                <w:szCs w:val="20"/>
                <w:color w:val="auto"/>
              </w:rPr>
            </w:pPr>
            <w:r>
              <w:rPr>
                <w:rFonts w:ascii="Arial" w:cs="Arial" w:eastAsia="Arial" w:hAnsi="Arial"/>
                <w:sz w:val="20"/>
                <w:szCs w:val="20"/>
                <w:color w:val="auto"/>
              </w:rPr>
              <w:t>Closing Balance</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16,184</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1,092</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23,156</w:t>
            </w:r>
          </w:p>
        </w:tc>
        <w:tc>
          <w:tcPr>
            <w:tcW w:w="280" w:type="dxa"/>
            <w:vAlign w:val="bottom"/>
          </w:tcPr>
          <w:p>
            <w:pPr>
              <w:spacing w:after="0"/>
              <w:rPr>
                <w:sz w:val="19"/>
                <w:szCs w:val="19"/>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1,929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 December 31:</w:t>
      </w:r>
    </w:p>
    <w:p>
      <w:pPr>
        <w:spacing w:after="0" w:line="200" w:lineRule="exact"/>
        <w:rPr>
          <w:sz w:val="20"/>
          <w:szCs w:val="20"/>
          <w:color w:val="auto"/>
        </w:rPr>
      </w:pP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246"/>
        </w:trPr>
        <w:tc>
          <w:tcPr>
            <w:tcW w:w="66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2013</w:t>
            </w:r>
          </w:p>
        </w:tc>
        <w:tc>
          <w:tcPr>
            <w:tcW w:w="4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2012</w:t>
            </w:r>
          </w:p>
        </w:tc>
      </w:tr>
      <w:tr>
        <w:trPr>
          <w:trHeight w:val="268"/>
        </w:trPr>
        <w:tc>
          <w:tcPr>
            <w:tcW w:w="6640" w:type="dxa"/>
            <w:vAlign w:val="bottom"/>
          </w:tcPr>
          <w:p>
            <w:pPr>
              <w:spacing w:after="0"/>
              <w:rPr>
                <w:sz w:val="20"/>
                <w:szCs w:val="20"/>
                <w:color w:val="auto"/>
              </w:rPr>
            </w:pPr>
            <w:r>
              <w:rPr>
                <w:rFonts w:ascii="Arial" w:cs="Arial" w:eastAsia="Arial" w:hAnsi="Arial"/>
                <w:sz w:val="20"/>
                <w:szCs w:val="20"/>
                <w:color w:val="auto"/>
              </w:rPr>
              <w:t>Raw materials</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68,088</w:t>
            </w:r>
          </w:p>
        </w:tc>
        <w:tc>
          <w:tcPr>
            <w:tcW w:w="420" w:type="dxa"/>
            <w:vAlign w:val="bottom"/>
          </w:tcPr>
          <w:p>
            <w:pPr>
              <w:spacing w:after="0"/>
              <w:rPr>
                <w:sz w:val="23"/>
                <w:szCs w:val="23"/>
                <w:color w:val="auto"/>
              </w:rPr>
            </w:pPr>
          </w:p>
        </w:tc>
        <w:tc>
          <w:tcPr>
            <w:tcW w:w="4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65,010</w:t>
            </w:r>
          </w:p>
        </w:tc>
      </w:tr>
      <w:tr>
        <w:trPr>
          <w:trHeight w:val="266"/>
        </w:trPr>
        <w:tc>
          <w:tcPr>
            <w:tcW w:w="6640" w:type="dxa"/>
            <w:vAlign w:val="bottom"/>
          </w:tcPr>
          <w:p>
            <w:pPr>
              <w:spacing w:after="0"/>
              <w:rPr>
                <w:sz w:val="20"/>
                <w:szCs w:val="20"/>
                <w:color w:val="auto"/>
              </w:rPr>
            </w:pPr>
            <w:r>
              <w:rPr>
                <w:rFonts w:ascii="Arial" w:cs="Arial" w:eastAsia="Arial" w:hAnsi="Arial"/>
                <w:sz w:val="20"/>
                <w:szCs w:val="20"/>
                <w:color w:val="auto"/>
              </w:rPr>
              <w:t>Finished goods</w:t>
            </w:r>
          </w:p>
        </w:tc>
        <w:tc>
          <w:tcPr>
            <w:tcW w:w="4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153,361</w:t>
            </w:r>
          </w:p>
        </w:tc>
        <w:tc>
          <w:tcPr>
            <w:tcW w:w="4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138,096</w:t>
            </w:r>
          </w:p>
        </w:tc>
      </w:tr>
      <w:tr>
        <w:trPr>
          <w:trHeight w:val="264"/>
        </w:trPr>
        <w:tc>
          <w:tcPr>
            <w:tcW w:w="6640" w:type="dxa"/>
            <w:vAlign w:val="bottom"/>
          </w:tcPr>
          <w:p>
            <w:pPr>
              <w:spacing w:after="0"/>
              <w:rPr>
                <w:sz w:val="22"/>
                <w:szCs w:val="22"/>
                <w:color w:val="auto"/>
              </w:rPr>
            </w:pPr>
          </w:p>
        </w:tc>
        <w:tc>
          <w:tcPr>
            <w:tcW w:w="4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221,449</w:t>
            </w:r>
          </w:p>
        </w:tc>
        <w:tc>
          <w:tcPr>
            <w:tcW w:w="420" w:type="dxa"/>
            <w:vAlign w:val="bottom"/>
          </w:tcPr>
          <w:p>
            <w:pPr>
              <w:spacing w:after="0"/>
              <w:rPr>
                <w:sz w:val="22"/>
                <w:szCs w:val="22"/>
                <w:color w:val="auto"/>
              </w:rPr>
            </w:pPr>
          </w:p>
        </w:tc>
        <w:tc>
          <w:tcPr>
            <w:tcW w:w="4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203,106</w:t>
            </w:r>
          </w:p>
        </w:tc>
      </w:tr>
      <w:tr>
        <w:trPr>
          <w:trHeight w:val="20"/>
        </w:trPr>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40" w:hanging="632"/>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 December 31:</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2013</w:t>
            </w:r>
          </w:p>
        </w:tc>
        <w:tc>
          <w:tcPr>
            <w:tcW w:w="6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2012</w:t>
            </w:r>
          </w:p>
        </w:tc>
      </w:tr>
      <w:tr>
        <w:trPr>
          <w:trHeight w:val="268"/>
        </w:trPr>
        <w:tc>
          <w:tcPr>
            <w:tcW w:w="6740" w:type="dxa"/>
            <w:vAlign w:val="bottom"/>
          </w:tcPr>
          <w:p>
            <w:pPr>
              <w:spacing w:after="0"/>
              <w:rPr>
                <w:sz w:val="20"/>
                <w:szCs w:val="20"/>
                <w:color w:val="auto"/>
              </w:rPr>
            </w:pPr>
            <w:r>
              <w:rPr>
                <w:rFonts w:ascii="Arial" w:cs="Arial" w:eastAsia="Arial" w:hAnsi="Arial"/>
                <w:sz w:val="20"/>
                <w:szCs w:val="20"/>
                <w:color w:val="auto"/>
              </w:rPr>
              <w:t>Land</w:t>
            </w:r>
          </w:p>
        </w:tc>
        <w:tc>
          <w:tcPr>
            <w:tcW w:w="980" w:type="dxa"/>
            <w:vAlign w:val="bottom"/>
          </w:tcPr>
          <w:p>
            <w:pPr>
              <w:jc w:val="right"/>
              <w:ind w:right="661"/>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21"/>
              <w:spacing w:after="0"/>
              <w:rPr>
                <w:sz w:val="20"/>
                <w:szCs w:val="20"/>
                <w:color w:val="auto"/>
              </w:rPr>
            </w:pPr>
            <w:r>
              <w:rPr>
                <w:rFonts w:ascii="Arial" w:cs="Arial" w:eastAsia="Arial" w:hAnsi="Arial"/>
                <w:sz w:val="20"/>
                <w:szCs w:val="20"/>
                <w:color w:val="auto"/>
                <w:w w:val="91"/>
              </w:rPr>
              <w:t>5,382</w:t>
            </w:r>
          </w:p>
        </w:tc>
        <w:tc>
          <w:tcPr>
            <w:tcW w:w="340" w:type="dxa"/>
            <w:vAlign w:val="bottom"/>
          </w:tcPr>
          <w:p>
            <w:pPr>
              <w:spacing w:after="0"/>
              <w:rPr>
                <w:sz w:val="23"/>
                <w:szCs w:val="23"/>
                <w:color w:val="auto"/>
              </w:rPr>
            </w:pP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5,382</w:t>
            </w:r>
          </w:p>
        </w:tc>
      </w:tr>
      <w:tr>
        <w:trPr>
          <w:trHeight w:val="270"/>
        </w:trPr>
        <w:tc>
          <w:tcPr>
            <w:tcW w:w="6740" w:type="dxa"/>
            <w:vAlign w:val="bottom"/>
          </w:tcPr>
          <w:p>
            <w:pPr>
              <w:spacing w:after="0"/>
              <w:rPr>
                <w:sz w:val="20"/>
                <w:szCs w:val="20"/>
                <w:color w:val="auto"/>
              </w:rPr>
            </w:pPr>
            <w:r>
              <w:rPr>
                <w:rFonts w:ascii="Arial" w:cs="Arial" w:eastAsia="Arial" w:hAnsi="Arial"/>
                <w:sz w:val="20"/>
                <w:szCs w:val="20"/>
                <w:color w:val="auto"/>
              </w:rPr>
              <w:t>Leasehold improvements</w:t>
            </w:r>
          </w:p>
        </w:tc>
        <w:tc>
          <w:tcPr>
            <w:tcW w:w="98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20"/>
                <w:szCs w:val="20"/>
                <w:color w:val="auto"/>
                <w:w w:val="91"/>
              </w:rPr>
              <w:t>2,222</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2,300</w:t>
            </w:r>
          </w:p>
        </w:tc>
      </w:tr>
    </w:tbl>
    <w:p>
      <w:pPr>
        <w:sectPr>
          <w:pgSz w:w="11900" w:h="16915" w:orient="portrait"/>
          <w:cols w:equalWidth="0" w:num="1">
            <w:col w:w="11420"/>
          </w:cols>
          <w:pgMar w:left="240" w:top="393" w:right="23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920" w:type="dxa"/>
            <w:vAlign w:val="bottom"/>
            <w:gridSpan w:val="2"/>
          </w:tcPr>
          <w:p>
            <w:pPr>
              <w:ind w:left="660"/>
              <w:spacing w:after="0"/>
              <w:rPr>
                <w:sz w:val="20"/>
                <w:szCs w:val="20"/>
                <w:color w:val="auto"/>
              </w:rPr>
            </w:pPr>
            <w:r>
              <w:rPr>
                <w:rFonts w:ascii="Arial" w:cs="Arial" w:eastAsia="Arial" w:hAnsi="Arial"/>
                <w:sz w:val="20"/>
                <w:szCs w:val="20"/>
                <w:color w:val="auto"/>
              </w:rPr>
              <w:t>Furniture and fixtures</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3,474</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2,087</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20" w:type="dxa"/>
            <w:vAlign w:val="bottom"/>
            <w:gridSpan w:val="2"/>
          </w:tcPr>
          <w:p>
            <w:pPr>
              <w:ind w:left="660"/>
              <w:spacing w:after="0"/>
              <w:rPr>
                <w:sz w:val="20"/>
                <w:szCs w:val="20"/>
                <w:color w:val="auto"/>
              </w:rPr>
            </w:pPr>
            <w:r>
              <w:rPr>
                <w:rFonts w:ascii="Arial" w:cs="Arial" w:eastAsia="Arial" w:hAnsi="Arial"/>
                <w:sz w:val="20"/>
                <w:szCs w:val="20"/>
                <w:color w:val="auto"/>
              </w:rPr>
              <w:t>Office and computer equipment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14,135</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8,981</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20" w:type="dxa"/>
            <w:vAlign w:val="bottom"/>
            <w:gridSpan w:val="2"/>
          </w:tcPr>
          <w:p>
            <w:pPr>
              <w:ind w:left="660"/>
              <w:spacing w:after="0"/>
              <w:rPr>
                <w:sz w:val="20"/>
                <w:szCs w:val="20"/>
                <w:color w:val="auto"/>
              </w:rPr>
            </w:pPr>
            <w:r>
              <w:rPr>
                <w:rFonts w:ascii="Arial" w:cs="Arial" w:eastAsia="Arial" w:hAnsi="Arial"/>
                <w:sz w:val="20"/>
                <w:szCs w:val="20"/>
                <w:color w:val="auto"/>
              </w:rPr>
              <w:t>Computer software</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791</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1,135</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20" w:type="dxa"/>
            <w:vAlign w:val="bottom"/>
            <w:gridSpan w:val="2"/>
          </w:tcPr>
          <w:p>
            <w:pPr>
              <w:ind w:left="660"/>
              <w:spacing w:after="0"/>
              <w:rPr>
                <w:sz w:val="20"/>
                <w:szCs w:val="20"/>
                <w:color w:val="auto"/>
              </w:rPr>
            </w:pPr>
            <w:r>
              <w:rPr>
                <w:rFonts w:ascii="Arial" w:cs="Arial" w:eastAsia="Arial" w:hAnsi="Arial"/>
                <w:sz w:val="20"/>
                <w:szCs w:val="20"/>
                <w:color w:val="auto"/>
              </w:rPr>
              <w:t>Equipment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62,552</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48,427</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20" w:type="dxa"/>
            <w:vAlign w:val="bottom"/>
            <w:gridSpan w:val="2"/>
          </w:tcPr>
          <w:p>
            <w:pPr>
              <w:ind w:left="660"/>
              <w:spacing w:after="0"/>
              <w:rPr>
                <w:sz w:val="20"/>
                <w:szCs w:val="20"/>
                <w:color w:val="auto"/>
              </w:rPr>
            </w:pPr>
            <w:r>
              <w:rPr>
                <w:rFonts w:ascii="Arial" w:cs="Arial" w:eastAsia="Arial" w:hAnsi="Arial"/>
                <w:sz w:val="20"/>
                <w:szCs w:val="20"/>
                <w:color w:val="auto"/>
              </w:rPr>
              <w:t>Building</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33,468</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21,998</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920" w:type="dxa"/>
            <w:vAlign w:val="bottom"/>
            <w:gridSpan w:val="2"/>
          </w:tcPr>
          <w:p>
            <w:pPr>
              <w:ind w:left="660"/>
              <w:spacing w:after="0"/>
              <w:rPr>
                <w:sz w:val="20"/>
                <w:szCs w:val="20"/>
                <w:color w:val="auto"/>
              </w:rPr>
            </w:pPr>
            <w:r>
              <w:rPr>
                <w:rFonts w:ascii="Arial" w:cs="Arial" w:eastAsia="Arial" w:hAnsi="Arial"/>
                <w:sz w:val="20"/>
                <w:szCs w:val="20"/>
                <w:color w:val="auto"/>
              </w:rPr>
              <w:t>Vehicles</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30,442</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26,037</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74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152,466</w:t>
            </w:r>
          </w:p>
        </w:tc>
        <w:tc>
          <w:tcPr>
            <w:tcW w:w="3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116,347</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7400" w:type="dxa"/>
            <w:vAlign w:val="bottom"/>
          </w:tcPr>
          <w:p>
            <w:pPr>
              <w:ind w:left="660"/>
              <w:spacing w:after="0"/>
              <w:rPr>
                <w:sz w:val="20"/>
                <w:szCs w:val="20"/>
                <w:color w:val="auto"/>
              </w:rPr>
            </w:pPr>
            <w:r>
              <w:rPr>
                <w:rFonts w:ascii="Arial" w:cs="Arial" w:eastAsia="Arial" w:hAnsi="Arial"/>
                <w:sz w:val="20"/>
                <w:szCs w:val="20"/>
                <w:color w:val="auto"/>
              </w:rPr>
              <w:t>Less: accumulated depreciation and amortization</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(64,323)</w:t>
            </w:r>
          </w:p>
        </w:tc>
        <w:tc>
          <w:tcPr>
            <w:tcW w:w="34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(47,210)</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920" w:type="dxa"/>
            <w:vAlign w:val="bottom"/>
            <w:gridSpan w:val="2"/>
          </w:tcPr>
          <w:p>
            <w:pPr>
              <w:ind w:left="752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88,143</w:t>
            </w:r>
          </w:p>
        </w:tc>
        <w:tc>
          <w:tcPr>
            <w:tcW w:w="340" w:type="dxa"/>
            <w:vAlign w:val="bottom"/>
          </w:tcPr>
          <w:p>
            <w:pPr>
              <w:spacing w:after="0"/>
              <w:rPr>
                <w:sz w:val="22"/>
                <w:szCs w:val="22"/>
                <w:color w:val="auto"/>
              </w:rPr>
            </w:pPr>
          </w:p>
        </w:tc>
        <w:tc>
          <w:tcPr>
            <w:tcW w:w="5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69,137</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ind w:left="5640"/>
              <w:spacing w:after="0"/>
              <w:rPr>
                <w:sz w:val="20"/>
                <w:szCs w:val="20"/>
                <w:color w:val="auto"/>
              </w:rPr>
            </w:pPr>
            <w:r>
              <w:rPr>
                <w:rFonts w:ascii="Arial" w:cs="Arial" w:eastAsia="Arial" w:hAnsi="Arial"/>
                <w:sz w:val="16"/>
                <w:szCs w:val="16"/>
                <w:color w:val="auto"/>
              </w:rPr>
              <w:t>87</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4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74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9"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3"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INTANGIBLES,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provides additional information concerning the Company’s intangibles as of December 31:</w:t>
      </w:r>
    </w:p>
    <w:p>
      <w:pPr>
        <w:spacing w:after="0" w:line="297" w:lineRule="exact"/>
        <w:rPr>
          <w:sz w:val="20"/>
          <w:szCs w:val="20"/>
          <w:color w:val="auto"/>
        </w:rPr>
      </w:pPr>
    </w:p>
    <w:tbl>
      <w:tblPr>
        <w:tblLayout w:type="fixed"/>
        <w:tblInd w:w="66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2013</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2012</w:t>
            </w:r>
          </w:p>
        </w:tc>
      </w:tr>
      <w:tr>
        <w:trPr>
          <w:trHeight w:val="285"/>
        </w:trPr>
        <w:tc>
          <w:tcPr>
            <w:tcW w:w="6740" w:type="dxa"/>
            <w:vAlign w:val="bottom"/>
          </w:tcPr>
          <w:p>
            <w:pPr>
              <w:spacing w:after="0"/>
              <w:rPr>
                <w:sz w:val="20"/>
                <w:szCs w:val="20"/>
                <w:color w:val="auto"/>
              </w:rPr>
            </w:pPr>
            <w:r>
              <w:rPr>
                <w:rFonts w:ascii="Arial" w:cs="Arial" w:eastAsia="Arial" w:hAnsi="Arial"/>
                <w:sz w:val="20"/>
                <w:szCs w:val="20"/>
                <w:color w:val="auto"/>
              </w:rPr>
              <w:t>Amortizing intangibles</w:t>
            </w:r>
          </w:p>
        </w:tc>
        <w:tc>
          <w:tcPr>
            <w:tcW w:w="38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1,076</w:t>
            </w:r>
          </w:p>
        </w:tc>
        <w:tc>
          <w:tcPr>
            <w:tcW w:w="340" w:type="dxa"/>
            <w:vAlign w:val="bottom"/>
          </w:tcPr>
          <w:p>
            <w:pPr>
              <w:spacing w:after="0"/>
              <w:rPr>
                <w:sz w:val="24"/>
                <w:szCs w:val="24"/>
                <w:color w:val="auto"/>
              </w:rPr>
            </w:pPr>
          </w:p>
        </w:tc>
        <w:tc>
          <w:tcPr>
            <w:tcW w:w="38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1,061</w:t>
            </w:r>
          </w:p>
        </w:tc>
      </w:tr>
      <w:tr>
        <w:trPr>
          <w:trHeight w:val="276"/>
        </w:trPr>
        <w:tc>
          <w:tcPr>
            <w:tcW w:w="6740" w:type="dxa"/>
            <w:vAlign w:val="bottom"/>
          </w:tcPr>
          <w:p>
            <w:pPr>
              <w:spacing w:after="0"/>
              <w:rPr>
                <w:sz w:val="20"/>
                <w:szCs w:val="20"/>
                <w:color w:val="auto"/>
              </w:rPr>
            </w:pPr>
            <w:r>
              <w:rPr>
                <w:rFonts w:ascii="Arial" w:cs="Arial" w:eastAsia="Arial" w:hAnsi="Arial"/>
                <w:sz w:val="20"/>
                <w:szCs w:val="20"/>
                <w:color w:val="auto"/>
              </w:rPr>
              <w:t>Accumulated amortization</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(590)</w:t>
            </w: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(553)</w:t>
            </w:r>
          </w:p>
        </w:tc>
      </w:tr>
      <w:tr>
        <w:trPr>
          <w:trHeight w:val="244"/>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486</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508</w:t>
            </w:r>
          </w:p>
        </w:tc>
      </w:tr>
      <w:tr>
        <w:trPr>
          <w:trHeight w:val="249"/>
        </w:trPr>
        <w:tc>
          <w:tcPr>
            <w:tcW w:w="6740" w:type="dxa"/>
            <w:vAlign w:val="bottom"/>
          </w:tcPr>
          <w:p>
            <w:pPr>
              <w:spacing w:after="0"/>
              <w:rPr>
                <w:sz w:val="20"/>
                <w:szCs w:val="20"/>
                <w:color w:val="auto"/>
              </w:rPr>
            </w:pPr>
            <w:r>
              <w:rPr>
                <w:rFonts w:ascii="Arial" w:cs="Arial" w:eastAsia="Arial" w:hAnsi="Arial"/>
                <w:sz w:val="20"/>
                <w:szCs w:val="20"/>
                <w:color w:val="auto"/>
              </w:rPr>
              <w:t>Non-amortizing intangibles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65,288</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54,140</w:t>
            </w:r>
          </w:p>
        </w:tc>
      </w:tr>
      <w:tr>
        <w:trPr>
          <w:trHeight w:val="277"/>
        </w:trPr>
        <w:tc>
          <w:tcPr>
            <w:tcW w:w="6740" w:type="dxa"/>
            <w:vAlign w:val="bottom"/>
          </w:tcPr>
          <w:p>
            <w:pPr>
              <w:spacing w:after="0"/>
              <w:rPr>
                <w:sz w:val="24"/>
                <w:szCs w:val="24"/>
                <w:color w:val="auto"/>
              </w:rPr>
            </w:pPr>
          </w:p>
        </w:tc>
        <w:tc>
          <w:tcPr>
            <w:tcW w:w="38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65,774</w:t>
            </w:r>
          </w:p>
        </w:tc>
        <w:tc>
          <w:tcPr>
            <w:tcW w:w="340" w:type="dxa"/>
            <w:vAlign w:val="bottom"/>
          </w:tcPr>
          <w:p>
            <w:pPr>
              <w:spacing w:after="0"/>
              <w:rPr>
                <w:sz w:val="24"/>
                <w:szCs w:val="24"/>
                <w:color w:val="auto"/>
              </w:rPr>
            </w:pPr>
          </w:p>
        </w:tc>
        <w:tc>
          <w:tcPr>
            <w:tcW w:w="38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54,648</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20"/>
          <w:szCs w:val="20"/>
          <w:color w:val="auto"/>
        </w:rPr>
        <w:t>All amortizing intangibles have been assigned an estimated finite useful life and such intangibles are amortized on a straight-line basis over the number of years that approximate their respective useful lives ranging from one to 25 years (weighted-average life of 20 years). Total amortization expense recorded was $0.05 million for each of the years ended December 31, 2013, 2012 and 2011, respectively. As of December 31, 2013, future estimated amortization expense related to amortizing intangibles through the year ending December 31, 2018 is approximately $0.05 million per year.</w:t>
      </w:r>
    </w:p>
    <w:p>
      <w:pPr>
        <w:spacing w:after="0" w:line="208"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right="40" w:firstLine="648"/>
        <w:spacing w:after="0" w:line="278" w:lineRule="auto"/>
        <w:rPr>
          <w:sz w:val="20"/>
          <w:szCs w:val="20"/>
          <w:color w:val="auto"/>
        </w:rPr>
      </w:pPr>
      <w:r>
        <w:rPr>
          <w:rFonts w:ascii="Arial" w:cs="Arial" w:eastAsia="Arial" w:hAnsi="Arial"/>
          <w:sz w:val="18"/>
          <w:szCs w:val="18"/>
          <w:color w:val="auto"/>
        </w:rPr>
        <w:t>Pursuant to new and/or amended distribution agreements entered into with certain distributors, amounts of $9.7 million from such distributors, relating to the costs associated with terminating agreements with the Company’s prior distributors, were recorded for the year ended December 31, 2013. Such amounts have been accounted for as deferred revenue in the accompanying condensed consolidated balance sheets and are recognized as revenue ratably over the anticipated life of the respective distribution agreement, generally 20 years. Revenue recognized was $8.4 million, $8.2 million and $9.3 million for years ended December 31, 2013, 2012 and 2011, respectively.</w:t>
      </w:r>
    </w:p>
    <w:p>
      <w:pPr>
        <w:spacing w:after="0" w:line="179"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20"/>
          <w:szCs w:val="20"/>
          <w:color w:val="auto"/>
        </w:rPr>
        <w:t>The Company incurred termination costs to certain of its prior distributors amounting to $10.8 million, $1.5 million and $1.1 million in aggregate for the years ended December 31, 2013, 2012 and 2011, respectively. Such termination costs have been expensed in full and are included in operating expenses for the years ended December 31, 2013, 2012 and 2011. Accrued distributor terminations included in accrued liabilities in the accompanying consolidated balance sheets as of December 31, 2013 and December 31, 2012 were $2.3 million and $0.9 million, respectively.</w:t>
      </w:r>
    </w:p>
    <w:p>
      <w:pPr>
        <w:spacing w:after="0" w:line="208"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DEBT</w:t>
      </w:r>
    </w:p>
    <w:p>
      <w:pPr>
        <w:spacing w:after="0" w:line="229" w:lineRule="exact"/>
        <w:rPr>
          <w:sz w:val="20"/>
          <w:szCs w:val="20"/>
          <w:color w:val="auto"/>
        </w:rPr>
      </w:pPr>
    </w:p>
    <w:p>
      <w:pPr>
        <w:jc w:val="both"/>
        <w:ind w:right="40" w:firstLine="648"/>
        <w:spacing w:after="0" w:line="242" w:lineRule="auto"/>
        <w:rPr>
          <w:sz w:val="20"/>
          <w:szCs w:val="20"/>
          <w:color w:val="auto"/>
        </w:rPr>
      </w:pPr>
      <w:r>
        <w:rPr>
          <w:rFonts w:ascii="Arial" w:cs="Arial" w:eastAsia="Arial" w:hAnsi="Arial"/>
          <w:sz w:val="20"/>
          <w:szCs w:val="20"/>
          <w:color w:val="auto"/>
        </w:rPr>
        <w:t>The Company entered into a credit facility with Comerica Bank (“Comerica”) consisting of a revolving line of credit, which was amended in June 2013, under which the Company may borrow up to $10.0 million of non-collateralized debt. The revolving line of credit is effective through June 1, 2015. Interest on borrowings under the line of credit is based on Comerica’s base (prime) rate minus 1% to 1.5%, or London Interbank Offered Rates plus an additional percentage of 1.25% to 1.75%, depending upon certain financial ratios maintained by the Company. The Company had no outstanding borrowings on this line of credit at December 31, 2013. Under this revolving line of credit, the Company may also issue standby Letters of Credit with an aggregate amount of up to $4.0 million. The fee on the standby Letters of Credit ranges from 1.00% to 1.50% depending upon certain financial ratios maintained by the Company. The Company had no outstanding standby Letters of Credit at December 31, 2013.</w:t>
      </w:r>
    </w:p>
    <w:p>
      <w:pPr>
        <w:spacing w:after="0" w:line="211"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Company’s debt of $1.3 million and $0.5 million at December 31, 2013 and 2012, respectively, consisted of capital leases, collateralized by vehicles, payable over 12 months in monthly installments at various effective interest rates, with final payments ending on or before December 31, 2014.</w:t>
      </w:r>
    </w:p>
    <w:p>
      <w:pPr>
        <w:sectPr>
          <w:pgSz w:w="11900" w:h="16838" w:orient="portrait"/>
          <w:cols w:equalWidth="0" w:num="1">
            <w:col w:w="11460"/>
          </w:cols>
          <w:pgMar w:left="240" w:top="122" w:right="199" w:bottom="249" w:gutter="0" w:footer="0" w:header="0"/>
        </w:sectPr>
      </w:pP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2" w:right="199" w:bottom="249" w:gutter="0" w:footer="0" w:header="0"/>
          <w:type w:val="continuous"/>
        </w:sectPr>
      </w:pPr>
    </w:p>
    <w:bookmarkStart w:id="57" w:name="page58"/>
    <w:bookmarkEnd w:id="57"/>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At December 31, 2013 and 2012, the assets acquired under capital leases had a net book value of $4.2 million and $3.2 million, net of accumulated depreciation of $2.3 million and $2.5 million, respectively.</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Interest expense for capital lease obligations amounted to $0.05 million for each of the years ended December 31, 2013, 2012 and 2011, respectively.</w:t>
      </w:r>
    </w:p>
    <w:p>
      <w:pPr>
        <w:spacing w:after="0" w:line="190"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is obligated under various non-cancellable lease agreements providing for office space, warehouse space, and automobiles that expire at various dates through the year 2019.</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Rent expense under operating leases was $7.4 million, $4.6 million and $4.1 million for the years ended December 31, 2013, 2012 and 2011, respectively.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Future minimum rental payments at December 31, 2013 under the operating leases referred to above are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0"/>
        </w:trPr>
        <w:tc>
          <w:tcPr>
            <w:tcW w:w="4620" w:type="dxa"/>
            <w:vAlign w:val="bottom"/>
          </w:tcPr>
          <w:p>
            <w:pPr>
              <w:spacing w:after="0"/>
              <w:rPr>
                <w:sz w:val="20"/>
                <w:szCs w:val="20"/>
                <w:color w:val="auto"/>
              </w:rPr>
            </w:pPr>
            <w:r>
              <w:rPr>
                <w:rFonts w:ascii="Arial" w:cs="Arial" w:eastAsia="Arial" w:hAnsi="Arial"/>
                <w:sz w:val="19"/>
                <w:szCs w:val="19"/>
                <w:color w:val="auto"/>
              </w:rPr>
              <w:t>Year Ending December 31:</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08"/>
        </w:trPr>
        <w:tc>
          <w:tcPr>
            <w:tcW w:w="4620" w:type="dxa"/>
            <w:vAlign w:val="bottom"/>
          </w:tcPr>
          <w:p>
            <w:pPr>
              <w:spacing w:after="0"/>
              <w:rPr>
                <w:sz w:val="20"/>
                <w:szCs w:val="20"/>
                <w:color w:val="auto"/>
              </w:rPr>
            </w:pPr>
            <w:r>
              <w:rPr>
                <w:rFonts w:ascii="Arial" w:cs="Arial" w:eastAsia="Arial" w:hAnsi="Arial"/>
                <w:sz w:val="19"/>
                <w:szCs w:val="19"/>
                <w:color w:val="auto"/>
              </w:rPr>
              <w:t>2014</w:t>
            </w:r>
          </w:p>
        </w:tc>
        <w:tc>
          <w:tcPr>
            <w:tcW w:w="50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5,050</w:t>
            </w:r>
          </w:p>
        </w:tc>
      </w:tr>
      <w:tr>
        <w:trPr>
          <w:trHeight w:val="216"/>
        </w:trPr>
        <w:tc>
          <w:tcPr>
            <w:tcW w:w="4620" w:type="dxa"/>
            <w:vAlign w:val="bottom"/>
          </w:tcPr>
          <w:p>
            <w:pPr>
              <w:spacing w:after="0" w:line="216" w:lineRule="exact"/>
              <w:rPr>
                <w:sz w:val="20"/>
                <w:szCs w:val="20"/>
                <w:color w:val="auto"/>
              </w:rPr>
            </w:pPr>
            <w:r>
              <w:rPr>
                <w:rFonts w:ascii="Arial" w:cs="Arial" w:eastAsia="Arial" w:hAnsi="Arial"/>
                <w:sz w:val="19"/>
                <w:szCs w:val="19"/>
                <w:color w:val="auto"/>
              </w:rPr>
              <w:t>2015</w:t>
            </w:r>
          </w:p>
        </w:tc>
        <w:tc>
          <w:tcPr>
            <w:tcW w:w="500" w:type="dxa"/>
            <w:vAlign w:val="bottom"/>
          </w:tcPr>
          <w:p>
            <w:pPr>
              <w:spacing w:after="0"/>
              <w:rPr>
                <w:sz w:val="18"/>
                <w:szCs w:val="18"/>
                <w:color w:val="auto"/>
              </w:rPr>
            </w:pPr>
          </w:p>
        </w:tc>
        <w:tc>
          <w:tcPr>
            <w:tcW w:w="9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4,958</w:t>
            </w:r>
          </w:p>
        </w:tc>
      </w:tr>
      <w:tr>
        <w:trPr>
          <w:trHeight w:val="216"/>
        </w:trPr>
        <w:tc>
          <w:tcPr>
            <w:tcW w:w="4620" w:type="dxa"/>
            <w:vAlign w:val="bottom"/>
          </w:tcPr>
          <w:p>
            <w:pPr>
              <w:spacing w:after="0" w:line="216" w:lineRule="exact"/>
              <w:rPr>
                <w:sz w:val="20"/>
                <w:szCs w:val="20"/>
                <w:color w:val="auto"/>
              </w:rPr>
            </w:pPr>
            <w:r>
              <w:rPr>
                <w:rFonts w:ascii="Arial" w:cs="Arial" w:eastAsia="Arial" w:hAnsi="Arial"/>
                <w:sz w:val="19"/>
                <w:szCs w:val="19"/>
                <w:color w:val="auto"/>
              </w:rPr>
              <w:t>2016</w:t>
            </w:r>
          </w:p>
        </w:tc>
        <w:tc>
          <w:tcPr>
            <w:tcW w:w="500" w:type="dxa"/>
            <w:vAlign w:val="bottom"/>
          </w:tcPr>
          <w:p>
            <w:pPr>
              <w:spacing w:after="0"/>
              <w:rPr>
                <w:sz w:val="18"/>
                <w:szCs w:val="18"/>
                <w:color w:val="auto"/>
              </w:rPr>
            </w:pPr>
          </w:p>
        </w:tc>
        <w:tc>
          <w:tcPr>
            <w:tcW w:w="9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4,207</w:t>
            </w:r>
          </w:p>
        </w:tc>
      </w:tr>
      <w:tr>
        <w:trPr>
          <w:trHeight w:val="216"/>
        </w:trPr>
        <w:tc>
          <w:tcPr>
            <w:tcW w:w="4620" w:type="dxa"/>
            <w:vAlign w:val="bottom"/>
          </w:tcPr>
          <w:p>
            <w:pPr>
              <w:spacing w:after="0" w:line="216" w:lineRule="exact"/>
              <w:rPr>
                <w:sz w:val="20"/>
                <w:szCs w:val="20"/>
                <w:color w:val="auto"/>
              </w:rPr>
            </w:pPr>
            <w:r>
              <w:rPr>
                <w:rFonts w:ascii="Arial" w:cs="Arial" w:eastAsia="Arial" w:hAnsi="Arial"/>
                <w:sz w:val="19"/>
                <w:szCs w:val="19"/>
                <w:color w:val="auto"/>
              </w:rPr>
              <w:t>2017</w:t>
            </w:r>
          </w:p>
        </w:tc>
        <w:tc>
          <w:tcPr>
            <w:tcW w:w="500" w:type="dxa"/>
            <w:vAlign w:val="bottom"/>
          </w:tcPr>
          <w:p>
            <w:pPr>
              <w:spacing w:after="0"/>
              <w:rPr>
                <w:sz w:val="18"/>
                <w:szCs w:val="18"/>
                <w:color w:val="auto"/>
              </w:rPr>
            </w:pPr>
          </w:p>
        </w:tc>
        <w:tc>
          <w:tcPr>
            <w:tcW w:w="9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1,089</w:t>
            </w:r>
          </w:p>
        </w:tc>
      </w:tr>
      <w:tr>
        <w:trPr>
          <w:trHeight w:val="216"/>
        </w:trPr>
        <w:tc>
          <w:tcPr>
            <w:tcW w:w="4620" w:type="dxa"/>
            <w:vAlign w:val="bottom"/>
          </w:tcPr>
          <w:p>
            <w:pPr>
              <w:spacing w:after="0" w:line="216" w:lineRule="exact"/>
              <w:rPr>
                <w:sz w:val="20"/>
                <w:szCs w:val="20"/>
                <w:color w:val="auto"/>
              </w:rPr>
            </w:pPr>
            <w:r>
              <w:rPr>
                <w:rFonts w:ascii="Arial" w:cs="Arial" w:eastAsia="Arial" w:hAnsi="Arial"/>
                <w:sz w:val="19"/>
                <w:szCs w:val="19"/>
                <w:color w:val="auto"/>
              </w:rPr>
              <w:t>2018</w:t>
            </w:r>
          </w:p>
        </w:tc>
        <w:tc>
          <w:tcPr>
            <w:tcW w:w="500" w:type="dxa"/>
            <w:vAlign w:val="bottom"/>
          </w:tcPr>
          <w:p>
            <w:pPr>
              <w:spacing w:after="0"/>
              <w:rPr>
                <w:sz w:val="18"/>
                <w:szCs w:val="18"/>
                <w:color w:val="auto"/>
              </w:rPr>
            </w:pPr>
          </w:p>
        </w:tc>
        <w:tc>
          <w:tcPr>
            <w:tcW w:w="9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493</w:t>
            </w:r>
          </w:p>
        </w:tc>
      </w:tr>
      <w:tr>
        <w:trPr>
          <w:trHeight w:val="238"/>
        </w:trPr>
        <w:tc>
          <w:tcPr>
            <w:tcW w:w="4620" w:type="dxa"/>
            <w:vAlign w:val="bottom"/>
          </w:tcPr>
          <w:p>
            <w:pPr>
              <w:spacing w:after="0"/>
              <w:rPr>
                <w:sz w:val="20"/>
                <w:szCs w:val="20"/>
                <w:color w:val="auto"/>
              </w:rPr>
            </w:pPr>
            <w:r>
              <w:rPr>
                <w:rFonts w:ascii="Arial" w:cs="Arial" w:eastAsia="Arial" w:hAnsi="Arial"/>
                <w:sz w:val="19"/>
                <w:szCs w:val="19"/>
                <w:color w:val="auto"/>
              </w:rPr>
              <w:t>2019 and thereafter</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1,577</w:t>
            </w:r>
          </w:p>
        </w:tc>
      </w:tr>
      <w:tr>
        <w:trPr>
          <w:trHeight w:val="210"/>
        </w:trPr>
        <w:tc>
          <w:tcPr>
            <w:tcW w:w="4620" w:type="dxa"/>
            <w:vAlign w:val="bottom"/>
          </w:tcPr>
          <w:p>
            <w:pPr>
              <w:spacing w:after="0"/>
              <w:rPr>
                <w:sz w:val="18"/>
                <w:szCs w:val="18"/>
                <w:color w:val="auto"/>
              </w:rPr>
            </w:pPr>
          </w:p>
        </w:tc>
        <w:tc>
          <w:tcPr>
            <w:tcW w:w="500" w:type="dxa"/>
            <w:vAlign w:val="bottom"/>
            <w:tcBorders>
              <w:bottom w:val="single" w:sz="8" w:color="auto"/>
            </w:tcBorders>
          </w:tcPr>
          <w:p>
            <w:pPr>
              <w:jc w:val="right"/>
              <w:ind w:right="225"/>
              <w:spacing w:after="0" w:line="210" w:lineRule="exact"/>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17,374</w:t>
            </w:r>
          </w:p>
        </w:tc>
      </w:tr>
      <w:tr>
        <w:trPr>
          <w:trHeight w:val="20"/>
        </w:trPr>
        <w:tc>
          <w:tcPr>
            <w:tcW w:w="4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Contractual obligations </w:t>
      </w:r>
      <w:r>
        <w:rPr>
          <w:rFonts w:ascii="Arial" w:cs="Arial" w:eastAsia="Arial" w:hAnsi="Arial"/>
          <w:sz w:val="20"/>
          <w:szCs w:val="20"/>
          <w:color w:val="auto"/>
        </w:rPr>
        <w:t>– The Company has the following contractual obligations related primarily to sponsorships and other</w:t>
      </w:r>
      <w:r>
        <w:rPr>
          <w:rFonts w:ascii="Arial" w:cs="Arial" w:eastAsia="Arial" w:hAnsi="Arial"/>
          <w:sz w:val="20"/>
          <w:szCs w:val="20"/>
          <w:i w:val="1"/>
          <w:iCs w:val="1"/>
          <w:color w:val="auto"/>
        </w:rPr>
        <w:t xml:space="preserve"> </w:t>
      </w:r>
      <w:r>
        <w:rPr>
          <w:rFonts w:ascii="Arial" w:cs="Arial" w:eastAsia="Arial" w:hAnsi="Arial"/>
          <w:sz w:val="20"/>
          <w:szCs w:val="20"/>
          <w:color w:val="auto"/>
        </w:rPr>
        <w:t>commitments as of December 31, 2013:</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40"/>
        </w:trPr>
        <w:tc>
          <w:tcPr>
            <w:tcW w:w="4600" w:type="dxa"/>
            <w:vAlign w:val="bottom"/>
          </w:tcPr>
          <w:p>
            <w:pPr>
              <w:spacing w:after="0"/>
              <w:rPr>
                <w:sz w:val="20"/>
                <w:szCs w:val="20"/>
                <w:color w:val="auto"/>
              </w:rPr>
            </w:pPr>
            <w:r>
              <w:rPr>
                <w:rFonts w:ascii="Arial" w:cs="Arial" w:eastAsia="Arial" w:hAnsi="Arial"/>
                <w:sz w:val="19"/>
                <w:szCs w:val="19"/>
                <w:color w:val="auto"/>
              </w:rPr>
              <w:t>Year Ending December 31:</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08"/>
        </w:trPr>
        <w:tc>
          <w:tcPr>
            <w:tcW w:w="4600" w:type="dxa"/>
            <w:vAlign w:val="bottom"/>
          </w:tcPr>
          <w:p>
            <w:pPr>
              <w:spacing w:after="0"/>
              <w:rPr>
                <w:sz w:val="20"/>
                <w:szCs w:val="20"/>
                <w:color w:val="auto"/>
              </w:rPr>
            </w:pPr>
            <w:r>
              <w:rPr>
                <w:rFonts w:ascii="Arial" w:cs="Arial" w:eastAsia="Arial" w:hAnsi="Arial"/>
                <w:sz w:val="19"/>
                <w:szCs w:val="19"/>
                <w:color w:val="auto"/>
              </w:rPr>
              <w:t>2014</w:t>
            </w:r>
          </w:p>
        </w:tc>
        <w:tc>
          <w:tcPr>
            <w:tcW w:w="52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60,241</w:t>
            </w:r>
          </w:p>
        </w:tc>
      </w:tr>
      <w:tr>
        <w:trPr>
          <w:trHeight w:val="216"/>
        </w:trPr>
        <w:tc>
          <w:tcPr>
            <w:tcW w:w="4600" w:type="dxa"/>
            <w:vAlign w:val="bottom"/>
          </w:tcPr>
          <w:p>
            <w:pPr>
              <w:spacing w:after="0" w:line="216" w:lineRule="exact"/>
              <w:rPr>
                <w:sz w:val="20"/>
                <w:szCs w:val="20"/>
                <w:color w:val="auto"/>
              </w:rPr>
            </w:pPr>
            <w:r>
              <w:rPr>
                <w:rFonts w:ascii="Arial" w:cs="Arial" w:eastAsia="Arial" w:hAnsi="Arial"/>
                <w:sz w:val="19"/>
                <w:szCs w:val="19"/>
                <w:color w:val="auto"/>
              </w:rPr>
              <w:t>2015</w:t>
            </w:r>
          </w:p>
        </w:tc>
        <w:tc>
          <w:tcPr>
            <w:tcW w:w="520" w:type="dxa"/>
            <w:vAlign w:val="bottom"/>
          </w:tcPr>
          <w:p>
            <w:pPr>
              <w:spacing w:after="0"/>
              <w:rPr>
                <w:sz w:val="18"/>
                <w:szCs w:val="18"/>
                <w:color w:val="auto"/>
              </w:rPr>
            </w:pPr>
          </w:p>
        </w:tc>
        <w:tc>
          <w:tcPr>
            <w:tcW w:w="9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23,505</w:t>
            </w:r>
          </w:p>
        </w:tc>
      </w:tr>
      <w:tr>
        <w:trPr>
          <w:trHeight w:val="216"/>
        </w:trPr>
        <w:tc>
          <w:tcPr>
            <w:tcW w:w="4600" w:type="dxa"/>
            <w:vAlign w:val="bottom"/>
          </w:tcPr>
          <w:p>
            <w:pPr>
              <w:spacing w:after="0" w:line="216" w:lineRule="exact"/>
              <w:rPr>
                <w:sz w:val="20"/>
                <w:szCs w:val="20"/>
                <w:color w:val="auto"/>
              </w:rPr>
            </w:pPr>
            <w:r>
              <w:rPr>
                <w:rFonts w:ascii="Arial" w:cs="Arial" w:eastAsia="Arial" w:hAnsi="Arial"/>
                <w:sz w:val="19"/>
                <w:szCs w:val="19"/>
                <w:color w:val="auto"/>
              </w:rPr>
              <w:t>2016</w:t>
            </w:r>
          </w:p>
        </w:tc>
        <w:tc>
          <w:tcPr>
            <w:tcW w:w="520" w:type="dxa"/>
            <w:vAlign w:val="bottom"/>
          </w:tcPr>
          <w:p>
            <w:pPr>
              <w:spacing w:after="0"/>
              <w:rPr>
                <w:sz w:val="18"/>
                <w:szCs w:val="18"/>
                <w:color w:val="auto"/>
              </w:rPr>
            </w:pPr>
          </w:p>
        </w:tc>
        <w:tc>
          <w:tcPr>
            <w:tcW w:w="9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9,694</w:t>
            </w:r>
          </w:p>
        </w:tc>
      </w:tr>
      <w:tr>
        <w:trPr>
          <w:trHeight w:val="216"/>
        </w:trPr>
        <w:tc>
          <w:tcPr>
            <w:tcW w:w="4600" w:type="dxa"/>
            <w:vAlign w:val="bottom"/>
          </w:tcPr>
          <w:p>
            <w:pPr>
              <w:spacing w:after="0" w:line="216" w:lineRule="exact"/>
              <w:rPr>
                <w:sz w:val="20"/>
                <w:szCs w:val="20"/>
                <w:color w:val="auto"/>
              </w:rPr>
            </w:pPr>
            <w:r>
              <w:rPr>
                <w:rFonts w:ascii="Arial" w:cs="Arial" w:eastAsia="Arial" w:hAnsi="Arial"/>
                <w:sz w:val="19"/>
                <w:szCs w:val="19"/>
                <w:color w:val="auto"/>
              </w:rPr>
              <w:t>2017</w:t>
            </w:r>
          </w:p>
        </w:tc>
        <w:tc>
          <w:tcPr>
            <w:tcW w:w="520" w:type="dxa"/>
            <w:vAlign w:val="bottom"/>
          </w:tcPr>
          <w:p>
            <w:pPr>
              <w:spacing w:after="0"/>
              <w:rPr>
                <w:sz w:val="18"/>
                <w:szCs w:val="18"/>
                <w:color w:val="auto"/>
              </w:rPr>
            </w:pPr>
          </w:p>
        </w:tc>
        <w:tc>
          <w:tcPr>
            <w:tcW w:w="9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500</w:t>
            </w:r>
          </w:p>
        </w:tc>
      </w:tr>
      <w:tr>
        <w:trPr>
          <w:trHeight w:val="216"/>
        </w:trPr>
        <w:tc>
          <w:tcPr>
            <w:tcW w:w="4600" w:type="dxa"/>
            <w:vAlign w:val="bottom"/>
          </w:tcPr>
          <w:p>
            <w:pPr>
              <w:spacing w:after="0" w:line="216" w:lineRule="exact"/>
              <w:rPr>
                <w:sz w:val="20"/>
                <w:szCs w:val="20"/>
                <w:color w:val="auto"/>
              </w:rPr>
            </w:pPr>
            <w:r>
              <w:rPr>
                <w:rFonts w:ascii="Arial" w:cs="Arial" w:eastAsia="Arial" w:hAnsi="Arial"/>
                <w:sz w:val="19"/>
                <w:szCs w:val="19"/>
                <w:color w:val="auto"/>
              </w:rPr>
              <w:t>2018</w:t>
            </w:r>
          </w:p>
        </w:tc>
        <w:tc>
          <w:tcPr>
            <w:tcW w:w="520" w:type="dxa"/>
            <w:vAlign w:val="bottom"/>
          </w:tcPr>
          <w:p>
            <w:pPr>
              <w:spacing w:after="0"/>
              <w:rPr>
                <w:sz w:val="18"/>
                <w:szCs w:val="18"/>
                <w:color w:val="auto"/>
              </w:rPr>
            </w:pPr>
          </w:p>
        </w:tc>
        <w:tc>
          <w:tcPr>
            <w:tcW w:w="9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r>
      <w:tr>
        <w:trPr>
          <w:trHeight w:val="238"/>
        </w:trPr>
        <w:tc>
          <w:tcPr>
            <w:tcW w:w="4600" w:type="dxa"/>
            <w:vAlign w:val="bottom"/>
          </w:tcPr>
          <w:p>
            <w:pPr>
              <w:spacing w:after="0"/>
              <w:rPr>
                <w:sz w:val="20"/>
                <w:szCs w:val="20"/>
                <w:color w:val="auto"/>
              </w:rPr>
            </w:pPr>
            <w:r>
              <w:rPr>
                <w:rFonts w:ascii="Arial" w:cs="Arial" w:eastAsia="Arial" w:hAnsi="Arial"/>
                <w:sz w:val="19"/>
                <w:szCs w:val="19"/>
                <w:color w:val="auto"/>
              </w:rPr>
              <w:t>2019 and thereafter</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w:t>
            </w:r>
          </w:p>
        </w:tc>
      </w:tr>
      <w:tr>
        <w:trPr>
          <w:trHeight w:val="210"/>
        </w:trPr>
        <w:tc>
          <w:tcPr>
            <w:tcW w:w="4600" w:type="dxa"/>
            <w:vAlign w:val="bottom"/>
          </w:tcPr>
          <w:p>
            <w:pPr>
              <w:spacing w:after="0"/>
              <w:rPr>
                <w:sz w:val="18"/>
                <w:szCs w:val="18"/>
                <w:color w:val="auto"/>
              </w:rPr>
            </w:pPr>
          </w:p>
        </w:tc>
        <w:tc>
          <w:tcPr>
            <w:tcW w:w="520" w:type="dxa"/>
            <w:vAlign w:val="bottom"/>
            <w:tcBorders>
              <w:bottom w:val="single" w:sz="8" w:color="auto"/>
            </w:tcBorders>
          </w:tcPr>
          <w:p>
            <w:pPr>
              <w:jc w:val="right"/>
              <w:ind w:right="225"/>
              <w:spacing w:after="0" w:line="210" w:lineRule="exact"/>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93,940</w:t>
            </w:r>
          </w:p>
        </w:tc>
      </w:tr>
      <w:tr>
        <w:trPr>
          <w:trHeight w:val="20"/>
        </w:trPr>
        <w:tc>
          <w:tcPr>
            <w:tcW w:w="4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On August 12, 2013, the Company moved into its new corporate headquarters located in Corona, CA, which was previously acquired by the Company in October 2012.</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Purchase Commitments </w:t>
      </w:r>
      <w:r>
        <w:rPr>
          <w:rFonts w:ascii="Arial" w:cs="Arial" w:eastAsia="Arial" w:hAnsi="Arial"/>
          <w:sz w:val="20"/>
          <w:szCs w:val="20"/>
          <w:color w:val="auto"/>
        </w:rPr>
        <w:t>– The Company has purchase commitments aggregating approximately $44.5 million at December 31, 2013,</w:t>
      </w:r>
      <w:r>
        <w:rPr>
          <w:rFonts w:ascii="Arial" w:cs="Arial" w:eastAsia="Arial" w:hAnsi="Arial"/>
          <w:sz w:val="20"/>
          <w:szCs w:val="20"/>
          <w:i w:val="1"/>
          <w:iCs w:val="1"/>
          <w:color w:val="auto"/>
        </w:rPr>
        <w:t xml:space="preserve"> </w:t>
      </w:r>
      <w:r>
        <w:rPr>
          <w:rFonts w:ascii="Arial" w:cs="Arial" w:eastAsia="Arial" w:hAnsi="Arial"/>
          <w:sz w:val="20"/>
          <w:szCs w:val="20"/>
          <w:color w:val="auto"/>
        </w:rPr>
        <w:t>which represent commitments made by the Company and its subsidiaries to various suppliers of raw materials for the production of its products. These obligations vary in terms, but are generally satisfied within one year.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purchases various raw material items, including, but not limited to, flavors, ingredients, dietary ingredients, containers, milk, cream and protein, from a limited number of resources. An interruption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2013, 2012 and 2011 was $282.5 million, $264.2 million and $279.5 million, respectively.</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Value Added Tax (“VAT”) </w:t>
      </w:r>
      <w:r>
        <w:rPr>
          <w:rFonts w:ascii="Arial" w:cs="Arial" w:eastAsia="Arial" w:hAnsi="Arial"/>
          <w:sz w:val="18"/>
          <w:szCs w:val="18"/>
          <w:color w:val="auto"/>
        </w:rPr>
        <w:t>– The Company sought guidance from Her Majesty’s Revenue &amp; Customs (“HMRC”), the VAT taxing</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in the United Kingdom, to ascertain if the Company should have charged VAT to certain customers in the United Kingdom on a portion of the Company’s sales to those customers beginning in 2010. The Company did not receive conclusive guidance from HMRC and is considering alternative ways to clarify its tax position on this matter. Should it be determined that the Company should have charged VAT on</w:t>
      </w:r>
    </w:p>
    <w:p>
      <w:pPr>
        <w:sectPr>
          <w:pgSz w:w="11900" w:h="16838" w:orient="portrait"/>
          <w:cols w:equalWidth="0" w:num="1">
            <w:col w:w="11420"/>
          </w:cols>
          <w:pgMar w:left="240" w:top="122" w:right="239" w:bottom="0" w:gutter="0" w:footer="0" w:header="0"/>
        </w:sectPr>
      </w:pPr>
    </w:p>
    <w:bookmarkStart w:id="58" w:name="page59"/>
    <w:bookmarkEnd w:id="58"/>
    <w:p>
      <w:pPr>
        <w:jc w:val="both"/>
        <w:spacing w:after="0" w:line="244" w:lineRule="auto"/>
        <w:rPr>
          <w:sz w:val="20"/>
          <w:szCs w:val="20"/>
          <w:color w:val="auto"/>
        </w:rPr>
      </w:pPr>
      <w:r>
        <w:rPr>
          <w:rFonts w:ascii="Arial" w:cs="Arial" w:eastAsia="Arial" w:hAnsi="Arial"/>
          <w:sz w:val="20"/>
          <w:szCs w:val="20"/>
          <w:color w:val="auto"/>
        </w:rPr>
        <w:t>such sales, the VAT would represent only a pass-through tax to our customers in the United Kingdom. Therefore, any related adjustment should represent an accounts receivable and accounts payable gross-up on the balance sheet and have no impact on the Company’s results of operations. The Company estimates the maximum amount of the potential VAT pass-through tax to be $49.7 million at December 31, 2013 ($33.2 million at December 31, 2012). If it is determined that the Company should have charged VAT on such sales, it is possible that a tax penalty may be assessed by HMRC. However, the Company believes any such penalty would not have a material impact on its financial position, results of operations or liquidity.</w:t>
      </w:r>
    </w:p>
    <w:p>
      <w:pPr>
        <w:spacing w:after="0" w:line="2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Guarantees </w:t>
      </w:r>
      <w:r>
        <w:rPr>
          <w:rFonts w:ascii="Arial" w:cs="Arial" w:eastAsia="Arial" w:hAnsi="Arial"/>
          <w:sz w:val="19"/>
          <w:szCs w:val="19"/>
          <w:color w:val="auto"/>
        </w:rPr>
        <w:t>– The Company from time to time enters into certain types of contracts that contingently require the Company to</w:t>
      </w:r>
      <w:r>
        <w:rPr>
          <w:rFonts w:ascii="Arial" w:cs="Arial" w:eastAsia="Arial" w:hAnsi="Arial"/>
          <w:sz w:val="19"/>
          <w:szCs w:val="19"/>
          <w:i w:val="1"/>
          <w:iCs w:val="1"/>
          <w:color w:val="auto"/>
        </w:rPr>
        <w:t xml:space="preserve"> </w:t>
      </w:r>
      <w:r>
        <w:rPr>
          <w:rFonts w:ascii="Arial" w:cs="Arial" w:eastAsia="Arial" w:hAnsi="Arial"/>
          <w:sz w:val="19"/>
          <w:szCs w:val="19"/>
          <w:color w:val="auto"/>
        </w:rPr>
        <w:t>indemnify parties against third 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or the use of Company trademarks,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resulting liabilities or claims.</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Litigation </w:t>
      </w:r>
      <w:r>
        <w:rPr>
          <w:rFonts w:ascii="Arial" w:cs="Arial" w:eastAsia="Arial" w:hAnsi="Arial"/>
          <w:sz w:val="19"/>
          <w:szCs w:val="19"/>
          <w:color w:val="auto"/>
        </w:rPr>
        <w:t>– On October 17, 2012, Wendy Crossland and Richard Fournier filed a lawsuit in the Superior Court of the State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California, County of Riverside, styled </w:t>
      </w:r>
      <w:r>
        <w:rPr>
          <w:rFonts w:ascii="Arial" w:cs="Arial" w:eastAsia="Arial" w:hAnsi="Arial"/>
          <w:sz w:val="19"/>
          <w:szCs w:val="19"/>
          <w:i w:val="1"/>
          <w:iCs w:val="1"/>
          <w:color w:val="auto"/>
        </w:rPr>
        <w:t>Wendy Crossland and Richard Fournier v. Monster Beverage Corporation</w:t>
      </w:r>
      <w:r>
        <w:rPr>
          <w:rFonts w:ascii="Arial" w:cs="Arial" w:eastAsia="Arial" w:hAnsi="Arial"/>
          <w:sz w:val="19"/>
          <w:szCs w:val="19"/>
          <w:color w:val="auto"/>
        </w:rPr>
        <w:t>,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filed a demurrer and a motion to strike the plaintiffs’ complaint on November 19, 2012, and the plaintiffs filed a first amended complaint on December 19, 2012. The Company filed its answer to the first amended complaint on June 7, 2013. The parties attended a court ordered mediation on January 23, 2014. Discovery has commenced but no trial date has been set.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also been named as a defendant in other complaints containing similar allegations to those presented in the Fournier lawsuit, each of which the Company believes is also without merit and would not have a material adverse effect on the Company’s financial position or results of operations in the event any damages were awarded.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 On September 11, 2008, a federal securities class action complaint styled</w:t>
      </w:r>
      <w:r>
        <w:rPr>
          <w:rFonts w:ascii="Arial" w:cs="Arial" w:eastAsia="Arial" w:hAnsi="Arial"/>
          <w:sz w:val="18"/>
          <w:szCs w:val="18"/>
          <w:i w:val="1"/>
          <w:iCs w:val="1"/>
          <w:color w:val="auto"/>
        </w:rPr>
        <w:t xml:space="preserve"> Cunha v. Hansen Natural Corp., et al. </w:t>
      </w:r>
      <w:r>
        <w:rPr>
          <w:rFonts w:ascii="Arial" w:cs="Arial" w:eastAsia="Arial" w:hAnsi="Arial"/>
          <w:sz w:val="18"/>
          <w:szCs w:val="18"/>
          <w:color w:val="auto"/>
        </w:rPr>
        <w:t xml:space="preserve">was filed in the United States District Court for the Central District of California (the “District Court”). On September 17, 2008, a second federal securities class action complaint styled </w:t>
      </w:r>
      <w:r>
        <w:rPr>
          <w:rFonts w:ascii="Arial" w:cs="Arial" w:eastAsia="Arial" w:hAnsi="Arial"/>
          <w:sz w:val="18"/>
          <w:szCs w:val="18"/>
          <w:i w:val="1"/>
          <w:iCs w:val="1"/>
          <w:color w:val="auto"/>
        </w:rPr>
        <w:t>Brown v. Hansen Natural Corp., et al.</w:t>
      </w:r>
      <w:r>
        <w:rPr>
          <w:rFonts w:ascii="Arial" w:cs="Arial" w:eastAsia="Arial" w:hAnsi="Arial"/>
          <w:sz w:val="18"/>
          <w:szCs w:val="18"/>
          <w:color w:val="auto"/>
        </w:rPr>
        <w:t xml:space="preserve"> was also filed in the District Court. After the District Court consolidated the two actions and appointed the Structural Ironworkers Local Union #1 Pension Fund as lead plaintiff, a Consolidated Complaint for Violations of Federal Securities Laws was filed on August 28, 2009 (the “Consolidated Class Action Complaint”).</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District Court dismissed the Consolidated Class Action Complaint, with leave to amend, on July 12, 2010. Plaintiff thereafter filed a Consolidated Amended Class Action Complaint for Violations of Federal Securities Laws on August 27, 2010 (the “Amended Class Action Complaint”). While similar in many respects to the Consolidated Class Action Complaint, the Amended Class Action Complaint dropped certain of the allegations set forth in the Consolidated Class Action Complaint and made certain new allegations, including that the Company engaged in “channel stuffing” during the Class Period that rendered false or misleading the Company’s reported sales results and certain other statements made by the defendants. In addition, it no longer named Thomas J. Kelly as a defendant.</w:t>
      </w:r>
    </w:p>
    <w:p>
      <w:pPr>
        <w:spacing w:after="0" w:line="1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On September 4, 2012, the District Court dismissed certain of the claims in the Amended Class Action Complaint, including plaintiff’s allegations relating to promotional expenses, but denied defendants’ motion to dismiss with regard to the majority of plaintiff’s claims, including plaintiff’s channel stuffing allegations. Plaintiff filed a motion seeking class certification on December 6, 2012, which the court denied, without prejudice, on January 17, 2014. Fact discovery in the action was stayed pending resolution of the class certification motion.</w:t>
      </w:r>
    </w:p>
    <w:p>
      <w:pPr>
        <w:spacing w:after="0" w:line="17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Following a mediation conducted by an independent mediator, the parties are currently negotiating the terms of a possible settlement of the action. On February 11, 2014, the District Court entered an Order staying the action to allow the parties time to complete their negotiations and to prepare and file papers seeking approval of any proposed settlement. A status conference is scheduled for March 13, 2014. Management</w:t>
      </w:r>
    </w:p>
    <w:p>
      <w:pPr>
        <w:sectPr>
          <w:pgSz w:w="11900" w:h="16838" w:orient="portrait"/>
          <w:cols w:equalWidth="0" w:num="1">
            <w:col w:w="11420"/>
          </w:cols>
          <w:pgMar w:left="240" w:top="122" w:right="239" w:bottom="0" w:gutter="0" w:footer="0" w:header="0"/>
        </w:sectPr>
      </w:pPr>
    </w:p>
    <w:bookmarkStart w:id="59" w:name="page60"/>
    <w:bookmarkEnd w:id="59"/>
    <w:p>
      <w:pPr>
        <w:jc w:val="both"/>
        <w:ind w:right="20"/>
        <w:spacing w:after="0" w:line="262" w:lineRule="auto"/>
        <w:rPr>
          <w:sz w:val="20"/>
          <w:szCs w:val="20"/>
          <w:color w:val="auto"/>
        </w:rPr>
      </w:pPr>
      <w:r>
        <w:rPr>
          <w:rFonts w:ascii="Arial" w:cs="Arial" w:eastAsia="Arial" w:hAnsi="Arial"/>
          <w:sz w:val="20"/>
          <w:szCs w:val="20"/>
          <w:color w:val="auto"/>
        </w:rPr>
        <w:t>believes that any potential settlement, if completed, will be fully paid by insurance and will not have a material adverse effect on the Company’s financial position or results of operations.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State Attorney General Inquiry </w:t>
      </w:r>
      <w:r>
        <w:rPr>
          <w:rFonts w:ascii="Arial" w:cs="Arial" w:eastAsia="Arial" w:hAnsi="Arial"/>
          <w:sz w:val="19"/>
          <w:szCs w:val="19"/>
          <w:color w:val="auto"/>
        </w:rPr>
        <w:t>– In July 2012, the Company received a subpoena from a state attorney general in connection with an</w:t>
      </w:r>
      <w:r>
        <w:rPr>
          <w:rFonts w:ascii="Arial" w:cs="Arial" w:eastAsia="Arial" w:hAnsi="Arial"/>
          <w:sz w:val="19"/>
          <w:szCs w:val="19"/>
          <w:i w:val="1"/>
          <w:iCs w:val="1"/>
          <w:color w:val="auto"/>
        </w:rPr>
        <w:t xml:space="preserve"> </w:t>
      </w:r>
      <w:r>
        <w:rPr>
          <w:rFonts w:ascii="Arial" w:cs="Arial" w:eastAsia="Arial" w:hAnsi="Arial"/>
          <w:sz w:val="19"/>
          <w:szCs w:val="19"/>
          <w:color w:val="auto"/>
        </w:rPr>
        <w:t>investigation concerning the Company’s advertising, marketing, promotion, ingredients, usage and sale of its Monster Energy® brand of energy drinks. As the investigation is in an early stage, it is unknown what, if any, action the state attorney general may take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against the Company, the relief which may be sought in the event of any such proceeding or whether such proceeding could have a material adverse effect on the Company’s business, financial condition or results of operations.</w:t>
      </w:r>
    </w:p>
    <w:p>
      <w:pPr>
        <w:spacing w:after="0" w:line="19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San Francisco City Attorney Litigation</w:t>
      </w:r>
      <w:r>
        <w:rPr>
          <w:rFonts w:ascii="Arial" w:cs="Arial" w:eastAsia="Arial" w:hAnsi="Arial"/>
          <w:sz w:val="18"/>
          <w:szCs w:val="18"/>
          <w:color w:val="auto"/>
        </w:rPr>
        <w:t>. On October 31, 2012, the Company received a written request for information from the City</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 for the City and County of San Francisco concerning the Company’s advertising and marketing of its Monster Energy® brand of energy drinks and specifically concerning the safety of its products for consumption by adolescents. In a letter dated March 29, 2013, the San Francisco City Attorney threatened to bring suit against the Company if it did not agree to take the following five steps immediately:</w:t>
      </w:r>
    </w:p>
    <w:p>
      <w:pPr>
        <w:spacing w:after="0" w:line="3" w:lineRule="exact"/>
        <w:rPr>
          <w:sz w:val="20"/>
          <w:szCs w:val="20"/>
          <w:color w:val="auto"/>
        </w:rPr>
      </w:pPr>
    </w:p>
    <w:p>
      <w:pPr>
        <w:ind w:right="20" w:firstLine="8"/>
        <w:spacing w:after="0" w:line="269" w:lineRule="auto"/>
        <w:tabs>
          <w:tab w:leader="none" w:pos="247" w:val="left"/>
        </w:tabs>
        <w:numPr>
          <w:ilvl w:val="0"/>
          <w:numId w:val="42"/>
        </w:numPr>
        <w:rPr>
          <w:rFonts w:ascii="Arial" w:cs="Arial" w:eastAsia="Arial" w:hAnsi="Arial"/>
          <w:sz w:val="19"/>
          <w:szCs w:val="19"/>
          <w:color w:val="auto"/>
        </w:rPr>
      </w:pPr>
      <w:r>
        <w:rPr>
          <w:rFonts w:ascii="Arial" w:cs="Arial" w:eastAsia="Arial" w:hAnsi="Arial"/>
          <w:sz w:val="19"/>
          <w:szCs w:val="19"/>
          <w:color w:val="auto"/>
        </w:rPr>
        <w:t>“Reformulate its product to lower the caffeine content to safe levels”; (ii) “Provide adequate warning labels”; (iii) “Cease promoting over-consumption in marketing”; (iv) “Cease use of alcohol and drug references in marketing”; and (v) “Cease targeting minors.”</w:t>
      </w:r>
    </w:p>
    <w:p>
      <w:pPr>
        <w:spacing w:after="0" w:line="18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On April 29, 2013, the Company and its wholly owned subsidiary, Monster Energy Company, filed a complaint for declaratory and injunctive relief against the San Francisco City Attorney in United States District Court for the Central District of California (the “Central District Court”), styled </w:t>
      </w:r>
      <w:r>
        <w:rPr>
          <w:rFonts w:ascii="Arial" w:cs="Arial" w:eastAsia="Arial" w:hAnsi="Arial"/>
          <w:sz w:val="20"/>
          <w:szCs w:val="20"/>
          <w:i w:val="1"/>
          <w:iCs w:val="1"/>
          <w:color w:val="auto"/>
        </w:rPr>
        <w:t>Monster Beverage Corp., et al. v. Dennis Herrera.</w:t>
      </w:r>
      <w:r>
        <w:rPr>
          <w:rFonts w:ascii="Arial" w:cs="Arial" w:eastAsia="Arial" w:hAnsi="Arial"/>
          <w:sz w:val="20"/>
          <w:szCs w:val="20"/>
          <w:color w:val="auto"/>
        </w:rPr>
        <w:t xml:space="preserve"> The Company seeks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Company’s complaint, arguing in part that the complaint should be dismissed in light of the San Francisco Action (described below) filed on May 6, 2013. On August 22, 2013, the Central District Court granted in part and denied in part the City Attorney’s motion.</w:t>
      </w:r>
    </w:p>
    <w:p>
      <w:pPr>
        <w:spacing w:after="0" w:line="20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On October 17, 2013 (after the San Francisco Action described below was remanded to San Francisco Superior Court), the City Attorney filed a renewed motion to dismiss and on December 16, 2013, the Central District Court granted the City Attorney’s renewed motion, dismissing the action. The Company filed a Notice of Appeal to the Ninth Circuit on December 18, 2013.</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On May 6, 2013, the San Francisco City Attorney filed a complaint for declaratory and injunctive relief, civil penalties and restitution for alleged violation of California’s Unfair Competition Law, Business &amp; Professions Code sections 17200, et seq., styled </w:t>
      </w:r>
      <w:r>
        <w:rPr>
          <w:rFonts w:ascii="Arial" w:cs="Arial" w:eastAsia="Arial" w:hAnsi="Arial"/>
          <w:sz w:val="18"/>
          <w:szCs w:val="18"/>
          <w:i w:val="1"/>
          <w:iCs w:val="1"/>
          <w:color w:val="auto"/>
        </w:rPr>
        <w:t>People Of The State</w:t>
      </w:r>
      <w:r>
        <w:rPr>
          <w:rFonts w:ascii="Arial" w:cs="Arial" w:eastAsia="Arial" w:hAnsi="Arial"/>
          <w:sz w:val="18"/>
          <w:szCs w:val="18"/>
          <w:color w:val="auto"/>
        </w:rPr>
        <w:t xml:space="preserve"> </w:t>
      </w:r>
      <w:r>
        <w:rPr>
          <w:rFonts w:ascii="Arial" w:cs="Arial" w:eastAsia="Arial" w:hAnsi="Arial"/>
          <w:sz w:val="18"/>
          <w:szCs w:val="18"/>
          <w:i w:val="1"/>
          <w:iCs w:val="1"/>
          <w:color w:val="auto"/>
        </w:rPr>
        <w:t>Of California ex rel. Dennis Herrera, San Francisco City Attorney v. Monster Beverage Corporation</w:t>
      </w:r>
      <w:r>
        <w:rPr>
          <w:rFonts w:ascii="Arial" w:cs="Arial" w:eastAsia="Arial" w:hAnsi="Arial"/>
          <w:sz w:val="18"/>
          <w:szCs w:val="18"/>
          <w:color w:val="auto"/>
        </w:rPr>
        <w:t>, San Francisco Superior Court (the “San</w:t>
      </w:r>
      <w:r>
        <w:rPr>
          <w:rFonts w:ascii="Arial" w:cs="Arial" w:eastAsia="Arial" w:hAnsi="Arial"/>
          <w:sz w:val="18"/>
          <w:szCs w:val="18"/>
          <w:i w:val="1"/>
          <w:iCs w:val="1"/>
          <w:color w:val="auto"/>
        </w:rPr>
        <w:t xml:space="preserve"> </w:t>
      </w:r>
      <w:r>
        <w:rPr>
          <w:rFonts w:ascii="Arial" w:cs="Arial" w:eastAsia="Arial" w:hAnsi="Arial"/>
          <w:sz w:val="18"/>
          <w:szCs w:val="18"/>
          <w:color w:val="auto"/>
        </w:rPr>
        <w:t>Francisco Action”). The City Attorney alleges that the Company (1) mislabeled its products as a dietary supplement, in violation of California’s Sherman Food, Drug and Cosmetic Law, California Health &amp; Safety Code sections 109875 et. seq.; (2) is selling an “adulterated” product because caffeine is not generally recognized as safe (“GRAS”)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w:t>
      </w:r>
    </w:p>
    <w:p>
      <w:pPr>
        <w:spacing w:after="0" w:line="4" w:lineRule="exact"/>
        <w:rPr>
          <w:sz w:val="20"/>
          <w:szCs w:val="20"/>
          <w:color w:val="auto"/>
        </w:rPr>
      </w:pPr>
    </w:p>
    <w:p>
      <w:pPr>
        <w:jc w:val="both"/>
        <w:ind w:firstLine="8"/>
        <w:spacing w:after="0" w:line="255" w:lineRule="auto"/>
        <w:tabs>
          <w:tab w:leader="none" w:pos="272" w:val="left"/>
        </w:tabs>
        <w:numPr>
          <w:ilvl w:val="0"/>
          <w:numId w:val="43"/>
        </w:numPr>
        <w:rPr>
          <w:rFonts w:ascii="Arial" w:cs="Arial" w:eastAsia="Arial" w:hAnsi="Arial"/>
          <w:sz w:val="19"/>
          <w:szCs w:val="19"/>
          <w:color w:val="auto"/>
        </w:rPr>
      </w:pPr>
      <w:r>
        <w:rPr>
          <w:rFonts w:ascii="Arial" w:cs="Arial" w:eastAsia="Arial" w:hAnsi="Arial"/>
          <w:sz w:val="19"/>
          <w:szCs w:val="19"/>
          <w:color w:val="auto"/>
        </w:rPr>
        <w:t>implicitly promotes mixing of energy drinks with alcohol or drugs; and (d) is deceptive because it includes unsubstantiated claims about the purported special benefits of its “killer” ingredients and “energy blend.” The City Attorney seeks a declaration that the Company has engaged in unfair and unlawful business acts and practices in violation of the Unfair Competition Law; an injunction from performing or proposing to perform any acts in violation of the Unfair Competition Law; restitution; and civil penalties. On June 3, 2013, the Company removed the case to the United States District Court for the Northern District of California (the “Northern District Court”). On July 3, 2013, the City Attorney filed a motion to remand the case back to state court. On September 18, 2013, the Northern District Court granted the City Attorney’s motion to remand the San Francisco Action back to state court.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On January 15, 2014, the Company filed a demurrer to and motion to strike allegations in the complaint in the San Francisco Action. The demurrer and motion to strike are currently scheduled for a hearing on March 4, 2014. 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ectPr>
          <w:pgSz w:w="11900" w:h="16838" w:orient="portrait"/>
          <w:cols w:equalWidth="0" w:num="1">
            <w:col w:w="11420"/>
          </w:cols>
          <w:pgMar w:left="240" w:top="122" w:right="239" w:bottom="0" w:gutter="0" w:footer="0" w:header="0"/>
        </w:sectPr>
      </w:pPr>
    </w:p>
    <w:bookmarkStart w:id="60" w:name="page61"/>
    <w:bookmarkEnd w:id="60"/>
    <w:p>
      <w:pPr>
        <w:jc w:val="both"/>
        <w:ind w:firstLine="648"/>
        <w:spacing w:after="0" w:line="269" w:lineRule="auto"/>
        <w:rPr>
          <w:sz w:val="20"/>
          <w:szCs w:val="20"/>
          <w:color w:val="auto"/>
        </w:rPr>
      </w:pPr>
      <w:r>
        <w:rPr>
          <w:rFonts w:ascii="Arial" w:cs="Arial" w:eastAsia="Arial" w:hAnsi="Arial"/>
          <w:sz w:val="18"/>
          <w:szCs w:val="18"/>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 Although it is not possible to predict the outcome of such litigation, based on the facts known to the Company, management believes that such litigation in the aggregate will likely not have a material adverse effect on the Company’s financial position or results of operations.</w:t>
      </w:r>
    </w:p>
    <w:p>
      <w:pPr>
        <w:sectPr>
          <w:pgSz w:w="11900" w:h="16838" w:orient="portrait"/>
          <w:cols w:equalWidth="0" w:num="1">
            <w:col w:w="11420"/>
          </w:cols>
          <w:pgMar w:left="240" w:top="122" w:right="239" w:bottom="0" w:gutter="0" w:footer="0" w:header="0"/>
        </w:sectPr>
      </w:pPr>
    </w:p>
    <w:p>
      <w:pPr>
        <w:spacing w:after="0" w:line="192" w:lineRule="exact"/>
        <w:rPr>
          <w:sz w:val="20"/>
          <w:szCs w:val="20"/>
          <w:color w:val="auto"/>
        </w:rPr>
      </w:pPr>
    </w:p>
    <w:p>
      <w:pPr>
        <w:ind w:left="640" w:hanging="632"/>
        <w:spacing w:after="0"/>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ACCUMULATED OTHER COMPREHENSIVE (LOSS)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(loss) income are as follows at December 31: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900" w:type="dxa"/>
            <w:vAlign w:val="bottom"/>
            <w:vMerge w:val="restart"/>
          </w:tcPr>
          <w:p>
            <w:pPr>
              <w:spacing w:after="0"/>
              <w:rPr>
                <w:sz w:val="20"/>
                <w:szCs w:val="20"/>
                <w:color w:val="auto"/>
              </w:rPr>
            </w:pPr>
            <w:r>
              <w:rPr>
                <w:rFonts w:ascii="Arial" w:cs="Arial" w:eastAsia="Arial" w:hAnsi="Arial"/>
                <w:sz w:val="21"/>
                <w:szCs w:val="21"/>
                <w:color w:val="auto"/>
                <w:w w:val="99"/>
              </w:rPr>
              <w:t>Accumulated net unrealized gain on available-for-sale securities, net of tax</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96"/>
              <w:spacing w:after="0"/>
              <w:rPr>
                <w:sz w:val="20"/>
                <w:szCs w:val="20"/>
                <w:color w:val="auto"/>
              </w:rPr>
            </w:pPr>
            <w:r>
              <w:rPr>
                <w:rFonts w:ascii="Arial" w:cs="Arial" w:eastAsia="Arial" w:hAnsi="Arial"/>
                <w:sz w:val="21"/>
                <w:szCs w:val="21"/>
                <w:color w:val="auto"/>
              </w:rPr>
              <w:t>2013</w:t>
            </w:r>
          </w:p>
        </w:tc>
        <w:tc>
          <w:tcPr>
            <w:tcW w:w="0" w:type="dxa"/>
            <w:vAlign w:val="bottom"/>
          </w:tcPr>
          <w:p>
            <w:pPr>
              <w:spacing w:after="0"/>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900" w:type="dxa"/>
            <w:vAlign w:val="bottom"/>
          </w:tcPr>
          <w:p>
            <w:pPr>
              <w:ind w:left="180"/>
              <w:spacing w:after="0"/>
              <w:rPr>
                <w:sz w:val="20"/>
                <w:szCs w:val="20"/>
                <w:color w:val="auto"/>
              </w:rPr>
            </w:pPr>
            <w:r>
              <w:rPr>
                <w:rFonts w:ascii="Arial" w:cs="Arial" w:eastAsia="Arial" w:hAnsi="Arial"/>
                <w:sz w:val="21"/>
                <w:szCs w:val="21"/>
                <w:color w:val="auto"/>
              </w:rPr>
              <w:t>benefit of $1.0 million</w:t>
            </w:r>
          </w:p>
        </w:tc>
        <w:tc>
          <w:tcPr>
            <w:tcW w:w="500" w:type="dxa"/>
            <w:vAlign w:val="bottom"/>
          </w:tcPr>
          <w:p>
            <w:pPr>
              <w:jc w:val="right"/>
              <w:ind w:right="196"/>
              <w:spacing w:after="0"/>
              <w:rPr>
                <w:sz w:val="20"/>
                <w:szCs w:val="20"/>
                <w:color w:val="auto"/>
              </w:rPr>
            </w:pPr>
            <w:r>
              <w:rPr>
                <w:rFonts w:ascii="Arial" w:cs="Arial" w:eastAsia="Arial" w:hAnsi="Arial"/>
                <w:sz w:val="21"/>
                <w:szCs w:val="21"/>
                <w:color w:val="auto"/>
              </w:rPr>
              <w:t>$</w:t>
            </w:r>
          </w:p>
        </w:tc>
        <w:tc>
          <w:tcPr>
            <w:tcW w:w="152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303"/>
        </w:trPr>
        <w:tc>
          <w:tcPr>
            <w:tcW w:w="6900" w:type="dxa"/>
            <w:vAlign w:val="bottom"/>
          </w:tcPr>
          <w:p>
            <w:pPr>
              <w:spacing w:after="0"/>
              <w:rPr>
                <w:sz w:val="20"/>
                <w:szCs w:val="20"/>
                <w:color w:val="auto"/>
              </w:rPr>
            </w:pPr>
            <w:r>
              <w:rPr>
                <w:rFonts w:ascii="Arial" w:cs="Arial" w:eastAsia="Arial" w:hAnsi="Arial"/>
                <w:sz w:val="21"/>
                <w:szCs w:val="21"/>
                <w:color w:val="auto"/>
              </w:rPr>
              <w:t>Foreign currency translation adjustments</w:t>
            </w: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(1,233)</w:t>
            </w:r>
          </w:p>
        </w:tc>
        <w:tc>
          <w:tcPr>
            <w:tcW w:w="0" w:type="dxa"/>
            <w:vAlign w:val="bottom"/>
          </w:tcPr>
          <w:p>
            <w:pPr>
              <w:spacing w:after="0"/>
              <w:rPr>
                <w:sz w:val="1"/>
                <w:szCs w:val="1"/>
                <w:color w:val="auto"/>
              </w:rPr>
            </w:pPr>
          </w:p>
        </w:tc>
      </w:tr>
      <w:tr>
        <w:trPr>
          <w:trHeight w:val="304"/>
        </w:trPr>
        <w:tc>
          <w:tcPr>
            <w:tcW w:w="6900" w:type="dxa"/>
            <w:vAlign w:val="bottom"/>
          </w:tcPr>
          <w:p>
            <w:pPr>
              <w:spacing w:after="0"/>
              <w:rPr>
                <w:sz w:val="20"/>
                <w:szCs w:val="20"/>
                <w:color w:val="auto"/>
              </w:rPr>
            </w:pPr>
            <w:r>
              <w:rPr>
                <w:rFonts w:ascii="Arial" w:cs="Arial" w:eastAsia="Arial" w:hAnsi="Arial"/>
                <w:sz w:val="21"/>
                <w:szCs w:val="21"/>
                <w:color w:val="auto"/>
              </w:rPr>
              <w:t>Total accumulated other comprehensive (loss) income</w:t>
            </w:r>
          </w:p>
        </w:tc>
        <w:tc>
          <w:tcPr>
            <w:tcW w:w="500" w:type="dxa"/>
            <w:vAlign w:val="bottom"/>
            <w:tcBorders>
              <w:bottom w:val="single" w:sz="8" w:color="auto"/>
            </w:tcBorders>
          </w:tcPr>
          <w:p>
            <w:pPr>
              <w:jc w:val="right"/>
              <w:ind w:right="196"/>
              <w:spacing w:after="0"/>
              <w:rPr>
                <w:sz w:val="20"/>
                <w:szCs w:val="20"/>
                <w:color w:val="auto"/>
              </w:rPr>
            </w:pPr>
            <w:r>
              <w:rPr>
                <w:rFonts w:ascii="Arial" w:cs="Arial" w:eastAsia="Arial" w:hAnsi="Arial"/>
                <w:sz w:val="21"/>
                <w:szCs w:val="2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(1,233)</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5640"/>
              <w:spacing w:after="0"/>
              <w:rPr>
                <w:sz w:val="20"/>
                <w:szCs w:val="20"/>
                <w:color w:val="auto"/>
              </w:rPr>
            </w:pPr>
            <w:r>
              <w:rPr>
                <w:rFonts w:ascii="Arial" w:cs="Arial" w:eastAsia="Arial" w:hAnsi="Arial"/>
                <w:sz w:val="16"/>
                <w:szCs w:val="16"/>
                <w:color w:val="auto"/>
              </w:rPr>
              <w:t>93</w:t>
            </w: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9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04"/>
        <w:spacing w:after="0"/>
        <w:rPr>
          <w:sz w:val="20"/>
          <w:szCs w:val="20"/>
          <w:color w:val="auto"/>
        </w:rPr>
      </w:pPr>
      <w:r>
        <w:rPr>
          <w:rFonts w:ascii="Arial" w:cs="Arial" w:eastAsia="Arial" w:hAnsi="Arial"/>
          <w:sz w:val="21"/>
          <w:szCs w:val="2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9525</wp:posOffset>
            </wp:positionV>
            <wp:extent cx="12947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25" w:lineRule="exact"/>
        <w:rPr>
          <w:sz w:val="20"/>
          <w:szCs w:val="20"/>
          <w:color w:val="auto"/>
        </w:rPr>
      </w:pPr>
    </w:p>
    <w:p>
      <w:pPr>
        <w:ind w:left="1364" w:hanging="1364"/>
        <w:spacing w:after="0"/>
        <w:tabs>
          <w:tab w:leader="none" w:pos="13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1,525</w:t>
      </w:r>
    </w:p>
    <w:p>
      <w:pPr>
        <w:spacing w:after="0" w:line="103" w:lineRule="exact"/>
        <w:rPr>
          <w:rFonts w:ascii="Arial" w:cs="Arial" w:eastAsia="Arial" w:hAnsi="Arial"/>
          <w:sz w:val="18"/>
          <w:szCs w:val="18"/>
          <w:color w:val="auto"/>
        </w:rPr>
      </w:pPr>
    </w:p>
    <w:p>
      <w:pPr>
        <w:ind w:left="1524"/>
        <w:spacing w:after="0"/>
        <w:rPr>
          <w:rFonts w:ascii="Arial" w:cs="Arial" w:eastAsia="Arial" w:hAnsi="Arial"/>
          <w:sz w:val="18"/>
          <w:szCs w:val="18"/>
          <w:color w:val="auto"/>
        </w:rPr>
      </w:pPr>
      <w:r>
        <w:rPr>
          <w:rFonts w:ascii="Arial" w:cs="Arial" w:eastAsia="Arial" w:hAnsi="Arial"/>
          <w:sz w:val="17"/>
          <w:szCs w:val="17"/>
          <w:color w:val="auto"/>
        </w:rPr>
        <w:t>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38735</wp:posOffset>
            </wp:positionV>
            <wp:extent cx="1294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09" w:lineRule="exact"/>
        <w:rPr>
          <w:sz w:val="20"/>
          <w:szCs w:val="20"/>
          <w:color w:val="auto"/>
        </w:rPr>
      </w:pPr>
    </w:p>
    <w:p>
      <w:pPr>
        <w:ind w:left="1364" w:hanging="1364"/>
        <w:spacing w:after="0"/>
        <w:tabs>
          <w:tab w:leader="none" w:pos="13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2,074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12947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9476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48895</wp:posOffset>
            </wp:positionV>
            <wp:extent cx="12947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702" w:lineRule="exact"/>
        <w:rPr>
          <w:sz w:val="20"/>
          <w:szCs w:val="20"/>
          <w:color w:val="auto"/>
        </w:rPr>
      </w:pPr>
    </w:p>
    <w:p>
      <w:pPr>
        <w:sectPr>
          <w:pgSz w:w="11900" w:h="16838" w:orient="portrait"/>
          <w:cols w:equalWidth="0" w:num="2">
            <w:col w:w="8920" w:space="456"/>
            <w:col w:w="2044"/>
          </w:cols>
          <w:pgMar w:left="240" w:top="122" w:right="239" w:bottom="0" w:gutter="0" w:footer="0" w:header="0"/>
          <w:type w:val="continuous"/>
        </w:sectPr>
      </w:pPr>
    </w:p>
    <w:p>
      <w:pPr>
        <w:spacing w:after="0" w:line="289"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ind w:left="620" w:hanging="612"/>
        <w:spacing w:after="0"/>
        <w:tabs>
          <w:tab w:leader="none" w:pos="6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TREASURY STOCK PURCHASE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On November 13, 2012, the Company’s Board of Directors authorized a share repurchase program for the repurchase of up to $250.0 million of the Company’s outstanding common stock (the “November 2012 Repurchase Plan”). During the year ended December 31, 2013, the Company purchased 0.257 million shares of common stock at an average purchase price of $51.99 per share for a total amount of $13.4 million (excluding broker commissions), which exhausted the availability under the November 2012 Repurchase Plan.</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April 7, 2013, the Company’s Board of Directors authorized a new share repurchase program for the repurchase of up to $200.0 million of the Company’s outstanding common stock (the “April 2013 Repurchase Plan”). During the year ended December 31, 2013, the Company purchased 0.951 million shares of common stock at an average purchase price of $56.98 per share for a total amount of $54.2 million (excluding broker commissions).</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the year ended December 31, 2013, 1,415 shares were purchased from employees in lieu of cash payments for options exercised or withholding taxes due for a total amount of $0.1 million. While such purchases are considered common stock repurchases, they are not counted as purchases against the Company’s authorized share repurchase programs, including the November 2012 Repurchase Plan and the April 2013 Repurchase Plan.</w:t>
      </w:r>
    </w:p>
    <w:p>
      <w:pPr>
        <w:spacing w:after="0" w:line="205"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2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Company has two stock-based compensation plans under which shares were available for grant at December 31, 2013: the Monster Beverage Corporation 2011 Omnibus Incentive Plan (the “2011 Omnibus Incentive Plan”) and the 2009 Monster Beverage Corporation Stock Incentive Plan for Non-Employee Directors (the “2009 Directors Plan”).</w:t>
      </w:r>
    </w:p>
    <w:p>
      <w:pPr>
        <w:spacing w:after="0" w:line="20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The 2011 Omnibus Incentive Plan permits the granting of options, stock appreciation rights, restricted stock, restricted stock units, performance awards and other stock-based awards up to an aggregate of 14,500,000 shares of the common stock of the Company to employees or consultants of the Company and its subsidiaries. Shares authorized under the 2011 Omnibus Incentive Plan are reduced by 2.16 shares for each share granted or issued with respect to a Full Value Award. A Full Value Award is an award other than an incentive stock option, a non-qualified stock option, or a stock appreciation right, which is settled by the issuance of shares. Options granted under the 2011 Omnibus Incentive Plan may be incentive stock options under Section 422 of the Internal Revenue Code, as amended, or non-qualified stock options. The Compensation Committee of the Board of Directors (the “Compensation Committee”) has sole and exclusive authority to grant stock awards to all employees who are not new hires and to all new hires who are subject to Section 16 of the Exchange Act. The Compensation Committee and the Executive Committee of the Board of Directors (the “Executive Committee”) each independently has the authority to grant stock awards to new hires who are not Section 16 employees. Awards granted by the Executive Committee are not subject to approval or ratification by the Board or the Compensation Committee. Options granted under the 2011 Omnibus Incentive Plan generally vest over a five-</w:t>
      </w:r>
    </w:p>
    <w:p>
      <w:pPr>
        <w:sectPr>
          <w:pgSz w:w="11900" w:h="16838" w:orient="portrait"/>
          <w:cols w:equalWidth="0" w:num="1">
            <w:col w:w="11420"/>
          </w:cols>
          <w:pgMar w:left="240" w:top="122" w:right="239" w:bottom="0" w:gutter="0" w:footer="0" w:header="0"/>
          <w:type w:val="continuous"/>
        </w:sectPr>
      </w:pPr>
    </w:p>
    <w:bookmarkStart w:id="61" w:name="page62"/>
    <w:bookmarkEnd w:id="61"/>
    <w:p>
      <w:pPr>
        <w:spacing w:after="0" w:line="4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year period from the grant date and are generally exercisable up to 10 years after the grant date. As of December 31, 2013, 2,745,630 shares of the Company’s common stock have been granted, net of cancellations, and 10,727,561 shares of the Company’s common stock remain available for grant under the 2011 Omnibus Incentive Plan.</w:t>
      </w:r>
    </w:p>
    <w:p>
      <w:pPr>
        <w:spacing w:after="0" w:line="20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2009 Directors Plan permits the granting of options, stock appreciation rights (each, an “SAR”), and other stock-based awards to purchase up to an aggregate of 1,600,000 shares of common stock of the Company to non-employee directors of the Company. The 2009 Directors Plan is administered by the Board of Directors. Each award granted under the 2009 Directors Plan will be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evidenced by a written agreement and will contain the terms and conditions that the Board of Directors deems appropriate. The Board of Directors may grant such awards on the last business day prior to the date of the annual meeting of stockholders. Any award granted under the 2009 Directors Plan will vest, with respect to 100% of such award, on the last business day prior to the date of the annual meeting, in the calendar year following the calendar year in which such award is granted. The Board of Directors may determine the exercise price per share of the Company’s common stock under each option, but such price may not be less than 100% of the closing price of the Company’s common stock on the date an option is granted. Option grants may be made under the 2009 Directors Plan for 10 years from June 4, 2009. The Board of Directors may also grant SARs, independently, or in connection with an option grant. The Board of Directors may determine the exercise price per share of the Company’s common stock under each SAR, but such price may not be less than the greater of (i) the fair market value of a share on the date the SAR is granted and (ii) the price of the related option, if the SAR is granted in connection with an option grant. Additionally, the Board of Directors may grant other stock-based awards, which include awards of shares of the Company’s common stock, restricted shares of the Company’s common stock, and awards that are valued based on the fair market value of shares of the Company’s common stock. SARs and other stock-based awards are subject to the general provisions of the 2009 Directors Plan. The Board of Directors may amend or terminate the 2009 Directors Plan at any time. As of December 31, 2013, options to purchase 70,655 shares of the Company’s common stock had been granted under the 2009 Directors Plan, and options to purchase 1,529,345 shares of the Company’s common stock remained available for grant.</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recorded $28.8 million, $28.4 million and $19.4 million of compensation expense relating to outstanding options, restricted stock awards, stock appreciation rights and restricted stock units during the years ended December 31, 2013, 2012 and 2011, respectively.</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excess tax benefit realized for tax deductions from non-qualified stock option exercises, disqualifying dispositions of incentive stock options, vesting of restricted stock units and restricted stock awards for the years ended December 31, 2013, 2012 and 2011 was $30.3 million, $19.7 million and $3.8 million,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Under the Company’s stock-based compensation plans, all stock options granted as of December 31, 2013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1180" w:type="dxa"/>
        <w:tblCellMar>
          <w:top w:w="0" w:type="dxa"/>
          <w:left w:w="0" w:type="dxa"/>
          <w:bottom w:w="0" w:type="dxa"/>
          <w:right w:w="0" w:type="dxa"/>
        </w:tblCellMar>
      </w:tblPr>
      <w:tr>
        <w:trPr>
          <w:trHeight w:val="246"/>
        </w:trPr>
        <w:tc>
          <w:tcPr>
            <w:tcW w:w="380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3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2013</w:t>
            </w:r>
          </w:p>
        </w:tc>
        <w:tc>
          <w:tcPr>
            <w:tcW w:w="260" w:type="dxa"/>
            <w:vAlign w:val="bottom"/>
          </w:tcPr>
          <w:p>
            <w:pPr>
              <w:spacing w:after="0"/>
              <w:rPr>
                <w:sz w:val="21"/>
                <w:szCs w:val="21"/>
                <w:color w:val="auto"/>
              </w:rPr>
            </w:pPr>
          </w:p>
        </w:tc>
        <w:tc>
          <w:tcPr>
            <w:tcW w:w="14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2012</w:t>
            </w:r>
          </w:p>
        </w:tc>
        <w:tc>
          <w:tcPr>
            <w:tcW w:w="260" w:type="dxa"/>
            <w:vAlign w:val="bottom"/>
          </w:tcPr>
          <w:p>
            <w:pPr>
              <w:spacing w:after="0"/>
              <w:rPr>
                <w:sz w:val="21"/>
                <w:szCs w:val="21"/>
                <w:color w:val="auto"/>
              </w:rPr>
            </w:pPr>
          </w:p>
        </w:tc>
        <w:tc>
          <w:tcPr>
            <w:tcW w:w="15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800" w:type="dxa"/>
            <w:vAlign w:val="bottom"/>
            <w:vMerge w:val="continue"/>
          </w:tcPr>
          <w:p>
            <w:pPr>
              <w:spacing w:after="0"/>
              <w:rPr>
                <w:sz w:val="17"/>
                <w:szCs w:val="17"/>
                <w:color w:val="auto"/>
              </w:rPr>
            </w:pPr>
          </w:p>
        </w:tc>
        <w:tc>
          <w:tcPr>
            <w:tcW w:w="1380" w:type="dxa"/>
            <w:vAlign w:val="bottom"/>
          </w:tcPr>
          <w:p>
            <w:pPr>
              <w:jc w:val="right"/>
              <w:spacing w:after="0" w:line="207" w:lineRule="exact"/>
              <w:rPr>
                <w:sz w:val="20"/>
                <w:szCs w:val="20"/>
                <w:color w:val="auto"/>
              </w:rPr>
            </w:pPr>
            <w:r>
              <w:rPr>
                <w:rFonts w:ascii="Arial" w:cs="Arial" w:eastAsia="Arial" w:hAnsi="Arial"/>
                <w:sz w:val="20"/>
                <w:szCs w:val="20"/>
                <w:color w:val="auto"/>
              </w:rPr>
              <w:t>0.0 %</w:t>
            </w:r>
          </w:p>
        </w:tc>
        <w:tc>
          <w:tcPr>
            <w:tcW w:w="260" w:type="dxa"/>
            <w:vAlign w:val="bottom"/>
          </w:tcPr>
          <w:p>
            <w:pPr>
              <w:spacing w:after="0"/>
              <w:rPr>
                <w:sz w:val="17"/>
                <w:szCs w:val="17"/>
                <w:color w:val="auto"/>
              </w:rPr>
            </w:pPr>
          </w:p>
        </w:tc>
        <w:tc>
          <w:tcPr>
            <w:tcW w:w="1400" w:type="dxa"/>
            <w:vAlign w:val="bottom"/>
          </w:tcPr>
          <w:p>
            <w:pPr>
              <w:jc w:val="right"/>
              <w:spacing w:after="0" w:line="207" w:lineRule="exact"/>
              <w:rPr>
                <w:sz w:val="20"/>
                <w:szCs w:val="20"/>
                <w:color w:val="auto"/>
              </w:rPr>
            </w:pPr>
            <w:r>
              <w:rPr>
                <w:rFonts w:ascii="Arial" w:cs="Arial" w:eastAsia="Arial" w:hAnsi="Arial"/>
                <w:sz w:val="20"/>
                <w:szCs w:val="20"/>
                <w:color w:val="auto"/>
              </w:rPr>
              <w:t>0.0 %</w:t>
            </w:r>
          </w:p>
        </w:tc>
        <w:tc>
          <w:tcPr>
            <w:tcW w:w="260" w:type="dxa"/>
            <w:vAlign w:val="bottom"/>
          </w:tcPr>
          <w:p>
            <w:pPr>
              <w:spacing w:after="0"/>
              <w:rPr>
                <w:sz w:val="17"/>
                <w:szCs w:val="17"/>
                <w:color w:val="auto"/>
              </w:rPr>
            </w:pPr>
          </w:p>
        </w:tc>
        <w:tc>
          <w:tcPr>
            <w:tcW w:w="1560" w:type="dxa"/>
            <w:vAlign w:val="bottom"/>
          </w:tcPr>
          <w:p>
            <w:pPr>
              <w:jc w:val="right"/>
              <w:spacing w:after="0" w:line="207" w:lineRule="exact"/>
              <w:rPr>
                <w:sz w:val="20"/>
                <w:szCs w:val="20"/>
                <w:color w:val="auto"/>
              </w:rPr>
            </w:pPr>
            <w:r>
              <w:rPr>
                <w:rFonts w:ascii="Arial" w:cs="Arial" w:eastAsia="Arial" w:hAnsi="Arial"/>
                <w:sz w:val="20"/>
                <w:szCs w:val="20"/>
                <w:color w:val="auto"/>
              </w:rPr>
              <w:t>0.0 %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20"/>
                <w:szCs w:val="20"/>
                <w:color w:val="auto"/>
              </w:rPr>
              <w:t>Expected volatility</w:t>
            </w:r>
          </w:p>
        </w:tc>
        <w:tc>
          <w:tcPr>
            <w:tcW w:w="1640" w:type="dxa"/>
            <w:vAlign w:val="bottom"/>
            <w:gridSpan w:val="2"/>
          </w:tcPr>
          <w:p>
            <w:pPr>
              <w:jc w:val="right"/>
              <w:ind w:right="260"/>
              <w:spacing w:after="0"/>
              <w:rPr>
                <w:sz w:val="20"/>
                <w:szCs w:val="20"/>
                <w:color w:val="auto"/>
              </w:rPr>
            </w:pPr>
            <w:r>
              <w:rPr>
                <w:rFonts w:ascii="Arial" w:cs="Arial" w:eastAsia="Arial" w:hAnsi="Arial"/>
                <w:sz w:val="20"/>
                <w:szCs w:val="20"/>
                <w:color w:val="auto"/>
              </w:rPr>
              <w:t>47.5 %</w:t>
            </w:r>
          </w:p>
        </w:tc>
        <w:tc>
          <w:tcPr>
            <w:tcW w:w="1660" w:type="dxa"/>
            <w:vAlign w:val="bottom"/>
            <w:gridSpan w:val="2"/>
          </w:tcPr>
          <w:p>
            <w:pPr>
              <w:jc w:val="right"/>
              <w:ind w:right="260"/>
              <w:spacing w:after="0"/>
              <w:rPr>
                <w:sz w:val="20"/>
                <w:szCs w:val="20"/>
                <w:color w:val="auto"/>
              </w:rPr>
            </w:pPr>
            <w:r>
              <w:rPr>
                <w:rFonts w:ascii="Arial" w:cs="Arial" w:eastAsia="Arial" w:hAnsi="Arial"/>
                <w:sz w:val="20"/>
                <w:szCs w:val="20"/>
                <w:color w:val="auto"/>
              </w:rPr>
              <w:t>48.1 %</w:t>
            </w:r>
          </w:p>
        </w:tc>
        <w:tc>
          <w:tcPr>
            <w:tcW w:w="1580" w:type="dxa"/>
            <w:vAlign w:val="bottom"/>
            <w:gridSpan w:val="2"/>
          </w:tcPr>
          <w:p>
            <w:pPr>
              <w:jc w:val="right"/>
              <w:ind w:right="20"/>
              <w:spacing w:after="0"/>
              <w:rPr>
                <w:sz w:val="20"/>
                <w:szCs w:val="20"/>
                <w:color w:val="auto"/>
              </w:rPr>
            </w:pPr>
            <w:r>
              <w:rPr>
                <w:rFonts w:ascii="Arial" w:cs="Arial" w:eastAsia="Arial" w:hAnsi="Arial"/>
                <w:sz w:val="20"/>
                <w:szCs w:val="20"/>
                <w:color w:val="auto"/>
              </w:rPr>
              <w:t>53.6 %</w:t>
            </w: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0"/>
                <w:szCs w:val="20"/>
                <w:color w:val="auto"/>
              </w:rPr>
            </w:pPr>
            <w:r>
              <w:rPr>
                <w:rFonts w:ascii="Arial" w:cs="Arial" w:eastAsia="Arial" w:hAnsi="Arial"/>
                <w:sz w:val="20"/>
                <w:szCs w:val="20"/>
                <w:color w:val="auto"/>
              </w:rPr>
              <w:t>Risk free interest rate</w:t>
            </w:r>
          </w:p>
        </w:tc>
        <w:tc>
          <w:tcPr>
            <w:tcW w:w="1640" w:type="dxa"/>
            <w:vAlign w:val="bottom"/>
            <w:gridSpan w:val="2"/>
          </w:tcPr>
          <w:p>
            <w:pPr>
              <w:jc w:val="right"/>
              <w:ind w:right="260"/>
              <w:spacing w:after="0"/>
              <w:rPr>
                <w:sz w:val="20"/>
                <w:szCs w:val="20"/>
                <w:color w:val="auto"/>
              </w:rPr>
            </w:pPr>
            <w:r>
              <w:rPr>
                <w:rFonts w:ascii="Arial" w:cs="Arial" w:eastAsia="Arial" w:hAnsi="Arial"/>
                <w:sz w:val="20"/>
                <w:szCs w:val="20"/>
                <w:color w:val="auto"/>
              </w:rPr>
              <w:t>0.98 %</w:t>
            </w:r>
          </w:p>
        </w:tc>
        <w:tc>
          <w:tcPr>
            <w:tcW w:w="1660" w:type="dxa"/>
            <w:vAlign w:val="bottom"/>
            <w:gridSpan w:val="2"/>
          </w:tcPr>
          <w:p>
            <w:pPr>
              <w:jc w:val="right"/>
              <w:ind w:right="260"/>
              <w:spacing w:after="0"/>
              <w:rPr>
                <w:sz w:val="20"/>
                <w:szCs w:val="20"/>
                <w:color w:val="auto"/>
              </w:rPr>
            </w:pPr>
            <w:r>
              <w:rPr>
                <w:rFonts w:ascii="Arial" w:cs="Arial" w:eastAsia="Arial" w:hAnsi="Arial"/>
                <w:sz w:val="20"/>
                <w:szCs w:val="20"/>
                <w:color w:val="auto"/>
              </w:rPr>
              <w:t>0.74 %</w:t>
            </w:r>
          </w:p>
        </w:tc>
        <w:tc>
          <w:tcPr>
            <w:tcW w:w="1580" w:type="dxa"/>
            <w:vAlign w:val="bottom"/>
            <w:gridSpan w:val="2"/>
          </w:tcPr>
          <w:p>
            <w:pPr>
              <w:jc w:val="right"/>
              <w:ind w:right="20"/>
              <w:spacing w:after="0"/>
              <w:rPr>
                <w:sz w:val="20"/>
                <w:szCs w:val="20"/>
                <w:color w:val="auto"/>
              </w:rPr>
            </w:pPr>
            <w:r>
              <w:rPr>
                <w:rFonts w:ascii="Arial" w:cs="Arial" w:eastAsia="Arial" w:hAnsi="Arial"/>
                <w:sz w:val="20"/>
                <w:szCs w:val="20"/>
                <w:color w:val="auto"/>
              </w:rPr>
              <w:t>1.5 %</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20"/>
                <w:szCs w:val="20"/>
                <w:color w:val="auto"/>
              </w:rPr>
              <w:t>Expected term</w:t>
            </w:r>
          </w:p>
        </w:tc>
        <w:tc>
          <w:tcPr>
            <w:tcW w:w="1640" w:type="dxa"/>
            <w:vAlign w:val="bottom"/>
            <w:gridSpan w:val="2"/>
          </w:tcPr>
          <w:p>
            <w:pPr>
              <w:jc w:val="right"/>
              <w:ind w:right="260"/>
              <w:spacing w:after="0"/>
              <w:rPr>
                <w:sz w:val="20"/>
                <w:szCs w:val="20"/>
                <w:color w:val="auto"/>
              </w:rPr>
            </w:pPr>
            <w:r>
              <w:rPr>
                <w:rFonts w:ascii="Arial" w:cs="Arial" w:eastAsia="Arial" w:hAnsi="Arial"/>
                <w:sz w:val="20"/>
                <w:szCs w:val="20"/>
                <w:color w:val="auto"/>
              </w:rPr>
              <w:t>5.7 Years</w:t>
            </w:r>
          </w:p>
        </w:tc>
        <w:tc>
          <w:tcPr>
            <w:tcW w:w="1660" w:type="dxa"/>
            <w:vAlign w:val="bottom"/>
            <w:gridSpan w:val="2"/>
          </w:tcPr>
          <w:p>
            <w:pPr>
              <w:jc w:val="right"/>
              <w:ind w:right="260"/>
              <w:spacing w:after="0"/>
              <w:rPr>
                <w:sz w:val="20"/>
                <w:szCs w:val="20"/>
                <w:color w:val="auto"/>
              </w:rPr>
            </w:pPr>
            <w:r>
              <w:rPr>
                <w:rFonts w:ascii="Arial" w:cs="Arial" w:eastAsia="Arial" w:hAnsi="Arial"/>
                <w:sz w:val="20"/>
                <w:szCs w:val="20"/>
                <w:color w:val="auto"/>
              </w:rPr>
              <w:t>5.4 Years</w:t>
            </w:r>
          </w:p>
        </w:tc>
        <w:tc>
          <w:tcPr>
            <w:tcW w:w="1580" w:type="dxa"/>
            <w:vAlign w:val="bottom"/>
            <w:gridSpan w:val="2"/>
          </w:tcPr>
          <w:p>
            <w:pPr>
              <w:jc w:val="right"/>
              <w:ind w:right="20"/>
              <w:spacing w:after="0"/>
              <w:rPr>
                <w:sz w:val="20"/>
                <w:szCs w:val="20"/>
                <w:color w:val="auto"/>
              </w:rPr>
            </w:pPr>
            <w:r>
              <w:rPr>
                <w:rFonts w:ascii="Arial" w:cs="Arial" w:eastAsia="Arial" w:hAnsi="Arial"/>
                <w:sz w:val="20"/>
                <w:szCs w:val="20"/>
                <w:color w:val="auto"/>
              </w:rPr>
              <w:t>5.8 Years</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ectPr>
          <w:pgSz w:w="11900" w:h="16886" w:orient="portrait"/>
          <w:cols w:equalWidth="0" w:num="1">
            <w:col w:w="11420"/>
          </w:cols>
          <w:pgMar w:left="240" w:top="122" w:right="239" w:bottom="0" w:gutter="0" w:footer="0" w:header="0"/>
        </w:sectPr>
      </w:pPr>
    </w:p>
    <w:bookmarkStart w:id="62" w:name="page63"/>
    <w:bookmarkEnd w:id="62"/>
    <w:p>
      <w:pPr>
        <w:jc w:val="both"/>
        <w:ind w:right="6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90"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jc w:val="center"/>
              <w:ind w:right="1"/>
              <w:spacing w:after="0"/>
              <w:rPr>
                <w:sz w:val="20"/>
                <w:szCs w:val="20"/>
                <w:color w:val="auto"/>
              </w:rPr>
            </w:pPr>
            <w:r>
              <w:rPr>
                <w:rFonts w:ascii="Arial" w:cs="Arial" w:eastAsia="Arial" w:hAnsi="Arial"/>
                <w:sz w:val="20"/>
                <w:szCs w:val="20"/>
                <w:color w:val="auto"/>
                <w:w w:val="89"/>
              </w:rPr>
              <w:t>Weighted-</w:t>
            </w: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center"/>
              <w:ind w:right="361"/>
              <w:spacing w:after="0"/>
              <w:rPr>
                <w:sz w:val="20"/>
                <w:szCs w:val="20"/>
                <w:color w:val="auto"/>
              </w:rPr>
            </w:pPr>
            <w:r>
              <w:rPr>
                <w:rFonts w:ascii="Arial" w:cs="Arial" w:eastAsia="Arial" w:hAnsi="Arial"/>
                <w:sz w:val="20"/>
                <w:szCs w:val="20"/>
                <w:color w:val="auto"/>
                <w:w w:val="89"/>
              </w:rPr>
              <w:t>Weighted-</w:t>
            </w:r>
          </w:p>
        </w:tc>
        <w:tc>
          <w:tcPr>
            <w:tcW w:w="1560" w:type="dxa"/>
            <w:vAlign w:val="bottom"/>
          </w:tcPr>
          <w:p>
            <w:pPr>
              <w:jc w:val="center"/>
              <w:ind w:right="21"/>
              <w:spacing w:after="0"/>
              <w:rPr>
                <w:sz w:val="20"/>
                <w:szCs w:val="20"/>
                <w:color w:val="auto"/>
              </w:rPr>
            </w:pPr>
            <w:r>
              <w:rPr>
                <w:rFonts w:ascii="Arial" w:cs="Arial" w:eastAsia="Arial" w:hAnsi="Arial"/>
                <w:sz w:val="20"/>
                <w:szCs w:val="20"/>
                <w:color w:val="auto"/>
                <w:w w:val="85"/>
              </w:rPr>
              <w:t>Average</w:t>
            </w: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center"/>
              <w:ind w:right="361"/>
              <w:spacing w:after="0"/>
              <w:rPr>
                <w:sz w:val="20"/>
                <w:szCs w:val="20"/>
                <w:color w:val="auto"/>
              </w:rPr>
            </w:pPr>
            <w:r>
              <w:rPr>
                <w:rFonts w:ascii="Arial" w:cs="Arial" w:eastAsia="Arial" w:hAnsi="Arial"/>
                <w:sz w:val="20"/>
                <w:szCs w:val="20"/>
                <w:color w:val="auto"/>
                <w:w w:val="88"/>
              </w:rPr>
              <w:t>Average</w:t>
            </w:r>
          </w:p>
        </w:tc>
        <w:tc>
          <w:tcPr>
            <w:tcW w:w="1560" w:type="dxa"/>
            <w:vAlign w:val="bottom"/>
          </w:tcPr>
          <w:p>
            <w:pPr>
              <w:jc w:val="center"/>
              <w:ind w:right="21"/>
              <w:spacing w:after="0"/>
              <w:rPr>
                <w:sz w:val="20"/>
                <w:szCs w:val="20"/>
                <w:color w:val="auto"/>
              </w:rPr>
            </w:pPr>
            <w:r>
              <w:rPr>
                <w:rFonts w:ascii="Arial" w:cs="Arial" w:eastAsia="Arial" w:hAnsi="Arial"/>
                <w:sz w:val="20"/>
                <w:szCs w:val="20"/>
                <w:color w:val="auto"/>
                <w:w w:val="92"/>
              </w:rPr>
              <w:t>Remaining</w:t>
            </w: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380" w:type="dxa"/>
            <w:vAlign w:val="bottom"/>
          </w:tcPr>
          <w:p>
            <w:pPr>
              <w:spacing w:after="0"/>
              <w:rPr>
                <w:sz w:val="19"/>
                <w:szCs w:val="19"/>
                <w:color w:val="auto"/>
              </w:rPr>
            </w:pPr>
          </w:p>
        </w:tc>
        <w:tc>
          <w:tcPr>
            <w:tcW w:w="1640" w:type="dxa"/>
            <w:vAlign w:val="bottom"/>
          </w:tcPr>
          <w:p>
            <w:pPr>
              <w:jc w:val="center"/>
              <w:ind w:right="162"/>
              <w:spacing w:after="0"/>
              <w:rPr>
                <w:sz w:val="20"/>
                <w:szCs w:val="20"/>
                <w:color w:val="auto"/>
              </w:rPr>
            </w:pPr>
            <w:r>
              <w:rPr>
                <w:rFonts w:ascii="Arial" w:cs="Arial" w:eastAsia="Arial" w:hAnsi="Arial"/>
                <w:sz w:val="20"/>
                <w:szCs w:val="20"/>
                <w:color w:val="auto"/>
                <w:w w:val="92"/>
              </w:rPr>
              <w:t>Number of</w:t>
            </w:r>
          </w:p>
        </w:tc>
        <w:tc>
          <w:tcPr>
            <w:tcW w:w="200" w:type="dxa"/>
            <w:vAlign w:val="bottom"/>
          </w:tcPr>
          <w:p>
            <w:pPr>
              <w:spacing w:after="0"/>
              <w:rPr>
                <w:sz w:val="19"/>
                <w:szCs w:val="19"/>
                <w:color w:val="auto"/>
              </w:rPr>
            </w:pPr>
          </w:p>
        </w:tc>
        <w:tc>
          <w:tcPr>
            <w:tcW w:w="1400" w:type="dxa"/>
            <w:vAlign w:val="bottom"/>
          </w:tcPr>
          <w:p>
            <w:pPr>
              <w:jc w:val="center"/>
              <w:ind w:right="341"/>
              <w:spacing w:after="0"/>
              <w:rPr>
                <w:sz w:val="20"/>
                <w:szCs w:val="20"/>
                <w:color w:val="auto"/>
              </w:rPr>
            </w:pPr>
            <w:r>
              <w:rPr>
                <w:rFonts w:ascii="Arial" w:cs="Arial" w:eastAsia="Arial" w:hAnsi="Arial"/>
                <w:sz w:val="20"/>
                <w:szCs w:val="20"/>
                <w:color w:val="auto"/>
                <w:w w:val="88"/>
              </w:rPr>
              <w:t>Exercise</w:t>
            </w:r>
          </w:p>
        </w:tc>
        <w:tc>
          <w:tcPr>
            <w:tcW w:w="1560" w:type="dxa"/>
            <w:vAlign w:val="bottom"/>
          </w:tcPr>
          <w:p>
            <w:pPr>
              <w:jc w:val="center"/>
              <w:ind w:right="21"/>
              <w:spacing w:after="0"/>
              <w:rPr>
                <w:sz w:val="20"/>
                <w:szCs w:val="20"/>
                <w:color w:val="auto"/>
              </w:rPr>
            </w:pPr>
            <w:r>
              <w:rPr>
                <w:rFonts w:ascii="Arial" w:cs="Arial" w:eastAsia="Arial" w:hAnsi="Arial"/>
                <w:sz w:val="20"/>
                <w:szCs w:val="20"/>
                <w:color w:val="auto"/>
                <w:w w:val="89"/>
              </w:rPr>
              <w:t>Contractual</w:t>
            </w: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380" w:type="dxa"/>
            <w:vAlign w:val="bottom"/>
          </w:tcPr>
          <w:p>
            <w:pPr>
              <w:spacing w:after="0"/>
              <w:rPr>
                <w:sz w:val="19"/>
                <w:szCs w:val="19"/>
                <w:color w:val="auto"/>
              </w:rPr>
            </w:pPr>
          </w:p>
        </w:tc>
        <w:tc>
          <w:tcPr>
            <w:tcW w:w="1640" w:type="dxa"/>
            <w:vAlign w:val="bottom"/>
          </w:tcPr>
          <w:p>
            <w:pPr>
              <w:jc w:val="center"/>
              <w:ind w:right="182"/>
              <w:spacing w:after="0"/>
              <w:rPr>
                <w:sz w:val="20"/>
                <w:szCs w:val="20"/>
                <w:color w:val="auto"/>
              </w:rPr>
            </w:pPr>
            <w:r>
              <w:rPr>
                <w:rFonts w:ascii="Arial" w:cs="Arial" w:eastAsia="Arial" w:hAnsi="Arial"/>
                <w:sz w:val="20"/>
                <w:szCs w:val="20"/>
                <w:color w:val="auto"/>
                <w:w w:val="86"/>
              </w:rPr>
              <w:t>Shares (In</w:t>
            </w:r>
          </w:p>
        </w:tc>
        <w:tc>
          <w:tcPr>
            <w:tcW w:w="200" w:type="dxa"/>
            <w:vAlign w:val="bottom"/>
          </w:tcPr>
          <w:p>
            <w:pPr>
              <w:spacing w:after="0"/>
              <w:rPr>
                <w:sz w:val="19"/>
                <w:szCs w:val="19"/>
                <w:color w:val="auto"/>
              </w:rPr>
            </w:pPr>
          </w:p>
        </w:tc>
        <w:tc>
          <w:tcPr>
            <w:tcW w:w="1400" w:type="dxa"/>
            <w:vAlign w:val="bottom"/>
          </w:tcPr>
          <w:p>
            <w:pPr>
              <w:jc w:val="center"/>
              <w:ind w:right="341"/>
              <w:spacing w:after="0"/>
              <w:rPr>
                <w:sz w:val="20"/>
                <w:szCs w:val="20"/>
                <w:color w:val="auto"/>
              </w:rPr>
            </w:pPr>
            <w:r>
              <w:rPr>
                <w:rFonts w:ascii="Arial" w:cs="Arial" w:eastAsia="Arial" w:hAnsi="Arial"/>
                <w:sz w:val="20"/>
                <w:szCs w:val="20"/>
                <w:color w:val="auto"/>
                <w:w w:val="87"/>
              </w:rPr>
              <w:t>Price Per</w:t>
            </w:r>
          </w:p>
        </w:tc>
        <w:tc>
          <w:tcPr>
            <w:tcW w:w="1560" w:type="dxa"/>
            <w:vAlign w:val="bottom"/>
          </w:tcPr>
          <w:p>
            <w:pPr>
              <w:jc w:val="center"/>
              <w:ind w:right="21"/>
              <w:spacing w:after="0"/>
              <w:rPr>
                <w:sz w:val="20"/>
                <w:szCs w:val="20"/>
                <w:color w:val="auto"/>
              </w:rPr>
            </w:pPr>
            <w:r>
              <w:rPr>
                <w:rFonts w:ascii="Arial" w:cs="Arial" w:eastAsia="Arial" w:hAnsi="Arial"/>
                <w:sz w:val="20"/>
                <w:szCs w:val="20"/>
                <w:color w:val="auto"/>
                <w:w w:val="89"/>
              </w:rPr>
              <w:t>Term (In</w:t>
            </w:r>
          </w:p>
        </w:tc>
        <w:tc>
          <w:tcPr>
            <w:tcW w:w="300" w:type="dxa"/>
            <w:vAlign w:val="bottom"/>
          </w:tcPr>
          <w:p>
            <w:pPr>
              <w:spacing w:after="0"/>
              <w:rPr>
                <w:sz w:val="19"/>
                <w:szCs w:val="19"/>
                <w:color w:val="auto"/>
              </w:rPr>
            </w:pPr>
          </w:p>
        </w:tc>
        <w:tc>
          <w:tcPr>
            <w:tcW w:w="1540" w:type="dxa"/>
            <w:vAlign w:val="bottom"/>
          </w:tcPr>
          <w:p>
            <w:pPr>
              <w:jc w:val="right"/>
              <w:ind w:right="401"/>
              <w:spacing w:after="0"/>
              <w:rPr>
                <w:sz w:val="20"/>
                <w:szCs w:val="20"/>
                <w:color w:val="auto"/>
              </w:rPr>
            </w:pPr>
            <w:r>
              <w:rPr>
                <w:rFonts w:ascii="Arial" w:cs="Arial" w:eastAsia="Arial" w:hAnsi="Arial"/>
                <w:sz w:val="20"/>
                <w:szCs w:val="20"/>
                <w:color w:val="auto"/>
              </w:rPr>
              <w:t>Aggregate</w:t>
            </w:r>
          </w:p>
        </w:tc>
        <w:tc>
          <w:tcPr>
            <w:tcW w:w="440" w:type="dxa"/>
            <w:vAlign w:val="bottom"/>
          </w:tcPr>
          <w:p>
            <w:pPr>
              <w:spacing w:after="0"/>
              <w:rPr>
                <w:sz w:val="19"/>
                <w:szCs w:val="19"/>
                <w:color w:val="auto"/>
              </w:rPr>
            </w:pPr>
          </w:p>
        </w:tc>
      </w:tr>
      <w:tr>
        <w:trPr>
          <w:trHeight w:val="246"/>
        </w:trPr>
        <w:tc>
          <w:tcPr>
            <w:tcW w:w="4380" w:type="dxa"/>
            <w:vAlign w:val="bottom"/>
            <w:tcBorders>
              <w:bottom w:val="single" w:sz="8" w:color="auto"/>
            </w:tcBorders>
          </w:tcPr>
          <w:p>
            <w:pPr>
              <w:ind w:left="1740"/>
              <w:spacing w:after="0"/>
              <w:rPr>
                <w:sz w:val="20"/>
                <w:szCs w:val="20"/>
                <w:color w:val="auto"/>
              </w:rPr>
            </w:pPr>
            <w:r>
              <w:rPr>
                <w:rFonts w:ascii="Arial" w:cs="Arial" w:eastAsia="Arial" w:hAnsi="Arial"/>
                <w:sz w:val="20"/>
                <w:szCs w:val="20"/>
                <w:color w:val="auto"/>
              </w:rPr>
              <w:t>Options</w:t>
            </w:r>
          </w:p>
        </w:tc>
        <w:tc>
          <w:tcPr>
            <w:tcW w:w="164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87"/>
              </w:rPr>
              <w:t>Thousands)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361"/>
              <w:spacing w:after="0"/>
              <w:rPr>
                <w:sz w:val="20"/>
                <w:szCs w:val="20"/>
                <w:color w:val="auto"/>
              </w:rPr>
            </w:pPr>
            <w:r>
              <w:rPr>
                <w:rFonts w:ascii="Arial" w:cs="Arial" w:eastAsia="Arial" w:hAnsi="Arial"/>
                <w:sz w:val="20"/>
                <w:szCs w:val="20"/>
                <w:color w:val="auto"/>
                <w:w w:val="86"/>
              </w:rPr>
              <w:t>Share</w:t>
            </w:r>
          </w:p>
        </w:tc>
        <w:tc>
          <w:tcPr>
            <w:tcW w:w="156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color w:val="auto"/>
                <w:w w:val="88"/>
              </w:rPr>
              <w:t>Years)</w:t>
            </w: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95"/>
              </w:rPr>
              <w:t>Intrinsic Value</w:t>
            </w:r>
          </w:p>
        </w:tc>
        <w:tc>
          <w:tcPr>
            <w:tcW w:w="440" w:type="dxa"/>
            <w:vAlign w:val="bottom"/>
          </w:tcPr>
          <w:p>
            <w:pPr>
              <w:spacing w:after="0"/>
              <w:rPr>
                <w:sz w:val="21"/>
                <w:szCs w:val="21"/>
                <w:color w:val="auto"/>
              </w:rPr>
            </w:pPr>
          </w:p>
        </w:tc>
      </w:tr>
      <w:tr>
        <w:trPr>
          <w:trHeight w:val="206"/>
        </w:trPr>
        <w:tc>
          <w:tcPr>
            <w:tcW w:w="4380" w:type="dxa"/>
            <w:vAlign w:val="bottom"/>
          </w:tcPr>
          <w:p>
            <w:pPr>
              <w:ind w:left="40"/>
              <w:spacing w:after="0" w:line="207" w:lineRule="exact"/>
              <w:rPr>
                <w:sz w:val="20"/>
                <w:szCs w:val="20"/>
                <w:color w:val="auto"/>
              </w:rPr>
            </w:pPr>
            <w:r>
              <w:rPr>
                <w:rFonts w:ascii="Arial" w:cs="Arial" w:eastAsia="Arial" w:hAnsi="Arial"/>
                <w:sz w:val="20"/>
                <w:szCs w:val="20"/>
                <w:color w:val="auto"/>
              </w:rPr>
              <w:t>Outstanding at January 1, 2013</w:t>
            </w:r>
          </w:p>
        </w:tc>
        <w:tc>
          <w:tcPr>
            <w:tcW w:w="1640" w:type="dxa"/>
            <w:vAlign w:val="bottom"/>
          </w:tcPr>
          <w:p>
            <w:pPr>
              <w:jc w:val="right"/>
              <w:ind w:right="182"/>
              <w:spacing w:after="0" w:line="207" w:lineRule="exact"/>
              <w:rPr>
                <w:sz w:val="20"/>
                <w:szCs w:val="20"/>
                <w:color w:val="auto"/>
              </w:rPr>
            </w:pPr>
            <w:r>
              <w:rPr>
                <w:rFonts w:ascii="Arial" w:cs="Arial" w:eastAsia="Arial" w:hAnsi="Arial"/>
                <w:sz w:val="20"/>
                <w:szCs w:val="20"/>
                <w:color w:val="auto"/>
              </w:rPr>
              <w:t>14,000</w:t>
            </w:r>
          </w:p>
        </w:tc>
        <w:tc>
          <w:tcPr>
            <w:tcW w:w="2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0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12.12</w:t>
            </w:r>
          </w:p>
        </w:tc>
        <w:tc>
          <w:tcPr>
            <w:tcW w:w="15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4.1</w:t>
            </w:r>
          </w:p>
        </w:tc>
        <w:tc>
          <w:tcPr>
            <w:tcW w:w="3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540" w:type="dxa"/>
            <w:vAlign w:val="bottom"/>
          </w:tcPr>
          <w:p>
            <w:pPr>
              <w:jc w:val="right"/>
              <w:ind w:right="1"/>
              <w:spacing w:after="0" w:line="207" w:lineRule="exact"/>
              <w:rPr>
                <w:sz w:val="20"/>
                <w:szCs w:val="20"/>
                <w:color w:val="auto"/>
              </w:rPr>
            </w:pPr>
            <w:r>
              <w:rPr>
                <w:rFonts w:ascii="Arial" w:cs="Arial" w:eastAsia="Arial" w:hAnsi="Arial"/>
                <w:sz w:val="20"/>
                <w:szCs w:val="20"/>
                <w:color w:val="auto"/>
              </w:rPr>
              <w:t>572,530</w:t>
            </w:r>
          </w:p>
        </w:tc>
        <w:tc>
          <w:tcPr>
            <w:tcW w:w="440" w:type="dxa"/>
            <w:vAlign w:val="bottom"/>
          </w:tcPr>
          <w:p>
            <w:pPr>
              <w:spacing w:after="0"/>
              <w:rPr>
                <w:sz w:val="17"/>
                <w:szCs w:val="17"/>
                <w:color w:val="auto"/>
              </w:rPr>
            </w:pPr>
          </w:p>
        </w:tc>
      </w:tr>
      <w:tr>
        <w:trPr>
          <w:trHeight w:val="230"/>
        </w:trPr>
        <w:tc>
          <w:tcPr>
            <w:tcW w:w="4380" w:type="dxa"/>
            <w:vAlign w:val="bottom"/>
          </w:tcPr>
          <w:p>
            <w:pPr>
              <w:ind w:left="400"/>
              <w:spacing w:after="0"/>
              <w:rPr>
                <w:sz w:val="20"/>
                <w:szCs w:val="20"/>
                <w:color w:val="auto"/>
              </w:rPr>
            </w:pPr>
            <w:r>
              <w:rPr>
                <w:rFonts w:ascii="Arial" w:cs="Arial" w:eastAsia="Arial" w:hAnsi="Arial"/>
                <w:sz w:val="20"/>
                <w:szCs w:val="20"/>
                <w:color w:val="auto"/>
              </w:rPr>
              <w:t>Granted 01/01/13 - 03/31/13</w:t>
            </w:r>
          </w:p>
        </w:tc>
        <w:tc>
          <w:tcPr>
            <w:tcW w:w="1640" w:type="dxa"/>
            <w:vAlign w:val="bottom"/>
          </w:tcPr>
          <w:p>
            <w:pPr>
              <w:jc w:val="right"/>
              <w:ind w:right="182"/>
              <w:spacing w:after="0"/>
              <w:rPr>
                <w:sz w:val="20"/>
                <w:szCs w:val="20"/>
                <w:color w:val="auto"/>
              </w:rPr>
            </w:pPr>
            <w:r>
              <w:rPr>
                <w:rFonts w:ascii="Arial" w:cs="Arial" w:eastAsia="Arial" w:hAnsi="Arial"/>
                <w:sz w:val="20"/>
                <w:szCs w:val="20"/>
                <w:color w:val="auto"/>
              </w:rPr>
              <w:t>636</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61"/>
              <w:spacing w:after="0"/>
              <w:rPr>
                <w:sz w:val="20"/>
                <w:szCs w:val="20"/>
                <w:color w:val="auto"/>
              </w:rPr>
            </w:pPr>
            <w:r>
              <w:rPr>
                <w:rFonts w:ascii="Arial" w:cs="Arial" w:eastAsia="Arial" w:hAnsi="Arial"/>
                <w:sz w:val="20"/>
                <w:szCs w:val="20"/>
                <w:color w:val="auto"/>
              </w:rPr>
              <w:t>47.36</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380" w:type="dxa"/>
            <w:vAlign w:val="bottom"/>
          </w:tcPr>
          <w:p>
            <w:pPr>
              <w:ind w:left="400"/>
              <w:spacing w:after="0"/>
              <w:rPr>
                <w:sz w:val="20"/>
                <w:szCs w:val="20"/>
                <w:color w:val="auto"/>
              </w:rPr>
            </w:pPr>
            <w:r>
              <w:rPr>
                <w:rFonts w:ascii="Arial" w:cs="Arial" w:eastAsia="Arial" w:hAnsi="Arial"/>
                <w:sz w:val="20"/>
                <w:szCs w:val="20"/>
                <w:color w:val="auto"/>
              </w:rPr>
              <w:t>Granted 04/01/13 - 06/30/13</w:t>
            </w:r>
          </w:p>
        </w:tc>
        <w:tc>
          <w:tcPr>
            <w:tcW w:w="1640" w:type="dxa"/>
            <w:vAlign w:val="bottom"/>
          </w:tcPr>
          <w:p>
            <w:pPr>
              <w:jc w:val="right"/>
              <w:ind w:right="182"/>
              <w:spacing w:after="0"/>
              <w:rPr>
                <w:sz w:val="20"/>
                <w:szCs w:val="20"/>
                <w:color w:val="auto"/>
              </w:rPr>
            </w:pPr>
            <w:r>
              <w:rPr>
                <w:rFonts w:ascii="Arial" w:cs="Arial" w:eastAsia="Arial" w:hAnsi="Arial"/>
                <w:sz w:val="20"/>
                <w:szCs w:val="20"/>
                <w:color w:val="auto"/>
              </w:rPr>
              <w:t>450</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61"/>
              <w:spacing w:after="0"/>
              <w:rPr>
                <w:sz w:val="20"/>
                <w:szCs w:val="20"/>
                <w:color w:val="auto"/>
              </w:rPr>
            </w:pPr>
            <w:r>
              <w:rPr>
                <w:rFonts w:ascii="Arial" w:cs="Arial" w:eastAsia="Arial" w:hAnsi="Arial"/>
                <w:sz w:val="20"/>
                <w:szCs w:val="20"/>
                <w:color w:val="auto"/>
              </w:rPr>
              <w:t>54.00</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380" w:type="dxa"/>
            <w:vAlign w:val="bottom"/>
          </w:tcPr>
          <w:p>
            <w:pPr>
              <w:ind w:left="400"/>
              <w:spacing w:after="0"/>
              <w:rPr>
                <w:sz w:val="20"/>
                <w:szCs w:val="20"/>
                <w:color w:val="auto"/>
              </w:rPr>
            </w:pPr>
            <w:r>
              <w:rPr>
                <w:rFonts w:ascii="Arial" w:cs="Arial" w:eastAsia="Arial" w:hAnsi="Arial"/>
                <w:sz w:val="20"/>
                <w:szCs w:val="20"/>
                <w:color w:val="auto"/>
              </w:rPr>
              <w:t>Granted 07/01/13 - 09/30/13</w:t>
            </w:r>
          </w:p>
        </w:tc>
        <w:tc>
          <w:tcPr>
            <w:tcW w:w="164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380" w:type="dxa"/>
            <w:vAlign w:val="bottom"/>
          </w:tcPr>
          <w:p>
            <w:pPr>
              <w:ind w:left="400"/>
              <w:spacing w:after="0"/>
              <w:rPr>
                <w:sz w:val="20"/>
                <w:szCs w:val="20"/>
                <w:color w:val="auto"/>
              </w:rPr>
            </w:pPr>
            <w:r>
              <w:rPr>
                <w:rFonts w:ascii="Arial" w:cs="Arial" w:eastAsia="Arial" w:hAnsi="Arial"/>
                <w:sz w:val="20"/>
                <w:szCs w:val="20"/>
                <w:color w:val="auto"/>
              </w:rPr>
              <w:t>Granted 10/01/13 - 12/31/13</w:t>
            </w:r>
          </w:p>
        </w:tc>
        <w:tc>
          <w:tcPr>
            <w:tcW w:w="1640" w:type="dxa"/>
            <w:vAlign w:val="bottom"/>
          </w:tcPr>
          <w:p>
            <w:pPr>
              <w:jc w:val="right"/>
              <w:ind w:right="182"/>
              <w:spacing w:after="0"/>
              <w:rPr>
                <w:sz w:val="20"/>
                <w:szCs w:val="20"/>
                <w:color w:val="auto"/>
              </w:rPr>
            </w:pPr>
            <w:r>
              <w:rPr>
                <w:rFonts w:ascii="Arial" w:cs="Arial" w:eastAsia="Arial" w:hAnsi="Arial"/>
                <w:sz w:val="20"/>
                <w:szCs w:val="20"/>
                <w:color w:val="auto"/>
              </w:rPr>
              <w:t>106</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61"/>
              <w:spacing w:after="0"/>
              <w:rPr>
                <w:sz w:val="20"/>
                <w:szCs w:val="20"/>
                <w:color w:val="auto"/>
              </w:rPr>
            </w:pPr>
            <w:r>
              <w:rPr>
                <w:rFonts w:ascii="Arial" w:cs="Arial" w:eastAsia="Arial" w:hAnsi="Arial"/>
                <w:sz w:val="20"/>
                <w:szCs w:val="20"/>
                <w:color w:val="auto"/>
              </w:rPr>
              <w:t>57.76</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380" w:type="dxa"/>
            <w:vAlign w:val="bottom"/>
          </w:tcPr>
          <w:p>
            <w:pPr>
              <w:ind w:left="400"/>
              <w:spacing w:after="0"/>
              <w:rPr>
                <w:sz w:val="20"/>
                <w:szCs w:val="20"/>
                <w:color w:val="auto"/>
              </w:rPr>
            </w:pPr>
            <w:r>
              <w:rPr>
                <w:rFonts w:ascii="Arial" w:cs="Arial" w:eastAsia="Arial" w:hAnsi="Arial"/>
                <w:sz w:val="20"/>
                <w:szCs w:val="20"/>
                <w:color w:val="auto"/>
              </w:rPr>
              <w:t>Exercised</w:t>
            </w:r>
          </w:p>
        </w:tc>
        <w:tc>
          <w:tcPr>
            <w:tcW w:w="1640" w:type="dxa"/>
            <w:vAlign w:val="bottom"/>
          </w:tcPr>
          <w:p>
            <w:pPr>
              <w:jc w:val="right"/>
              <w:ind w:right="102"/>
              <w:spacing w:after="0"/>
              <w:rPr>
                <w:sz w:val="20"/>
                <w:szCs w:val="20"/>
                <w:color w:val="auto"/>
              </w:rPr>
            </w:pPr>
            <w:r>
              <w:rPr>
                <w:rFonts w:ascii="Arial" w:cs="Arial" w:eastAsia="Arial" w:hAnsi="Arial"/>
                <w:sz w:val="20"/>
                <w:szCs w:val="20"/>
                <w:color w:val="auto"/>
              </w:rPr>
              <w:t>(2,022)</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61"/>
              <w:spacing w:after="0"/>
              <w:rPr>
                <w:sz w:val="20"/>
                <w:szCs w:val="20"/>
                <w:color w:val="auto"/>
              </w:rPr>
            </w:pPr>
            <w:r>
              <w:rPr>
                <w:rFonts w:ascii="Arial" w:cs="Arial" w:eastAsia="Arial" w:hAnsi="Arial"/>
                <w:sz w:val="20"/>
                <w:szCs w:val="20"/>
                <w:color w:val="auto"/>
              </w:rPr>
              <w:t>10.51</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6"/>
        </w:trPr>
        <w:tc>
          <w:tcPr>
            <w:tcW w:w="4380" w:type="dxa"/>
            <w:vAlign w:val="bottom"/>
          </w:tcPr>
          <w:p>
            <w:pPr>
              <w:ind w:left="400"/>
              <w:spacing w:after="0"/>
              <w:rPr>
                <w:sz w:val="20"/>
                <w:szCs w:val="20"/>
                <w:color w:val="auto"/>
              </w:rPr>
            </w:pPr>
            <w:r>
              <w:rPr>
                <w:rFonts w:ascii="Arial" w:cs="Arial" w:eastAsia="Arial" w:hAnsi="Arial"/>
                <w:sz w:val="20"/>
                <w:szCs w:val="20"/>
                <w:color w:val="auto"/>
              </w:rPr>
              <w:t>Cancelled or forfeited</w:t>
            </w:r>
          </w:p>
        </w:tc>
        <w:tc>
          <w:tcPr>
            <w:tcW w:w="164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(197)</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61"/>
              <w:spacing w:after="0"/>
              <w:rPr>
                <w:sz w:val="20"/>
                <w:szCs w:val="20"/>
                <w:color w:val="auto"/>
              </w:rPr>
            </w:pPr>
            <w:r>
              <w:rPr>
                <w:rFonts w:ascii="Arial" w:cs="Arial" w:eastAsia="Arial" w:hAnsi="Arial"/>
                <w:sz w:val="20"/>
                <w:szCs w:val="20"/>
                <w:color w:val="auto"/>
              </w:rPr>
              <w:t>27.28</w:t>
            </w:r>
          </w:p>
        </w:tc>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6"/>
        </w:trPr>
        <w:tc>
          <w:tcPr>
            <w:tcW w:w="4380" w:type="dxa"/>
            <w:vAlign w:val="bottom"/>
          </w:tcPr>
          <w:p>
            <w:pPr>
              <w:spacing w:after="0" w:line="207" w:lineRule="exact"/>
              <w:rPr>
                <w:sz w:val="20"/>
                <w:szCs w:val="20"/>
                <w:color w:val="auto"/>
              </w:rPr>
            </w:pPr>
            <w:r>
              <w:rPr>
                <w:rFonts w:ascii="Arial" w:cs="Arial" w:eastAsia="Arial" w:hAnsi="Arial"/>
                <w:sz w:val="20"/>
                <w:szCs w:val="20"/>
                <w:color w:val="auto"/>
              </w:rPr>
              <w:t>Outstanding at December 31, 2013</w:t>
            </w:r>
          </w:p>
        </w:tc>
        <w:tc>
          <w:tcPr>
            <w:tcW w:w="1640" w:type="dxa"/>
            <w:vAlign w:val="bottom"/>
          </w:tcPr>
          <w:p>
            <w:pPr>
              <w:jc w:val="right"/>
              <w:ind w:right="182"/>
              <w:spacing w:after="0" w:line="207" w:lineRule="exact"/>
              <w:rPr>
                <w:sz w:val="20"/>
                <w:szCs w:val="20"/>
                <w:color w:val="auto"/>
              </w:rPr>
            </w:pPr>
            <w:r>
              <w:rPr>
                <w:rFonts w:ascii="Arial" w:cs="Arial" w:eastAsia="Arial" w:hAnsi="Arial"/>
                <w:sz w:val="20"/>
                <w:szCs w:val="20"/>
                <w:color w:val="auto"/>
              </w:rPr>
              <w:t>12,973</w:t>
            </w:r>
          </w:p>
        </w:tc>
        <w:tc>
          <w:tcPr>
            <w:tcW w:w="2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0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15.70</w:t>
            </w:r>
          </w:p>
        </w:tc>
        <w:tc>
          <w:tcPr>
            <w:tcW w:w="15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3.7</w:t>
            </w:r>
          </w:p>
        </w:tc>
        <w:tc>
          <w:tcPr>
            <w:tcW w:w="3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540" w:type="dxa"/>
            <w:vAlign w:val="bottom"/>
          </w:tcPr>
          <w:p>
            <w:pPr>
              <w:jc w:val="right"/>
              <w:ind w:right="1"/>
              <w:spacing w:after="0" w:line="207" w:lineRule="exact"/>
              <w:rPr>
                <w:sz w:val="20"/>
                <w:szCs w:val="20"/>
                <w:color w:val="auto"/>
              </w:rPr>
            </w:pPr>
            <w:r>
              <w:rPr>
                <w:rFonts w:ascii="Arial" w:cs="Arial" w:eastAsia="Arial" w:hAnsi="Arial"/>
                <w:sz w:val="20"/>
                <w:szCs w:val="20"/>
                <w:color w:val="auto"/>
              </w:rPr>
              <w:t>675,595</w:t>
            </w:r>
          </w:p>
        </w:tc>
        <w:tc>
          <w:tcPr>
            <w:tcW w:w="440" w:type="dxa"/>
            <w:vAlign w:val="bottom"/>
          </w:tcPr>
          <w:p>
            <w:pPr>
              <w:spacing w:after="0"/>
              <w:rPr>
                <w:sz w:val="17"/>
                <w:szCs w:val="17"/>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20"/>
                <w:szCs w:val="20"/>
                <w:color w:val="auto"/>
              </w:rPr>
              <w:t>Vested and expected to vest in the future at</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380" w:type="dxa"/>
            <w:vAlign w:val="bottom"/>
          </w:tcPr>
          <w:p>
            <w:pPr>
              <w:ind w:left="400"/>
              <w:spacing w:after="0"/>
              <w:rPr>
                <w:sz w:val="20"/>
                <w:szCs w:val="20"/>
                <w:color w:val="auto"/>
              </w:rPr>
            </w:pPr>
            <w:r>
              <w:rPr>
                <w:rFonts w:ascii="Arial" w:cs="Arial" w:eastAsia="Arial" w:hAnsi="Arial"/>
                <w:sz w:val="20"/>
                <w:szCs w:val="20"/>
                <w:color w:val="auto"/>
              </w:rPr>
              <w:t>December 31, 2013</w:t>
            </w:r>
          </w:p>
        </w:tc>
        <w:tc>
          <w:tcPr>
            <w:tcW w:w="1640" w:type="dxa"/>
            <w:vAlign w:val="bottom"/>
          </w:tcPr>
          <w:p>
            <w:pPr>
              <w:jc w:val="right"/>
              <w:ind w:right="182"/>
              <w:spacing w:after="0"/>
              <w:rPr>
                <w:sz w:val="20"/>
                <w:szCs w:val="20"/>
                <w:color w:val="auto"/>
              </w:rPr>
            </w:pPr>
            <w:r>
              <w:rPr>
                <w:rFonts w:ascii="Arial" w:cs="Arial" w:eastAsia="Arial" w:hAnsi="Arial"/>
                <w:sz w:val="20"/>
                <w:szCs w:val="20"/>
                <w:color w:val="auto"/>
              </w:rPr>
              <w:t>12,639</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61"/>
              <w:spacing w:after="0"/>
              <w:rPr>
                <w:sz w:val="20"/>
                <w:szCs w:val="20"/>
                <w:color w:val="auto"/>
              </w:rPr>
            </w:pPr>
            <w:r>
              <w:rPr>
                <w:rFonts w:ascii="Arial" w:cs="Arial" w:eastAsia="Arial" w:hAnsi="Arial"/>
                <w:sz w:val="20"/>
                <w:szCs w:val="20"/>
                <w:color w:val="auto"/>
              </w:rPr>
              <w:t>14.89</w:t>
            </w:r>
          </w:p>
        </w:tc>
        <w:tc>
          <w:tcPr>
            <w:tcW w:w="1560" w:type="dxa"/>
            <w:vAlign w:val="bottom"/>
          </w:tcPr>
          <w:p>
            <w:pPr>
              <w:jc w:val="right"/>
              <w:ind w:right="61"/>
              <w:spacing w:after="0"/>
              <w:rPr>
                <w:sz w:val="20"/>
                <w:szCs w:val="20"/>
                <w:color w:val="auto"/>
              </w:rPr>
            </w:pPr>
            <w:r>
              <w:rPr>
                <w:rFonts w:ascii="Arial" w:cs="Arial" w:eastAsia="Arial" w:hAnsi="Arial"/>
                <w:sz w:val="20"/>
                <w:szCs w:val="20"/>
                <w:color w:val="auto"/>
              </w:rPr>
              <w:t>3.6</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668,379</w:t>
            </w:r>
          </w:p>
        </w:tc>
        <w:tc>
          <w:tcPr>
            <w:tcW w:w="440" w:type="dxa"/>
            <w:vAlign w:val="bottom"/>
          </w:tcPr>
          <w:p>
            <w:pPr>
              <w:spacing w:after="0"/>
              <w:rPr>
                <w:sz w:val="19"/>
                <w:szCs w:val="19"/>
                <w:color w:val="auto"/>
              </w:rPr>
            </w:pPr>
          </w:p>
        </w:tc>
      </w:tr>
      <w:tr>
        <w:trPr>
          <w:trHeight w:val="250"/>
        </w:trPr>
        <w:tc>
          <w:tcPr>
            <w:tcW w:w="4380" w:type="dxa"/>
            <w:vAlign w:val="bottom"/>
          </w:tcPr>
          <w:p>
            <w:pPr>
              <w:spacing w:after="0"/>
              <w:rPr>
                <w:sz w:val="20"/>
                <w:szCs w:val="20"/>
                <w:color w:val="auto"/>
              </w:rPr>
            </w:pPr>
            <w:r>
              <w:rPr>
                <w:rFonts w:ascii="Arial" w:cs="Arial" w:eastAsia="Arial" w:hAnsi="Arial"/>
                <w:sz w:val="20"/>
                <w:szCs w:val="20"/>
                <w:color w:val="auto"/>
              </w:rPr>
              <w:t>Exercisable at December 31, 2013</w:t>
            </w:r>
          </w:p>
        </w:tc>
        <w:tc>
          <w:tcPr>
            <w:tcW w:w="1640" w:type="dxa"/>
            <w:vAlign w:val="bottom"/>
          </w:tcPr>
          <w:p>
            <w:pPr>
              <w:jc w:val="right"/>
              <w:ind w:right="182"/>
              <w:spacing w:after="0"/>
              <w:rPr>
                <w:sz w:val="20"/>
                <w:szCs w:val="20"/>
                <w:color w:val="auto"/>
              </w:rPr>
            </w:pPr>
            <w:r>
              <w:rPr>
                <w:rFonts w:ascii="Arial" w:cs="Arial" w:eastAsia="Arial" w:hAnsi="Arial"/>
                <w:sz w:val="20"/>
                <w:szCs w:val="20"/>
                <w:color w:val="auto"/>
              </w:rPr>
              <w:t>10,401</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61"/>
              <w:spacing w:after="0"/>
              <w:rPr>
                <w:sz w:val="20"/>
                <w:szCs w:val="20"/>
                <w:color w:val="auto"/>
              </w:rPr>
            </w:pPr>
            <w:r>
              <w:rPr>
                <w:rFonts w:ascii="Arial" w:cs="Arial" w:eastAsia="Arial" w:hAnsi="Arial"/>
                <w:sz w:val="20"/>
                <w:szCs w:val="20"/>
                <w:color w:val="auto"/>
              </w:rPr>
              <w:t>9.38</w:t>
            </w:r>
          </w:p>
        </w:tc>
        <w:tc>
          <w:tcPr>
            <w:tcW w:w="1560" w:type="dxa"/>
            <w:vAlign w:val="bottom"/>
          </w:tcPr>
          <w:p>
            <w:pPr>
              <w:jc w:val="right"/>
              <w:ind w:right="61"/>
              <w:spacing w:after="0"/>
              <w:rPr>
                <w:sz w:val="20"/>
                <w:szCs w:val="20"/>
                <w:color w:val="auto"/>
              </w:rPr>
            </w:pPr>
            <w:r>
              <w:rPr>
                <w:rFonts w:ascii="Arial" w:cs="Arial" w:eastAsia="Arial" w:hAnsi="Arial"/>
                <w:sz w:val="20"/>
                <w:szCs w:val="20"/>
                <w:color w:val="auto"/>
              </w:rPr>
              <w:t>2.7</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607,302</w:t>
            </w:r>
          </w:p>
        </w:tc>
        <w:tc>
          <w:tcPr>
            <w:tcW w:w="440" w:type="dxa"/>
            <w:vAlign w:val="bottom"/>
          </w:tcPr>
          <w:p>
            <w:pPr>
              <w:spacing w:after="0"/>
              <w:rPr>
                <w:sz w:val="21"/>
                <w:szCs w:val="21"/>
                <w:color w:val="auto"/>
              </w:rPr>
            </w:pPr>
          </w:p>
        </w:tc>
      </w:tr>
      <w:tr>
        <w:trPr>
          <w:trHeight w:val="409"/>
        </w:trPr>
        <w:tc>
          <w:tcPr>
            <w:tcW w:w="4380" w:type="dxa"/>
            <w:vAlign w:val="bottom"/>
          </w:tcPr>
          <w:p>
            <w:pPr>
              <w:spacing w:after="0"/>
              <w:rPr>
                <w:sz w:val="24"/>
                <w:szCs w:val="24"/>
                <w:color w:val="auto"/>
              </w:rPr>
            </w:pPr>
          </w:p>
        </w:tc>
        <w:tc>
          <w:tcPr>
            <w:tcW w:w="1640" w:type="dxa"/>
            <w:vAlign w:val="bottom"/>
          </w:tcPr>
          <w:p>
            <w:pPr>
              <w:jc w:val="right"/>
              <w:ind w:right="122"/>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38"/>
        </w:trPr>
        <w:tc>
          <w:tcPr>
            <w:tcW w:w="438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9"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information about stock options outstanding and exercisable at December 31, 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4"/>
          </w:tcPr>
          <w:p>
            <w:pPr>
              <w:ind w:left="40"/>
              <w:spacing w:after="0"/>
              <w:rPr>
                <w:sz w:val="20"/>
                <w:szCs w:val="20"/>
                <w:color w:val="auto"/>
              </w:rPr>
            </w:pPr>
            <w:r>
              <w:rPr>
                <w:rFonts w:ascii="Arial" w:cs="Arial" w:eastAsia="Arial" w:hAnsi="Arial"/>
                <w:sz w:val="20"/>
                <w:szCs w:val="20"/>
                <w:color w:val="auto"/>
              </w:rPr>
              <w:t>Options Outstanding</w:t>
            </w:r>
          </w:p>
        </w:tc>
        <w:tc>
          <w:tcPr>
            <w:tcW w:w="12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20"/>
                <w:szCs w:val="20"/>
                <w:color w:val="auto"/>
              </w:rPr>
              <w:t>Options Exercisable</w:t>
            </w:r>
          </w:p>
        </w:tc>
      </w:tr>
      <w:tr>
        <w:trPr>
          <w:trHeight w:val="206"/>
        </w:trPr>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center"/>
              <w:ind w:right="240"/>
              <w:spacing w:after="0" w:line="207" w:lineRule="exact"/>
              <w:rPr>
                <w:sz w:val="20"/>
                <w:szCs w:val="20"/>
                <w:color w:val="auto"/>
              </w:rPr>
            </w:pPr>
            <w:r>
              <w:rPr>
                <w:rFonts w:ascii="Arial" w:cs="Arial" w:eastAsia="Arial" w:hAnsi="Arial"/>
                <w:sz w:val="20"/>
                <w:szCs w:val="20"/>
                <w:color w:val="auto"/>
                <w:w w:val="89"/>
              </w:rPr>
              <w:t>Weighted</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20"/>
                <w:szCs w:val="20"/>
                <w:color w:val="auto"/>
                <w:w w:val="88"/>
              </w:rPr>
              <w:t>Average</w:t>
            </w:r>
          </w:p>
        </w:tc>
        <w:tc>
          <w:tcPr>
            <w:tcW w:w="1480" w:type="dxa"/>
            <w:vAlign w:val="bottom"/>
            <w:gridSpan w:val="2"/>
          </w:tcPr>
          <w:p>
            <w:pPr>
              <w:jc w:val="center"/>
              <w:ind w:right="240"/>
              <w:spacing w:after="0"/>
              <w:rPr>
                <w:sz w:val="20"/>
                <w:szCs w:val="20"/>
                <w:color w:val="auto"/>
              </w:rPr>
            </w:pPr>
            <w:r>
              <w:rPr>
                <w:rFonts w:ascii="Arial" w:cs="Arial" w:eastAsia="Arial" w:hAnsi="Arial"/>
                <w:sz w:val="20"/>
                <w:szCs w:val="20"/>
                <w:color w:val="auto"/>
                <w:w w:val="89"/>
              </w:rPr>
              <w:t>Weighted</w:t>
            </w:r>
          </w:p>
        </w:tc>
        <w:tc>
          <w:tcPr>
            <w:tcW w:w="1380" w:type="dxa"/>
            <w:vAlign w:val="bottom"/>
          </w:tcPr>
          <w:p>
            <w:pPr>
              <w:jc w:val="center"/>
              <w:spacing w:after="0"/>
              <w:rPr>
                <w:sz w:val="20"/>
                <w:szCs w:val="20"/>
                <w:color w:val="auto"/>
              </w:rPr>
            </w:pPr>
            <w:r>
              <w:rPr>
                <w:rFonts w:ascii="Arial" w:cs="Arial" w:eastAsia="Arial" w:hAnsi="Arial"/>
                <w:sz w:val="20"/>
                <w:szCs w:val="20"/>
                <w:color w:val="auto"/>
                <w:w w:val="89"/>
              </w:rPr>
              <w:t>Number</w:t>
            </w:r>
          </w:p>
        </w:tc>
        <w:tc>
          <w:tcPr>
            <w:tcW w:w="2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87"/>
              </w:rPr>
              <w:t>Weighted</w:t>
            </w:r>
          </w:p>
        </w:tc>
      </w:tr>
      <w:tr>
        <w:trPr>
          <w:trHeight w:val="230"/>
        </w:trPr>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20"/>
                <w:szCs w:val="20"/>
                <w:color w:val="auto"/>
                <w:w w:val="92"/>
              </w:rPr>
              <w:t>Number</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20"/>
                <w:szCs w:val="20"/>
                <w:color w:val="auto"/>
                <w:w w:val="92"/>
              </w:rPr>
              <w:t>Remaining</w:t>
            </w:r>
          </w:p>
        </w:tc>
        <w:tc>
          <w:tcPr>
            <w:tcW w:w="1480" w:type="dxa"/>
            <w:vAlign w:val="bottom"/>
            <w:gridSpan w:val="2"/>
          </w:tcPr>
          <w:p>
            <w:pPr>
              <w:jc w:val="center"/>
              <w:ind w:right="240"/>
              <w:spacing w:after="0"/>
              <w:rPr>
                <w:sz w:val="20"/>
                <w:szCs w:val="20"/>
                <w:color w:val="auto"/>
              </w:rPr>
            </w:pPr>
            <w:r>
              <w:rPr>
                <w:rFonts w:ascii="Arial" w:cs="Arial" w:eastAsia="Arial" w:hAnsi="Arial"/>
                <w:sz w:val="20"/>
                <w:szCs w:val="20"/>
                <w:color w:val="auto"/>
                <w:w w:val="85"/>
              </w:rPr>
              <w:t>Average</w:t>
            </w:r>
          </w:p>
        </w:tc>
        <w:tc>
          <w:tcPr>
            <w:tcW w:w="1380" w:type="dxa"/>
            <w:vAlign w:val="bottom"/>
          </w:tcPr>
          <w:p>
            <w:pPr>
              <w:jc w:val="center"/>
              <w:spacing w:after="0"/>
              <w:rPr>
                <w:sz w:val="20"/>
                <w:szCs w:val="20"/>
                <w:color w:val="auto"/>
              </w:rPr>
            </w:pPr>
            <w:r>
              <w:rPr>
                <w:rFonts w:ascii="Arial" w:cs="Arial" w:eastAsia="Arial" w:hAnsi="Arial"/>
                <w:sz w:val="20"/>
                <w:szCs w:val="20"/>
                <w:color w:val="auto"/>
                <w:w w:val="88"/>
              </w:rPr>
              <w:t>Exercisable</w:t>
            </w:r>
          </w:p>
        </w:tc>
        <w:tc>
          <w:tcPr>
            <w:tcW w:w="2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88"/>
              </w:rPr>
              <w:t>Average</w:t>
            </w:r>
          </w:p>
        </w:tc>
      </w:tr>
      <w:tr>
        <w:trPr>
          <w:trHeight w:val="230"/>
        </w:trPr>
        <w:tc>
          <w:tcPr>
            <w:tcW w:w="3200" w:type="dxa"/>
            <w:vAlign w:val="bottom"/>
            <w:gridSpan w:val="4"/>
          </w:tcPr>
          <w:p>
            <w:pPr>
              <w:ind w:left="760"/>
              <w:spacing w:after="0"/>
              <w:rPr>
                <w:sz w:val="20"/>
                <w:szCs w:val="20"/>
                <w:color w:val="auto"/>
              </w:rPr>
            </w:pPr>
            <w:r>
              <w:rPr>
                <w:rFonts w:ascii="Arial" w:cs="Arial" w:eastAsia="Arial" w:hAnsi="Arial"/>
                <w:sz w:val="20"/>
                <w:szCs w:val="20"/>
                <w:color w:val="auto"/>
              </w:rPr>
              <w:t>Range of Exercise</w:t>
            </w:r>
          </w:p>
        </w:tc>
        <w:tc>
          <w:tcPr>
            <w:tcW w:w="1660" w:type="dxa"/>
            <w:vAlign w:val="bottom"/>
          </w:tcPr>
          <w:p>
            <w:pPr>
              <w:jc w:val="center"/>
              <w:spacing w:after="0"/>
              <w:rPr>
                <w:sz w:val="20"/>
                <w:szCs w:val="20"/>
                <w:color w:val="auto"/>
              </w:rPr>
            </w:pPr>
            <w:r>
              <w:rPr>
                <w:rFonts w:ascii="Arial" w:cs="Arial" w:eastAsia="Arial" w:hAnsi="Arial"/>
                <w:sz w:val="20"/>
                <w:szCs w:val="20"/>
                <w:color w:val="auto"/>
                <w:w w:val="92"/>
              </w:rPr>
              <w:t>Outstanding (In</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20"/>
                <w:szCs w:val="20"/>
                <w:color w:val="auto"/>
                <w:w w:val="89"/>
              </w:rPr>
              <w:t>Contractual</w:t>
            </w:r>
          </w:p>
        </w:tc>
        <w:tc>
          <w:tcPr>
            <w:tcW w:w="1480" w:type="dxa"/>
            <w:vAlign w:val="bottom"/>
            <w:gridSpan w:val="2"/>
          </w:tcPr>
          <w:p>
            <w:pPr>
              <w:jc w:val="center"/>
              <w:ind w:right="240"/>
              <w:spacing w:after="0"/>
              <w:rPr>
                <w:sz w:val="20"/>
                <w:szCs w:val="20"/>
                <w:color w:val="auto"/>
              </w:rPr>
            </w:pPr>
            <w:r>
              <w:rPr>
                <w:rFonts w:ascii="Arial" w:cs="Arial" w:eastAsia="Arial" w:hAnsi="Arial"/>
                <w:sz w:val="20"/>
                <w:szCs w:val="20"/>
                <w:color w:val="auto"/>
                <w:w w:val="88"/>
              </w:rPr>
              <w:t>Exercise</w:t>
            </w:r>
          </w:p>
        </w:tc>
        <w:tc>
          <w:tcPr>
            <w:tcW w:w="1380" w:type="dxa"/>
            <w:vAlign w:val="bottom"/>
          </w:tcPr>
          <w:p>
            <w:pPr>
              <w:jc w:val="center"/>
              <w:spacing w:after="0"/>
              <w:rPr>
                <w:sz w:val="20"/>
                <w:szCs w:val="20"/>
                <w:color w:val="auto"/>
              </w:rPr>
            </w:pPr>
            <w:r>
              <w:rPr>
                <w:rFonts w:ascii="Arial" w:cs="Arial" w:eastAsia="Arial" w:hAnsi="Arial"/>
                <w:sz w:val="20"/>
                <w:szCs w:val="20"/>
                <w:color w:val="auto"/>
              </w:rPr>
              <w:t>(In</w:t>
            </w:r>
          </w:p>
        </w:tc>
        <w:tc>
          <w:tcPr>
            <w:tcW w:w="2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88"/>
              </w:rPr>
              <w:t>Exercise</w:t>
            </w:r>
          </w:p>
        </w:tc>
      </w:tr>
      <w:tr>
        <w:trPr>
          <w:trHeight w:val="246"/>
        </w:trPr>
        <w:tc>
          <w:tcPr>
            <w:tcW w:w="3200" w:type="dxa"/>
            <w:vAlign w:val="bottom"/>
            <w:gridSpan w:val="4"/>
          </w:tcPr>
          <w:p>
            <w:pPr>
              <w:jc w:val="center"/>
              <w:ind w:right="200"/>
              <w:spacing w:after="0"/>
              <w:rPr>
                <w:sz w:val="20"/>
                <w:szCs w:val="20"/>
                <w:color w:val="auto"/>
              </w:rPr>
            </w:pPr>
            <w:r>
              <w:rPr>
                <w:rFonts w:ascii="Arial" w:cs="Arial" w:eastAsia="Arial" w:hAnsi="Arial"/>
                <w:sz w:val="20"/>
                <w:szCs w:val="20"/>
                <w:color w:val="auto"/>
                <w:w w:val="88"/>
              </w:rPr>
              <w:t>Prices ($)</w:t>
            </w:r>
          </w:p>
        </w:tc>
        <w:tc>
          <w:tcPr>
            <w:tcW w:w="1660" w:type="dxa"/>
            <w:vAlign w:val="bottom"/>
          </w:tcPr>
          <w:p>
            <w:pPr>
              <w:jc w:val="center"/>
              <w:spacing w:after="0"/>
              <w:rPr>
                <w:sz w:val="20"/>
                <w:szCs w:val="20"/>
                <w:color w:val="auto"/>
              </w:rPr>
            </w:pPr>
            <w:r>
              <w:rPr>
                <w:rFonts w:ascii="Arial" w:cs="Arial" w:eastAsia="Arial" w:hAnsi="Arial"/>
                <w:sz w:val="20"/>
                <w:szCs w:val="20"/>
                <w:color w:val="auto"/>
                <w:w w:val="87"/>
              </w:rPr>
              <w:t>Thousands)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20"/>
                <w:szCs w:val="20"/>
                <w:color w:val="auto"/>
                <w:w w:val="88"/>
              </w:rPr>
              <w:t>Term (Years)</w:t>
            </w:r>
          </w:p>
        </w:tc>
        <w:tc>
          <w:tcPr>
            <w:tcW w:w="1480" w:type="dxa"/>
            <w:vAlign w:val="bottom"/>
            <w:gridSpan w:val="2"/>
          </w:tcPr>
          <w:p>
            <w:pPr>
              <w:jc w:val="center"/>
              <w:ind w:right="240"/>
              <w:spacing w:after="0"/>
              <w:rPr>
                <w:sz w:val="20"/>
                <w:szCs w:val="20"/>
                <w:color w:val="auto"/>
              </w:rPr>
            </w:pPr>
            <w:r>
              <w:rPr>
                <w:rFonts w:ascii="Arial" w:cs="Arial" w:eastAsia="Arial" w:hAnsi="Arial"/>
                <w:sz w:val="20"/>
                <w:szCs w:val="20"/>
                <w:color w:val="auto"/>
                <w:w w:val="89"/>
              </w:rPr>
              <w:t>Price ($)</w:t>
            </w:r>
          </w:p>
        </w:tc>
        <w:tc>
          <w:tcPr>
            <w:tcW w:w="1380" w:type="dxa"/>
            <w:vAlign w:val="bottom"/>
          </w:tcPr>
          <w:p>
            <w:pPr>
              <w:jc w:val="center"/>
              <w:spacing w:after="0"/>
              <w:rPr>
                <w:sz w:val="20"/>
                <w:szCs w:val="20"/>
                <w:color w:val="auto"/>
              </w:rPr>
            </w:pPr>
            <w:r>
              <w:rPr>
                <w:rFonts w:ascii="Arial" w:cs="Arial" w:eastAsia="Arial" w:hAnsi="Arial"/>
                <w:sz w:val="20"/>
                <w:szCs w:val="20"/>
                <w:color w:val="auto"/>
                <w:w w:val="87"/>
              </w:rPr>
              <w:t>Thousands)</w:t>
            </w:r>
          </w:p>
        </w:tc>
        <w:tc>
          <w:tcPr>
            <w:tcW w:w="2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0"/>
                <w:szCs w:val="20"/>
                <w:color w:val="auto"/>
                <w:w w:val="92"/>
              </w:rPr>
              <w:t>Price ($)</w:t>
            </w:r>
          </w:p>
        </w:tc>
      </w:tr>
      <w:tr>
        <w:trPr>
          <w:trHeight w:val="206"/>
        </w:trPr>
        <w:tc>
          <w:tcPr>
            <w:tcW w:w="13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$2.09</w:t>
            </w:r>
          </w:p>
        </w:tc>
        <w:tc>
          <w:tcPr>
            <w:tcW w:w="2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w:t>
            </w:r>
          </w:p>
        </w:tc>
        <w:tc>
          <w:tcPr>
            <w:tcW w:w="1360" w:type="dxa"/>
            <w:vAlign w:val="bottom"/>
            <w:tcBorders>
              <w:top w:val="single" w:sz="8" w:color="auto"/>
            </w:tcBorders>
          </w:tcPr>
          <w:p>
            <w:pPr>
              <w:ind w:left="120"/>
              <w:spacing w:after="0" w:line="207" w:lineRule="exact"/>
              <w:rPr>
                <w:sz w:val="20"/>
                <w:szCs w:val="20"/>
                <w:color w:val="auto"/>
              </w:rPr>
            </w:pPr>
            <w:r>
              <w:rPr>
                <w:rFonts w:ascii="Arial" w:cs="Arial" w:eastAsia="Arial" w:hAnsi="Arial"/>
                <w:sz w:val="20"/>
                <w:szCs w:val="20"/>
                <w:color w:val="auto"/>
              </w:rPr>
              <w:t>$2.09</w:t>
            </w:r>
          </w:p>
        </w:tc>
        <w:tc>
          <w:tcPr>
            <w:tcW w:w="220" w:type="dxa"/>
            <w:vAlign w:val="bottom"/>
          </w:tcPr>
          <w:p>
            <w:pPr>
              <w:spacing w:after="0"/>
              <w:rPr>
                <w:sz w:val="17"/>
                <w:szCs w:val="17"/>
                <w:color w:val="auto"/>
              </w:rPr>
            </w:pPr>
          </w:p>
        </w:tc>
        <w:tc>
          <w:tcPr>
            <w:tcW w:w="16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43</w:t>
            </w:r>
          </w:p>
        </w:tc>
        <w:tc>
          <w:tcPr>
            <w:tcW w:w="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1.0</w:t>
            </w:r>
          </w:p>
        </w:tc>
        <w:tc>
          <w:tcPr>
            <w:tcW w:w="240" w:type="dxa"/>
            <w:vAlign w:val="bottom"/>
          </w:tcPr>
          <w:p>
            <w:pPr>
              <w:spacing w:after="0"/>
              <w:rPr>
                <w:sz w:val="17"/>
                <w:szCs w:val="17"/>
                <w:color w:val="auto"/>
              </w:rPr>
            </w:pPr>
          </w:p>
        </w:tc>
        <w:tc>
          <w:tcPr>
            <w:tcW w:w="12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$2.09</w:t>
            </w:r>
          </w:p>
        </w:tc>
        <w:tc>
          <w:tcPr>
            <w:tcW w:w="240" w:type="dxa"/>
            <w:vAlign w:val="bottom"/>
          </w:tcPr>
          <w:p>
            <w:pPr>
              <w:spacing w:after="0"/>
              <w:rPr>
                <w:sz w:val="17"/>
                <w:szCs w:val="17"/>
                <w:color w:val="auto"/>
              </w:rPr>
            </w:pPr>
          </w:p>
        </w:tc>
        <w:tc>
          <w:tcPr>
            <w:tcW w:w="13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43</w:t>
            </w:r>
          </w:p>
        </w:tc>
        <w:tc>
          <w:tcPr>
            <w:tcW w:w="200" w:type="dxa"/>
            <w:vAlign w:val="bottom"/>
          </w:tcPr>
          <w:p>
            <w:pPr>
              <w:spacing w:after="0"/>
              <w:rPr>
                <w:sz w:val="17"/>
                <w:szCs w:val="17"/>
                <w:color w:val="auto"/>
              </w:rPr>
            </w:pPr>
          </w:p>
        </w:tc>
        <w:tc>
          <w:tcPr>
            <w:tcW w:w="1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$2.09</w:t>
            </w:r>
          </w:p>
        </w:tc>
      </w:tr>
      <w:tr>
        <w:trPr>
          <w:trHeight w:val="230"/>
        </w:trPr>
        <w:tc>
          <w:tcPr>
            <w:tcW w:w="1340" w:type="dxa"/>
            <w:vAlign w:val="bottom"/>
          </w:tcPr>
          <w:p>
            <w:pPr>
              <w:jc w:val="right"/>
              <w:ind w:right="1"/>
              <w:spacing w:after="0"/>
              <w:rPr>
                <w:sz w:val="20"/>
                <w:szCs w:val="20"/>
                <w:color w:val="auto"/>
              </w:rPr>
            </w:pPr>
            <w:r>
              <w:rPr>
                <w:rFonts w:ascii="Arial" w:cs="Arial" w:eastAsia="Arial" w:hAnsi="Arial"/>
                <w:sz w:val="20"/>
                <w:szCs w:val="20"/>
                <w:color w:val="auto"/>
              </w:rPr>
              <w:t>$3.29</w:t>
            </w:r>
          </w:p>
        </w:tc>
        <w:tc>
          <w:tcPr>
            <w:tcW w:w="2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360" w:type="dxa"/>
            <w:vAlign w:val="bottom"/>
          </w:tcPr>
          <w:p>
            <w:pPr>
              <w:ind w:left="120"/>
              <w:spacing w:after="0"/>
              <w:rPr>
                <w:sz w:val="20"/>
                <w:szCs w:val="20"/>
                <w:color w:val="auto"/>
              </w:rPr>
            </w:pPr>
            <w:r>
              <w:rPr>
                <w:rFonts w:ascii="Arial" w:cs="Arial" w:eastAsia="Arial" w:hAnsi="Arial"/>
                <w:sz w:val="20"/>
                <w:szCs w:val="20"/>
                <w:color w:val="auto"/>
              </w:rPr>
              <w:t>$3.29</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4,400</w:t>
            </w:r>
          </w:p>
        </w:tc>
        <w:tc>
          <w:tcPr>
            <w:tcW w:w="1900" w:type="dxa"/>
            <w:vAlign w:val="bottom"/>
            <w:gridSpan w:val="3"/>
          </w:tcPr>
          <w:p>
            <w:pPr>
              <w:jc w:val="right"/>
              <w:ind w:right="1"/>
              <w:spacing w:after="0"/>
              <w:rPr>
                <w:sz w:val="20"/>
                <w:szCs w:val="20"/>
                <w:color w:val="auto"/>
              </w:rPr>
            </w:pPr>
            <w:r>
              <w:rPr>
                <w:rFonts w:ascii="Arial" w:cs="Arial" w:eastAsia="Arial" w:hAnsi="Arial"/>
                <w:sz w:val="20"/>
                <w:szCs w:val="20"/>
                <w:color w:val="auto"/>
              </w:rPr>
              <w:t>1.2</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$3.29</w:t>
            </w: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4,400</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$3.29</w:t>
            </w:r>
          </w:p>
        </w:tc>
      </w:tr>
      <w:tr>
        <w:trPr>
          <w:trHeight w:val="230"/>
        </w:trPr>
        <w:tc>
          <w:tcPr>
            <w:tcW w:w="1340" w:type="dxa"/>
            <w:vAlign w:val="bottom"/>
          </w:tcPr>
          <w:p>
            <w:pPr>
              <w:jc w:val="right"/>
              <w:ind w:right="1"/>
              <w:spacing w:after="0"/>
              <w:rPr>
                <w:sz w:val="20"/>
                <w:szCs w:val="20"/>
                <w:color w:val="auto"/>
              </w:rPr>
            </w:pPr>
            <w:r>
              <w:rPr>
                <w:rFonts w:ascii="Arial" w:cs="Arial" w:eastAsia="Arial" w:hAnsi="Arial"/>
                <w:sz w:val="20"/>
                <w:szCs w:val="20"/>
                <w:color w:val="auto"/>
              </w:rPr>
              <w:t>$5.72</w:t>
            </w:r>
          </w:p>
        </w:tc>
        <w:tc>
          <w:tcPr>
            <w:tcW w:w="2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360" w:type="dxa"/>
            <w:vAlign w:val="bottom"/>
          </w:tcPr>
          <w:p>
            <w:pPr>
              <w:ind w:left="120"/>
              <w:spacing w:after="0"/>
              <w:rPr>
                <w:sz w:val="20"/>
                <w:szCs w:val="20"/>
                <w:color w:val="auto"/>
              </w:rPr>
            </w:pPr>
            <w:r>
              <w:rPr>
                <w:rFonts w:ascii="Arial" w:cs="Arial" w:eastAsia="Arial" w:hAnsi="Arial"/>
                <w:sz w:val="20"/>
                <w:szCs w:val="20"/>
                <w:color w:val="auto"/>
              </w:rPr>
              <w:t>$6.21</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23</w:t>
            </w:r>
          </w:p>
        </w:tc>
        <w:tc>
          <w:tcPr>
            <w:tcW w:w="1900" w:type="dxa"/>
            <w:vAlign w:val="bottom"/>
            <w:gridSpan w:val="3"/>
          </w:tcPr>
          <w:p>
            <w:pPr>
              <w:jc w:val="right"/>
              <w:ind w:right="1"/>
              <w:spacing w:after="0"/>
              <w:rPr>
                <w:sz w:val="20"/>
                <w:szCs w:val="20"/>
                <w:color w:val="auto"/>
              </w:rPr>
            </w:pPr>
            <w:r>
              <w:rPr>
                <w:rFonts w:ascii="Arial" w:cs="Arial" w:eastAsia="Arial" w:hAnsi="Arial"/>
                <w:sz w:val="20"/>
                <w:szCs w:val="20"/>
                <w:color w:val="auto"/>
              </w:rPr>
              <w:t>1.8</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$6.11</w:t>
            </w: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23</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$6.11</w:t>
            </w:r>
          </w:p>
        </w:tc>
      </w:tr>
      <w:tr>
        <w:trPr>
          <w:trHeight w:val="230"/>
        </w:trPr>
        <w:tc>
          <w:tcPr>
            <w:tcW w:w="1340" w:type="dxa"/>
            <w:vAlign w:val="bottom"/>
          </w:tcPr>
          <w:p>
            <w:pPr>
              <w:jc w:val="right"/>
              <w:ind w:right="1"/>
              <w:spacing w:after="0"/>
              <w:rPr>
                <w:sz w:val="20"/>
                <w:szCs w:val="20"/>
                <w:color w:val="auto"/>
              </w:rPr>
            </w:pPr>
            <w:r>
              <w:rPr>
                <w:rFonts w:ascii="Arial" w:cs="Arial" w:eastAsia="Arial" w:hAnsi="Arial"/>
                <w:sz w:val="20"/>
                <w:szCs w:val="20"/>
                <w:color w:val="auto"/>
              </w:rPr>
              <w:t>$8.44</w:t>
            </w:r>
          </w:p>
        </w:tc>
        <w:tc>
          <w:tcPr>
            <w:tcW w:w="2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360" w:type="dxa"/>
            <w:vAlign w:val="bottom"/>
          </w:tcPr>
          <w:p>
            <w:pPr>
              <w:ind w:left="120"/>
              <w:spacing w:after="0"/>
              <w:rPr>
                <w:sz w:val="20"/>
                <w:szCs w:val="20"/>
                <w:color w:val="auto"/>
              </w:rPr>
            </w:pPr>
            <w:r>
              <w:rPr>
                <w:rFonts w:ascii="Arial" w:cs="Arial" w:eastAsia="Arial" w:hAnsi="Arial"/>
                <w:sz w:val="20"/>
                <w:szCs w:val="20"/>
                <w:color w:val="auto"/>
              </w:rPr>
              <w:t>$8.44</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2,445</w:t>
            </w:r>
          </w:p>
        </w:tc>
        <w:tc>
          <w:tcPr>
            <w:tcW w:w="1900" w:type="dxa"/>
            <w:vAlign w:val="bottom"/>
            <w:gridSpan w:val="3"/>
          </w:tcPr>
          <w:p>
            <w:pPr>
              <w:jc w:val="right"/>
              <w:ind w:right="1"/>
              <w:spacing w:after="0"/>
              <w:rPr>
                <w:sz w:val="20"/>
                <w:szCs w:val="20"/>
                <w:color w:val="auto"/>
              </w:rPr>
            </w:pPr>
            <w:r>
              <w:rPr>
                <w:rFonts w:ascii="Arial" w:cs="Arial" w:eastAsia="Arial" w:hAnsi="Arial"/>
                <w:sz w:val="20"/>
                <w:szCs w:val="20"/>
                <w:color w:val="auto"/>
              </w:rPr>
              <w:t>1.9</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$8.44</w:t>
            </w: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2,445</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$8.44</w:t>
            </w:r>
          </w:p>
        </w:tc>
      </w:tr>
      <w:tr>
        <w:trPr>
          <w:trHeight w:val="230"/>
        </w:trPr>
        <w:tc>
          <w:tcPr>
            <w:tcW w:w="1340" w:type="dxa"/>
            <w:vAlign w:val="bottom"/>
          </w:tcPr>
          <w:p>
            <w:pPr>
              <w:jc w:val="right"/>
              <w:spacing w:after="0"/>
              <w:rPr>
                <w:sz w:val="20"/>
                <w:szCs w:val="20"/>
                <w:color w:val="auto"/>
              </w:rPr>
            </w:pPr>
            <w:r>
              <w:rPr>
                <w:rFonts w:ascii="Arial" w:cs="Arial" w:eastAsia="Arial" w:hAnsi="Arial"/>
                <w:sz w:val="20"/>
                <w:szCs w:val="20"/>
                <w:color w:val="auto"/>
              </w:rPr>
              <w:t>$11.36</w:t>
            </w:r>
          </w:p>
        </w:tc>
        <w:tc>
          <w:tcPr>
            <w:tcW w:w="2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360" w:type="dxa"/>
            <w:vAlign w:val="bottom"/>
          </w:tcPr>
          <w:p>
            <w:pPr>
              <w:ind w:left="100"/>
              <w:spacing w:after="0"/>
              <w:rPr>
                <w:sz w:val="20"/>
                <w:szCs w:val="20"/>
                <w:color w:val="auto"/>
              </w:rPr>
            </w:pPr>
            <w:r>
              <w:rPr>
                <w:rFonts w:ascii="Arial" w:cs="Arial" w:eastAsia="Arial" w:hAnsi="Arial"/>
                <w:sz w:val="20"/>
                <w:szCs w:val="20"/>
                <w:color w:val="auto"/>
              </w:rPr>
              <w:t>$15.60</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145</w:t>
            </w:r>
          </w:p>
        </w:tc>
        <w:tc>
          <w:tcPr>
            <w:tcW w:w="1900" w:type="dxa"/>
            <w:vAlign w:val="bottom"/>
            <w:gridSpan w:val="3"/>
          </w:tcPr>
          <w:p>
            <w:pPr>
              <w:jc w:val="right"/>
              <w:ind w:right="1"/>
              <w:spacing w:after="0"/>
              <w:rPr>
                <w:sz w:val="20"/>
                <w:szCs w:val="20"/>
                <w:color w:val="auto"/>
              </w:rPr>
            </w:pPr>
            <w:r>
              <w:rPr>
                <w:rFonts w:ascii="Arial" w:cs="Arial" w:eastAsia="Arial" w:hAnsi="Arial"/>
                <w:sz w:val="20"/>
                <w:szCs w:val="20"/>
                <w:color w:val="auto"/>
              </w:rPr>
              <w:t>4.8</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$13.43</w:t>
            </w: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143</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$13.39</w:t>
            </w:r>
          </w:p>
        </w:tc>
      </w:tr>
      <w:tr>
        <w:trPr>
          <w:trHeight w:val="230"/>
        </w:trPr>
        <w:tc>
          <w:tcPr>
            <w:tcW w:w="1340" w:type="dxa"/>
            <w:vAlign w:val="bottom"/>
          </w:tcPr>
          <w:p>
            <w:pPr>
              <w:jc w:val="right"/>
              <w:spacing w:after="0"/>
              <w:rPr>
                <w:sz w:val="20"/>
                <w:szCs w:val="20"/>
                <w:color w:val="auto"/>
              </w:rPr>
            </w:pPr>
            <w:r>
              <w:rPr>
                <w:rFonts w:ascii="Arial" w:cs="Arial" w:eastAsia="Arial" w:hAnsi="Arial"/>
                <w:sz w:val="20"/>
                <w:szCs w:val="20"/>
                <w:color w:val="auto"/>
              </w:rPr>
              <w:t>$15.86</w:t>
            </w:r>
          </w:p>
        </w:tc>
        <w:tc>
          <w:tcPr>
            <w:tcW w:w="2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360" w:type="dxa"/>
            <w:vAlign w:val="bottom"/>
          </w:tcPr>
          <w:p>
            <w:pPr>
              <w:ind w:left="100"/>
              <w:spacing w:after="0"/>
              <w:rPr>
                <w:sz w:val="20"/>
                <w:szCs w:val="20"/>
                <w:color w:val="auto"/>
              </w:rPr>
            </w:pPr>
            <w:r>
              <w:rPr>
                <w:rFonts w:ascii="Arial" w:cs="Arial" w:eastAsia="Arial" w:hAnsi="Arial"/>
                <w:sz w:val="20"/>
                <w:szCs w:val="20"/>
                <w:color w:val="auto"/>
              </w:rPr>
              <w:t>$15.86</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1,777</w:t>
            </w:r>
          </w:p>
        </w:tc>
        <w:tc>
          <w:tcPr>
            <w:tcW w:w="1900" w:type="dxa"/>
            <w:vAlign w:val="bottom"/>
            <w:gridSpan w:val="3"/>
          </w:tcPr>
          <w:p>
            <w:pPr>
              <w:jc w:val="right"/>
              <w:ind w:right="1"/>
              <w:spacing w:after="0"/>
              <w:rPr>
                <w:sz w:val="20"/>
                <w:szCs w:val="20"/>
                <w:color w:val="auto"/>
              </w:rPr>
            </w:pPr>
            <w:r>
              <w:rPr>
                <w:rFonts w:ascii="Arial" w:cs="Arial" w:eastAsia="Arial" w:hAnsi="Arial"/>
                <w:sz w:val="20"/>
                <w:szCs w:val="20"/>
                <w:color w:val="auto"/>
              </w:rPr>
              <w:t>4.4</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$15.86</w:t>
            </w: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1,777</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$15.86</w:t>
            </w:r>
          </w:p>
        </w:tc>
      </w:tr>
      <w:tr>
        <w:trPr>
          <w:trHeight w:val="230"/>
        </w:trPr>
        <w:tc>
          <w:tcPr>
            <w:tcW w:w="1340" w:type="dxa"/>
            <w:vAlign w:val="bottom"/>
          </w:tcPr>
          <w:p>
            <w:pPr>
              <w:jc w:val="right"/>
              <w:spacing w:after="0"/>
              <w:rPr>
                <w:sz w:val="20"/>
                <w:szCs w:val="20"/>
                <w:color w:val="auto"/>
              </w:rPr>
            </w:pPr>
            <w:r>
              <w:rPr>
                <w:rFonts w:ascii="Arial" w:cs="Arial" w:eastAsia="Arial" w:hAnsi="Arial"/>
                <w:sz w:val="20"/>
                <w:szCs w:val="20"/>
                <w:color w:val="auto"/>
              </w:rPr>
              <w:t>$15.94</w:t>
            </w:r>
          </w:p>
        </w:tc>
        <w:tc>
          <w:tcPr>
            <w:tcW w:w="2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360" w:type="dxa"/>
            <w:vAlign w:val="bottom"/>
          </w:tcPr>
          <w:p>
            <w:pPr>
              <w:ind w:left="100"/>
              <w:spacing w:after="0"/>
              <w:rPr>
                <w:sz w:val="20"/>
                <w:szCs w:val="20"/>
                <w:color w:val="auto"/>
              </w:rPr>
            </w:pPr>
            <w:r>
              <w:rPr>
                <w:rFonts w:ascii="Arial" w:cs="Arial" w:eastAsia="Arial" w:hAnsi="Arial"/>
                <w:sz w:val="20"/>
                <w:szCs w:val="20"/>
                <w:color w:val="auto"/>
              </w:rPr>
              <w:t>$17.82</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1,381</w:t>
            </w:r>
          </w:p>
        </w:tc>
        <w:tc>
          <w:tcPr>
            <w:tcW w:w="1900" w:type="dxa"/>
            <w:vAlign w:val="bottom"/>
            <w:gridSpan w:val="3"/>
          </w:tcPr>
          <w:p>
            <w:pPr>
              <w:jc w:val="right"/>
              <w:ind w:right="1"/>
              <w:spacing w:after="0"/>
              <w:rPr>
                <w:sz w:val="20"/>
                <w:szCs w:val="20"/>
                <w:color w:val="auto"/>
              </w:rPr>
            </w:pPr>
            <w:r>
              <w:rPr>
                <w:rFonts w:ascii="Arial" w:cs="Arial" w:eastAsia="Arial" w:hAnsi="Arial"/>
                <w:sz w:val="20"/>
                <w:szCs w:val="20"/>
                <w:color w:val="auto"/>
              </w:rPr>
              <w:t>5.9</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$17.75</w:t>
            </w: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1,000</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$17.77</w:t>
            </w:r>
          </w:p>
        </w:tc>
      </w:tr>
      <w:tr>
        <w:trPr>
          <w:trHeight w:val="230"/>
        </w:trPr>
        <w:tc>
          <w:tcPr>
            <w:tcW w:w="1340" w:type="dxa"/>
            <w:vAlign w:val="bottom"/>
          </w:tcPr>
          <w:p>
            <w:pPr>
              <w:jc w:val="right"/>
              <w:spacing w:after="0"/>
              <w:rPr>
                <w:sz w:val="20"/>
                <w:szCs w:val="20"/>
                <w:color w:val="auto"/>
              </w:rPr>
            </w:pPr>
            <w:r>
              <w:rPr>
                <w:rFonts w:ascii="Arial" w:cs="Arial" w:eastAsia="Arial" w:hAnsi="Arial"/>
                <w:sz w:val="20"/>
                <w:szCs w:val="20"/>
                <w:color w:val="auto"/>
              </w:rPr>
              <w:t>$18.07</w:t>
            </w:r>
          </w:p>
        </w:tc>
        <w:tc>
          <w:tcPr>
            <w:tcW w:w="2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360" w:type="dxa"/>
            <w:vAlign w:val="bottom"/>
          </w:tcPr>
          <w:p>
            <w:pPr>
              <w:ind w:left="100"/>
              <w:spacing w:after="0"/>
              <w:rPr>
                <w:sz w:val="20"/>
                <w:szCs w:val="20"/>
                <w:color w:val="auto"/>
              </w:rPr>
            </w:pPr>
            <w:r>
              <w:rPr>
                <w:rFonts w:ascii="Arial" w:cs="Arial" w:eastAsia="Arial" w:hAnsi="Arial"/>
                <w:sz w:val="20"/>
                <w:szCs w:val="20"/>
                <w:color w:val="auto"/>
              </w:rPr>
              <w:t>$47.13</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1,796</w:t>
            </w:r>
          </w:p>
        </w:tc>
        <w:tc>
          <w:tcPr>
            <w:tcW w:w="1900" w:type="dxa"/>
            <w:vAlign w:val="bottom"/>
            <w:gridSpan w:val="3"/>
          </w:tcPr>
          <w:p>
            <w:pPr>
              <w:jc w:val="right"/>
              <w:ind w:right="1"/>
              <w:spacing w:after="0"/>
              <w:rPr>
                <w:sz w:val="20"/>
                <w:szCs w:val="20"/>
                <w:color w:val="auto"/>
              </w:rPr>
            </w:pPr>
            <w:r>
              <w:rPr>
                <w:rFonts w:ascii="Arial" w:cs="Arial" w:eastAsia="Arial" w:hAnsi="Arial"/>
                <w:sz w:val="20"/>
                <w:szCs w:val="20"/>
                <w:color w:val="auto"/>
              </w:rPr>
              <w:t>7.3</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$33.11</w:t>
            </w: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553</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$24.05</w:t>
            </w:r>
          </w:p>
        </w:tc>
      </w:tr>
      <w:tr>
        <w:trPr>
          <w:trHeight w:val="230"/>
        </w:trPr>
        <w:tc>
          <w:tcPr>
            <w:tcW w:w="1340" w:type="dxa"/>
            <w:vAlign w:val="bottom"/>
          </w:tcPr>
          <w:p>
            <w:pPr>
              <w:jc w:val="right"/>
              <w:spacing w:after="0"/>
              <w:rPr>
                <w:sz w:val="20"/>
                <w:szCs w:val="20"/>
                <w:color w:val="auto"/>
              </w:rPr>
            </w:pPr>
            <w:r>
              <w:rPr>
                <w:rFonts w:ascii="Arial" w:cs="Arial" w:eastAsia="Arial" w:hAnsi="Arial"/>
                <w:sz w:val="20"/>
                <w:szCs w:val="20"/>
                <w:color w:val="auto"/>
              </w:rPr>
              <w:t>$47.65</w:t>
            </w:r>
          </w:p>
        </w:tc>
        <w:tc>
          <w:tcPr>
            <w:tcW w:w="2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360" w:type="dxa"/>
            <w:vAlign w:val="bottom"/>
          </w:tcPr>
          <w:p>
            <w:pPr>
              <w:ind w:left="100"/>
              <w:spacing w:after="0"/>
              <w:rPr>
                <w:sz w:val="20"/>
                <w:szCs w:val="20"/>
                <w:color w:val="auto"/>
              </w:rPr>
            </w:pPr>
            <w:r>
              <w:rPr>
                <w:rFonts w:ascii="Arial" w:cs="Arial" w:eastAsia="Arial" w:hAnsi="Arial"/>
                <w:sz w:val="20"/>
                <w:szCs w:val="20"/>
                <w:color w:val="auto"/>
              </w:rPr>
              <w:t>$70.54</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956</w:t>
            </w:r>
          </w:p>
        </w:tc>
        <w:tc>
          <w:tcPr>
            <w:tcW w:w="1900" w:type="dxa"/>
            <w:vAlign w:val="bottom"/>
            <w:gridSpan w:val="3"/>
          </w:tcPr>
          <w:p>
            <w:pPr>
              <w:jc w:val="right"/>
              <w:ind w:right="1"/>
              <w:spacing w:after="0"/>
              <w:rPr>
                <w:sz w:val="20"/>
                <w:szCs w:val="20"/>
                <w:color w:val="auto"/>
              </w:rPr>
            </w:pPr>
            <w:r>
              <w:rPr>
                <w:rFonts w:ascii="Arial" w:cs="Arial" w:eastAsia="Arial" w:hAnsi="Arial"/>
                <w:sz w:val="20"/>
                <w:szCs w:val="20"/>
                <w:color w:val="auto"/>
              </w:rPr>
              <w:t>9.1</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$56.25</w:t>
            </w: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16</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$62.65</w:t>
            </w:r>
          </w:p>
        </w:tc>
      </w:tr>
      <w:tr>
        <w:trPr>
          <w:trHeight w:val="246"/>
        </w:trPr>
        <w:tc>
          <w:tcPr>
            <w:tcW w:w="1340" w:type="dxa"/>
            <w:vAlign w:val="bottom"/>
          </w:tcPr>
          <w:p>
            <w:pPr>
              <w:jc w:val="right"/>
              <w:spacing w:after="0"/>
              <w:rPr>
                <w:sz w:val="20"/>
                <w:szCs w:val="20"/>
                <w:color w:val="auto"/>
              </w:rPr>
            </w:pPr>
            <w:r>
              <w:rPr>
                <w:rFonts w:ascii="Arial" w:cs="Arial" w:eastAsia="Arial" w:hAnsi="Arial"/>
                <w:sz w:val="20"/>
                <w:szCs w:val="20"/>
                <w:color w:val="auto"/>
              </w:rPr>
              <w:t>$74.78</w:t>
            </w:r>
          </w:p>
        </w:tc>
        <w:tc>
          <w:tcPr>
            <w:tcW w:w="2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360" w:type="dxa"/>
            <w:vAlign w:val="bottom"/>
          </w:tcPr>
          <w:p>
            <w:pPr>
              <w:ind w:left="100"/>
              <w:spacing w:after="0"/>
              <w:rPr>
                <w:sz w:val="20"/>
                <w:szCs w:val="20"/>
                <w:color w:val="auto"/>
              </w:rPr>
            </w:pPr>
            <w:r>
              <w:rPr>
                <w:rFonts w:ascii="Arial" w:cs="Arial" w:eastAsia="Arial" w:hAnsi="Arial"/>
                <w:sz w:val="20"/>
                <w:szCs w:val="20"/>
                <w:color w:val="auto"/>
              </w:rPr>
              <w:t>$74.78</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7</w:t>
            </w:r>
          </w:p>
        </w:tc>
        <w:tc>
          <w:tcPr>
            <w:tcW w:w="1900" w:type="dxa"/>
            <w:vAlign w:val="bottom"/>
            <w:gridSpan w:val="3"/>
          </w:tcPr>
          <w:p>
            <w:pPr>
              <w:jc w:val="right"/>
              <w:ind w:right="1"/>
              <w:spacing w:after="0"/>
              <w:rPr>
                <w:sz w:val="20"/>
                <w:szCs w:val="20"/>
                <w:color w:val="auto"/>
              </w:rPr>
            </w:pPr>
            <w:r>
              <w:rPr>
                <w:rFonts w:ascii="Arial" w:cs="Arial" w:eastAsia="Arial" w:hAnsi="Arial"/>
                <w:sz w:val="20"/>
                <w:szCs w:val="20"/>
                <w:color w:val="auto"/>
              </w:rPr>
              <w:t>8.5</w:t>
            </w:r>
          </w:p>
        </w:tc>
        <w:tc>
          <w:tcPr>
            <w:tcW w:w="240" w:type="dxa"/>
            <w:vAlign w:val="bottom"/>
          </w:tcPr>
          <w:p>
            <w:pPr>
              <w:spacing w:after="0"/>
              <w:rPr>
                <w:sz w:val="21"/>
                <w:szCs w:val="21"/>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$74.78</w:t>
            </w:r>
          </w:p>
        </w:tc>
        <w:tc>
          <w:tcPr>
            <w:tcW w:w="240" w:type="dxa"/>
            <w:vAlign w:val="bottom"/>
          </w:tcPr>
          <w:p>
            <w:pPr>
              <w:spacing w:after="0"/>
              <w:rPr>
                <w:sz w:val="21"/>
                <w:szCs w:val="21"/>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$74.78</w:t>
            </w:r>
          </w:p>
        </w:tc>
      </w:tr>
      <w:tr>
        <w:trPr>
          <w:trHeight w:val="223"/>
        </w:trPr>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12,973</w:t>
            </w:r>
          </w:p>
        </w:tc>
        <w:tc>
          <w:tcPr>
            <w:tcW w:w="60" w:type="dxa"/>
            <w:vAlign w:val="bottom"/>
            <w:tcBorders>
              <w:top w:val="single" w:sz="8" w:color="auto"/>
              <w:bottom w:val="single" w:sz="8" w:color="auto"/>
            </w:tcBorders>
          </w:tcPr>
          <w:p>
            <w:pPr>
              <w:spacing w:after="0"/>
              <w:rPr>
                <w:sz w:val="19"/>
                <w:szCs w:val="19"/>
                <w:color w:val="auto"/>
              </w:rPr>
            </w:pPr>
          </w:p>
        </w:tc>
        <w:tc>
          <w:tcPr>
            <w:tcW w:w="1840" w:type="dxa"/>
            <w:vAlign w:val="bottom"/>
            <w:gridSpan w:val="2"/>
          </w:tcPr>
          <w:p>
            <w:pPr>
              <w:jc w:val="right"/>
              <w:ind w:right="1"/>
              <w:spacing w:after="0" w:line="223" w:lineRule="exact"/>
              <w:rPr>
                <w:sz w:val="20"/>
                <w:szCs w:val="20"/>
                <w:color w:val="auto"/>
              </w:rPr>
            </w:pPr>
            <w:r>
              <w:rPr>
                <w:rFonts w:ascii="Arial" w:cs="Arial" w:eastAsia="Arial" w:hAnsi="Arial"/>
                <w:sz w:val="20"/>
                <w:szCs w:val="20"/>
                <w:color w:val="auto"/>
              </w:rPr>
              <w:t>3.7</w:t>
            </w:r>
          </w:p>
        </w:tc>
        <w:tc>
          <w:tcPr>
            <w:tcW w:w="240" w:type="dxa"/>
            <w:vAlign w:val="bottom"/>
          </w:tcPr>
          <w:p>
            <w:pPr>
              <w:spacing w:after="0"/>
              <w:rPr>
                <w:sz w:val="19"/>
                <w:szCs w:val="19"/>
                <w:color w:val="auto"/>
              </w:rPr>
            </w:pPr>
          </w:p>
        </w:tc>
        <w:tc>
          <w:tcPr>
            <w:tcW w:w="1240" w:type="dxa"/>
            <w:vAlign w:val="bottom"/>
          </w:tcPr>
          <w:p>
            <w:pPr>
              <w:jc w:val="right"/>
              <w:ind w:right="1"/>
              <w:spacing w:after="0" w:line="223" w:lineRule="exact"/>
              <w:rPr>
                <w:sz w:val="20"/>
                <w:szCs w:val="20"/>
                <w:color w:val="auto"/>
              </w:rPr>
            </w:pPr>
            <w:r>
              <w:rPr>
                <w:rFonts w:ascii="Arial" w:cs="Arial" w:eastAsia="Arial" w:hAnsi="Arial"/>
                <w:sz w:val="20"/>
                <w:szCs w:val="20"/>
                <w:color w:val="auto"/>
              </w:rPr>
              <w:t>$15.70</w:t>
            </w:r>
          </w:p>
        </w:tc>
        <w:tc>
          <w:tcPr>
            <w:tcW w:w="2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10,401</w:t>
            </w:r>
          </w:p>
        </w:tc>
        <w:tc>
          <w:tcPr>
            <w:tcW w:w="1460" w:type="dxa"/>
            <w:vAlign w:val="bottom"/>
            <w:gridSpan w:val="2"/>
          </w:tcPr>
          <w:p>
            <w:pPr>
              <w:jc w:val="right"/>
              <w:spacing w:after="0" w:line="223" w:lineRule="exact"/>
              <w:rPr>
                <w:sz w:val="20"/>
                <w:szCs w:val="20"/>
                <w:color w:val="auto"/>
              </w:rPr>
            </w:pPr>
            <w:r>
              <w:rPr>
                <w:rFonts w:ascii="Arial" w:cs="Arial" w:eastAsia="Arial" w:hAnsi="Arial"/>
                <w:sz w:val="20"/>
                <w:szCs w:val="20"/>
                <w:color w:val="auto"/>
              </w:rPr>
              <w:t>$9.38</w:t>
            </w:r>
          </w:p>
        </w:tc>
      </w:tr>
      <w:tr>
        <w:trPr>
          <w:trHeight w:val="20"/>
        </w:trPr>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weighted-average grant-date fair value of options granted during the years ended December 31, 2013, 2012 and 2011 was $22.57 per share, $25.21 per share and $18.45 per share, respectively. The total intrinsic value of options exercised during the years ended December 31, 2013, 2012 and 2011 was $91.6 million, $248.8 million and $23.0 million, respectively.</w:t>
      </w:r>
    </w:p>
    <w:p>
      <w:pPr>
        <w:spacing w:after="0" w:line="200"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Cash received from option exercises under all plans for the years ended December 31, 2013, 2012 and 2011 was approximately $21.3 million, $10.3 million and $20.3 million, respectively.</w:t>
      </w:r>
    </w:p>
    <w:p>
      <w:pPr>
        <w:spacing w:after="0" w:line="190"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At December 31, 2013, there was $40.3 million of total unrecognized compensation expense related to nonvested options granted to employees under the Company’s share-based payment plans. That cost is expected to be recognized over a weighted-average period of 2.7 years.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Awards and Restricted Stock Units</w:t>
      </w:r>
    </w:p>
    <w:p>
      <w:pPr>
        <w:sectPr>
          <w:pgSz w:w="11900" w:h="16838" w:orient="portrait"/>
          <w:cols w:equalWidth="0" w:num="1">
            <w:col w:w="11460"/>
          </w:cols>
          <w:pgMar w:left="240" w:top="352" w:right="199" w:bottom="120" w:gutter="0" w:footer="0" w:header="0"/>
        </w:sectPr>
      </w:pPr>
    </w:p>
    <w:bookmarkStart w:id="63" w:name="page64"/>
    <w:bookmarkEnd w:id="63"/>
    <w:p>
      <w:pPr>
        <w:spacing w:after="0" w:line="34" w:lineRule="exact"/>
        <w:rPr>
          <w:sz w:val="20"/>
          <w:szCs w:val="20"/>
          <w:color w:val="auto"/>
        </w:rPr>
      </w:pPr>
    </w:p>
    <w:p>
      <w:pPr>
        <w:jc w:val="both"/>
        <w:ind w:right="40" w:firstLine="648"/>
        <w:spacing w:after="0" w:line="283" w:lineRule="auto"/>
        <w:rPr>
          <w:sz w:val="20"/>
          <w:szCs w:val="20"/>
          <w:color w:val="auto"/>
        </w:rPr>
      </w:pPr>
      <w:r>
        <w:rPr>
          <w:rFonts w:ascii="Arial" w:cs="Arial" w:eastAsia="Arial" w:hAnsi="Arial"/>
          <w:sz w:val="18"/>
          <w:szCs w:val="18"/>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Total cash paid to settle restricted stock unit liabilities and the increase in the liabilities for future cash settlements during the years ended December 31, 2013 and 2012 were not material.</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The following table summarizes the Company’s activities with respect to non-vested restricted stock awards and non-vested restricted stock units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21"/>
              <w:spacing w:after="0"/>
              <w:rPr>
                <w:sz w:val="20"/>
                <w:szCs w:val="20"/>
                <w:color w:val="auto"/>
              </w:rPr>
            </w:pPr>
            <w:r>
              <w:rPr>
                <w:rFonts w:ascii="Arial" w:cs="Arial" w:eastAsia="Arial" w:hAnsi="Arial"/>
                <w:sz w:val="20"/>
                <w:szCs w:val="20"/>
                <w:color w:val="auto"/>
                <w:w w:val="89"/>
              </w:rPr>
              <w:t>Weighted</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01"/>
              <w:spacing w:after="0"/>
              <w:rPr>
                <w:sz w:val="20"/>
                <w:szCs w:val="20"/>
                <w:color w:val="auto"/>
              </w:rPr>
            </w:pPr>
            <w:r>
              <w:rPr>
                <w:rFonts w:ascii="Arial" w:cs="Arial" w:eastAsia="Arial" w:hAnsi="Arial"/>
                <w:sz w:val="20"/>
                <w:szCs w:val="20"/>
                <w:color w:val="auto"/>
                <w:w w:val="88"/>
              </w:rPr>
              <w:t>Average</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7"/>
              </w:rPr>
              <w:t>Shares (in</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21"/>
              <w:spacing w:after="0"/>
              <w:rPr>
                <w:sz w:val="20"/>
                <w:szCs w:val="20"/>
                <w:color w:val="auto"/>
              </w:rPr>
            </w:pPr>
            <w:r>
              <w:rPr>
                <w:rFonts w:ascii="Arial" w:cs="Arial" w:eastAsia="Arial" w:hAnsi="Arial"/>
                <w:sz w:val="20"/>
                <w:szCs w:val="20"/>
                <w:color w:val="auto"/>
                <w:w w:val="88"/>
              </w:rPr>
              <w:t>Grant-Date</w:t>
            </w:r>
          </w:p>
        </w:tc>
        <w:tc>
          <w:tcPr>
            <w:tcW w:w="0" w:type="dxa"/>
            <w:vAlign w:val="bottom"/>
          </w:tcPr>
          <w:p>
            <w:pPr>
              <w:spacing w:after="0"/>
              <w:rPr>
                <w:sz w:val="1"/>
                <w:szCs w:val="1"/>
                <w:color w:val="auto"/>
              </w:rPr>
            </w:pPr>
          </w:p>
        </w:tc>
      </w:tr>
      <w:tr>
        <w:trPr>
          <w:trHeight w:val="246"/>
        </w:trPr>
        <w:tc>
          <w:tcPr>
            <w:tcW w:w="5160" w:type="dxa"/>
            <w:vAlign w:val="bottom"/>
            <w:vMerge w:val="restart"/>
          </w:tcPr>
          <w:p>
            <w:pPr>
              <w:spacing w:after="0"/>
              <w:rPr>
                <w:sz w:val="20"/>
                <w:szCs w:val="20"/>
                <w:color w:val="auto"/>
              </w:rPr>
            </w:pPr>
            <w:r>
              <w:rPr>
                <w:rFonts w:ascii="Arial" w:cs="Arial" w:eastAsia="Arial" w:hAnsi="Arial"/>
                <w:sz w:val="20"/>
                <w:szCs w:val="20"/>
                <w:color w:val="auto"/>
              </w:rPr>
              <w:t>Non-vested at January 1, 2013</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thousands)</w:t>
            </w:r>
          </w:p>
        </w:tc>
        <w:tc>
          <w:tcPr>
            <w:tcW w:w="1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20"/>
                <w:szCs w:val="20"/>
                <w:color w:val="auto"/>
                <w:w w:val="89"/>
              </w:rPr>
              <w:t>Fair Value</w:t>
            </w:r>
          </w:p>
        </w:tc>
        <w:tc>
          <w:tcPr>
            <w:tcW w:w="0" w:type="dxa"/>
            <w:vAlign w:val="bottom"/>
          </w:tcPr>
          <w:p>
            <w:pPr>
              <w:spacing w:after="0"/>
              <w:rPr>
                <w:sz w:val="1"/>
                <w:szCs w:val="1"/>
                <w:color w:val="auto"/>
              </w:rPr>
            </w:pPr>
          </w:p>
        </w:tc>
      </w:tr>
      <w:tr>
        <w:trPr>
          <w:trHeight w:val="206"/>
        </w:trPr>
        <w:tc>
          <w:tcPr>
            <w:tcW w:w="5160" w:type="dxa"/>
            <w:vAlign w:val="bottom"/>
            <w:vMerge w:val="continue"/>
          </w:tcPr>
          <w:p>
            <w:pPr>
              <w:spacing w:after="0"/>
              <w:rPr>
                <w:sz w:val="17"/>
                <w:szCs w:val="17"/>
                <w:color w:val="auto"/>
              </w:rPr>
            </w:pPr>
          </w:p>
        </w:tc>
        <w:tc>
          <w:tcPr>
            <w:tcW w:w="1380" w:type="dxa"/>
            <w:vAlign w:val="bottom"/>
          </w:tcPr>
          <w:p>
            <w:pPr>
              <w:jc w:val="right"/>
              <w:spacing w:after="0" w:line="207" w:lineRule="exact"/>
              <w:rPr>
                <w:sz w:val="20"/>
                <w:szCs w:val="20"/>
                <w:color w:val="auto"/>
              </w:rPr>
            </w:pPr>
            <w:r>
              <w:rPr>
                <w:rFonts w:ascii="Arial" w:cs="Arial" w:eastAsia="Arial" w:hAnsi="Arial"/>
                <w:sz w:val="20"/>
                <w:szCs w:val="20"/>
                <w:color w:val="auto"/>
              </w:rPr>
              <w:t>637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center"/>
              <w:ind w:left="401"/>
              <w:spacing w:after="0" w:line="207" w:lineRule="exact"/>
              <w:rPr>
                <w:sz w:val="20"/>
                <w:szCs w:val="20"/>
                <w:color w:val="auto"/>
              </w:rPr>
            </w:pPr>
            <w:r>
              <w:rPr>
                <w:rFonts w:ascii="Arial" w:cs="Arial" w:eastAsia="Arial" w:hAnsi="Arial"/>
                <w:sz w:val="20"/>
                <w:szCs w:val="20"/>
                <w:color w:val="auto"/>
                <w:w w:val="87"/>
              </w:rPr>
              <w:t>46.97</w:t>
            </w:r>
          </w:p>
        </w:tc>
        <w:tc>
          <w:tcPr>
            <w:tcW w:w="0" w:type="dxa"/>
            <w:vAlign w:val="bottom"/>
          </w:tcPr>
          <w:p>
            <w:pPr>
              <w:spacing w:after="0"/>
              <w:rPr>
                <w:sz w:val="1"/>
                <w:szCs w:val="1"/>
                <w:color w:val="auto"/>
              </w:rPr>
            </w:pPr>
          </w:p>
        </w:tc>
      </w:tr>
      <w:tr>
        <w:trPr>
          <w:trHeight w:val="230"/>
        </w:trPr>
        <w:tc>
          <w:tcPr>
            <w:tcW w:w="5160" w:type="dxa"/>
            <w:vAlign w:val="bottom"/>
          </w:tcPr>
          <w:p>
            <w:pPr>
              <w:ind w:left="440"/>
              <w:spacing w:after="0"/>
              <w:rPr>
                <w:sz w:val="20"/>
                <w:szCs w:val="20"/>
                <w:color w:val="auto"/>
              </w:rPr>
            </w:pPr>
            <w:r>
              <w:rPr>
                <w:rFonts w:ascii="Arial" w:cs="Arial" w:eastAsia="Arial" w:hAnsi="Arial"/>
                <w:sz w:val="20"/>
                <w:szCs w:val="20"/>
                <w:color w:val="auto"/>
              </w:rPr>
              <w:t>Granted 01/01/13 - 03/31/13</w:t>
            </w:r>
          </w:p>
        </w:tc>
        <w:tc>
          <w:tcPr>
            <w:tcW w:w="1380" w:type="dxa"/>
            <w:vAlign w:val="bottom"/>
          </w:tcPr>
          <w:p>
            <w:pPr>
              <w:jc w:val="right"/>
              <w:spacing w:after="0"/>
              <w:rPr>
                <w:sz w:val="20"/>
                <w:szCs w:val="20"/>
                <w:color w:val="auto"/>
              </w:rPr>
            </w:pPr>
            <w:r>
              <w:rPr>
                <w:rFonts w:ascii="Arial" w:cs="Arial" w:eastAsia="Arial" w:hAnsi="Arial"/>
                <w:sz w:val="20"/>
                <w:szCs w:val="20"/>
                <w:color w:val="auto"/>
              </w:rPr>
              <w:t>8</w:t>
            </w:r>
          </w:p>
        </w:tc>
        <w:tc>
          <w:tcPr>
            <w:tcW w:w="5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left="401"/>
              <w:spacing w:after="0"/>
              <w:rPr>
                <w:sz w:val="20"/>
                <w:szCs w:val="20"/>
                <w:color w:val="auto"/>
              </w:rPr>
            </w:pPr>
            <w:r>
              <w:rPr>
                <w:rFonts w:ascii="Arial" w:cs="Arial" w:eastAsia="Arial" w:hAnsi="Arial"/>
                <w:sz w:val="20"/>
                <w:szCs w:val="20"/>
                <w:color w:val="auto"/>
                <w:w w:val="87"/>
              </w:rPr>
              <w:t>50.89</w:t>
            </w:r>
          </w:p>
        </w:tc>
        <w:tc>
          <w:tcPr>
            <w:tcW w:w="0" w:type="dxa"/>
            <w:vAlign w:val="bottom"/>
          </w:tcPr>
          <w:p>
            <w:pPr>
              <w:spacing w:after="0"/>
              <w:rPr>
                <w:sz w:val="1"/>
                <w:szCs w:val="1"/>
                <w:color w:val="auto"/>
              </w:rPr>
            </w:pPr>
          </w:p>
        </w:tc>
      </w:tr>
      <w:tr>
        <w:trPr>
          <w:trHeight w:val="230"/>
        </w:trPr>
        <w:tc>
          <w:tcPr>
            <w:tcW w:w="5160" w:type="dxa"/>
            <w:vAlign w:val="bottom"/>
          </w:tcPr>
          <w:p>
            <w:pPr>
              <w:ind w:left="440"/>
              <w:spacing w:after="0"/>
              <w:rPr>
                <w:sz w:val="20"/>
                <w:szCs w:val="20"/>
                <w:color w:val="auto"/>
              </w:rPr>
            </w:pPr>
            <w:r>
              <w:rPr>
                <w:rFonts w:ascii="Arial" w:cs="Arial" w:eastAsia="Arial" w:hAnsi="Arial"/>
                <w:sz w:val="20"/>
                <w:szCs w:val="20"/>
                <w:color w:val="auto"/>
              </w:rPr>
              <w:t>Granted 04/01/13 - 06/30/13</w:t>
            </w:r>
          </w:p>
        </w:tc>
        <w:tc>
          <w:tcPr>
            <w:tcW w:w="1380" w:type="dxa"/>
            <w:vAlign w:val="bottom"/>
          </w:tcPr>
          <w:p>
            <w:pPr>
              <w:jc w:val="right"/>
              <w:spacing w:after="0"/>
              <w:rPr>
                <w:sz w:val="20"/>
                <w:szCs w:val="20"/>
                <w:color w:val="auto"/>
              </w:rPr>
            </w:pPr>
            <w:r>
              <w:rPr>
                <w:rFonts w:ascii="Arial" w:cs="Arial" w:eastAsia="Arial" w:hAnsi="Arial"/>
                <w:sz w:val="20"/>
                <w:szCs w:val="20"/>
                <w:color w:val="auto"/>
              </w:rPr>
              <w:t>15</w:t>
            </w:r>
          </w:p>
        </w:tc>
        <w:tc>
          <w:tcPr>
            <w:tcW w:w="5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left="401"/>
              <w:spacing w:after="0"/>
              <w:rPr>
                <w:sz w:val="20"/>
                <w:szCs w:val="20"/>
                <w:color w:val="auto"/>
              </w:rPr>
            </w:pPr>
            <w:r>
              <w:rPr>
                <w:rFonts w:ascii="Arial" w:cs="Arial" w:eastAsia="Arial" w:hAnsi="Arial"/>
                <w:sz w:val="20"/>
                <w:szCs w:val="20"/>
                <w:color w:val="auto"/>
                <w:w w:val="87"/>
              </w:rPr>
              <w:t>54.64</w:t>
            </w:r>
          </w:p>
        </w:tc>
        <w:tc>
          <w:tcPr>
            <w:tcW w:w="0" w:type="dxa"/>
            <w:vAlign w:val="bottom"/>
          </w:tcPr>
          <w:p>
            <w:pPr>
              <w:spacing w:after="0"/>
              <w:rPr>
                <w:sz w:val="1"/>
                <w:szCs w:val="1"/>
                <w:color w:val="auto"/>
              </w:rPr>
            </w:pPr>
          </w:p>
        </w:tc>
      </w:tr>
      <w:tr>
        <w:trPr>
          <w:trHeight w:val="230"/>
        </w:trPr>
        <w:tc>
          <w:tcPr>
            <w:tcW w:w="5160" w:type="dxa"/>
            <w:vAlign w:val="bottom"/>
          </w:tcPr>
          <w:p>
            <w:pPr>
              <w:ind w:left="440"/>
              <w:spacing w:after="0"/>
              <w:rPr>
                <w:sz w:val="20"/>
                <w:szCs w:val="20"/>
                <w:color w:val="auto"/>
              </w:rPr>
            </w:pPr>
            <w:r>
              <w:rPr>
                <w:rFonts w:ascii="Arial" w:cs="Arial" w:eastAsia="Arial" w:hAnsi="Arial"/>
                <w:sz w:val="20"/>
                <w:szCs w:val="20"/>
                <w:color w:val="auto"/>
              </w:rPr>
              <w:t>Granted 07/01/13 - 09/30/13</w:t>
            </w: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left="381"/>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0"/>
        </w:trPr>
        <w:tc>
          <w:tcPr>
            <w:tcW w:w="5160" w:type="dxa"/>
            <w:vAlign w:val="bottom"/>
          </w:tcPr>
          <w:p>
            <w:pPr>
              <w:ind w:left="440"/>
              <w:spacing w:after="0"/>
              <w:rPr>
                <w:sz w:val="20"/>
                <w:szCs w:val="20"/>
                <w:color w:val="auto"/>
              </w:rPr>
            </w:pPr>
            <w:r>
              <w:rPr>
                <w:rFonts w:ascii="Arial" w:cs="Arial" w:eastAsia="Arial" w:hAnsi="Arial"/>
                <w:sz w:val="20"/>
                <w:szCs w:val="20"/>
                <w:color w:val="auto"/>
              </w:rPr>
              <w:t>Granted 10/01/13 - 12/31/13</w:t>
            </w:r>
          </w:p>
        </w:tc>
        <w:tc>
          <w:tcPr>
            <w:tcW w:w="1380" w:type="dxa"/>
            <w:vAlign w:val="bottom"/>
          </w:tcPr>
          <w:p>
            <w:pPr>
              <w:jc w:val="right"/>
              <w:spacing w:after="0"/>
              <w:rPr>
                <w:sz w:val="20"/>
                <w:szCs w:val="20"/>
                <w:color w:val="auto"/>
              </w:rPr>
            </w:pPr>
            <w:r>
              <w:rPr>
                <w:rFonts w:ascii="Arial" w:cs="Arial" w:eastAsia="Arial" w:hAnsi="Arial"/>
                <w:sz w:val="20"/>
                <w:szCs w:val="20"/>
                <w:color w:val="auto"/>
              </w:rPr>
              <w:t>5</w:t>
            </w:r>
          </w:p>
        </w:tc>
        <w:tc>
          <w:tcPr>
            <w:tcW w:w="5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left="401"/>
              <w:spacing w:after="0"/>
              <w:rPr>
                <w:sz w:val="20"/>
                <w:szCs w:val="20"/>
                <w:color w:val="auto"/>
              </w:rPr>
            </w:pPr>
            <w:r>
              <w:rPr>
                <w:rFonts w:ascii="Arial" w:cs="Arial" w:eastAsia="Arial" w:hAnsi="Arial"/>
                <w:sz w:val="20"/>
                <w:szCs w:val="20"/>
                <w:color w:val="auto"/>
                <w:w w:val="87"/>
              </w:rPr>
              <w:t>54.57</w:t>
            </w:r>
          </w:p>
        </w:tc>
        <w:tc>
          <w:tcPr>
            <w:tcW w:w="0" w:type="dxa"/>
            <w:vAlign w:val="bottom"/>
          </w:tcPr>
          <w:p>
            <w:pPr>
              <w:spacing w:after="0"/>
              <w:rPr>
                <w:sz w:val="1"/>
                <w:szCs w:val="1"/>
                <w:color w:val="auto"/>
              </w:rPr>
            </w:pPr>
          </w:p>
        </w:tc>
      </w:tr>
      <w:tr>
        <w:trPr>
          <w:trHeight w:val="230"/>
        </w:trPr>
        <w:tc>
          <w:tcPr>
            <w:tcW w:w="5160" w:type="dxa"/>
            <w:vAlign w:val="bottom"/>
          </w:tcPr>
          <w:p>
            <w:pPr>
              <w:ind w:left="440"/>
              <w:spacing w:after="0"/>
              <w:rPr>
                <w:sz w:val="20"/>
                <w:szCs w:val="20"/>
                <w:color w:val="auto"/>
              </w:rPr>
            </w:pPr>
            <w:r>
              <w:rPr>
                <w:rFonts w:ascii="Arial" w:cs="Arial" w:eastAsia="Arial" w:hAnsi="Arial"/>
                <w:sz w:val="20"/>
                <w:szCs w:val="20"/>
                <w:color w:val="auto"/>
              </w:rPr>
              <w:t>Vested</w:t>
            </w:r>
          </w:p>
        </w:tc>
        <w:tc>
          <w:tcPr>
            <w:tcW w:w="1380" w:type="dxa"/>
            <w:vAlign w:val="bottom"/>
          </w:tcPr>
          <w:p>
            <w:pPr>
              <w:jc w:val="right"/>
              <w:spacing w:after="0"/>
              <w:rPr>
                <w:sz w:val="20"/>
                <w:szCs w:val="20"/>
                <w:color w:val="auto"/>
              </w:rPr>
            </w:pPr>
            <w:r>
              <w:rPr>
                <w:rFonts w:ascii="Arial" w:cs="Arial" w:eastAsia="Arial" w:hAnsi="Arial"/>
                <w:sz w:val="20"/>
                <w:szCs w:val="20"/>
                <w:color w:val="auto"/>
              </w:rPr>
              <w:t>(262)</w:t>
            </w:r>
          </w:p>
        </w:tc>
        <w:tc>
          <w:tcPr>
            <w:tcW w:w="5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left="401"/>
              <w:spacing w:after="0"/>
              <w:rPr>
                <w:sz w:val="20"/>
                <w:szCs w:val="20"/>
                <w:color w:val="auto"/>
              </w:rPr>
            </w:pPr>
            <w:r>
              <w:rPr>
                <w:rFonts w:ascii="Arial" w:cs="Arial" w:eastAsia="Arial" w:hAnsi="Arial"/>
                <w:sz w:val="20"/>
                <w:szCs w:val="20"/>
                <w:color w:val="auto"/>
                <w:w w:val="87"/>
              </w:rPr>
              <w:t>43.87</w:t>
            </w:r>
          </w:p>
        </w:tc>
        <w:tc>
          <w:tcPr>
            <w:tcW w:w="0" w:type="dxa"/>
            <w:vAlign w:val="bottom"/>
          </w:tcPr>
          <w:p>
            <w:pPr>
              <w:spacing w:after="0"/>
              <w:rPr>
                <w:sz w:val="1"/>
                <w:szCs w:val="1"/>
                <w:color w:val="auto"/>
              </w:rPr>
            </w:pPr>
          </w:p>
        </w:tc>
      </w:tr>
      <w:tr>
        <w:trPr>
          <w:trHeight w:val="240"/>
        </w:trPr>
        <w:tc>
          <w:tcPr>
            <w:tcW w:w="5160" w:type="dxa"/>
            <w:vAlign w:val="bottom"/>
          </w:tcPr>
          <w:p>
            <w:pPr>
              <w:ind w:left="440"/>
              <w:spacing w:after="0"/>
              <w:rPr>
                <w:sz w:val="20"/>
                <w:szCs w:val="20"/>
                <w:color w:val="auto"/>
              </w:rPr>
            </w:pPr>
            <w:r>
              <w:rPr>
                <w:rFonts w:ascii="Arial" w:cs="Arial" w:eastAsia="Arial" w:hAnsi="Arial"/>
                <w:sz w:val="20"/>
                <w:szCs w:val="20"/>
                <w:color w:val="auto"/>
              </w:rPr>
              <w:t>Forfeited/cancelled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5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left="401"/>
              <w:spacing w:after="0"/>
              <w:rPr>
                <w:sz w:val="20"/>
                <w:szCs w:val="20"/>
                <w:color w:val="auto"/>
              </w:rPr>
            </w:pPr>
            <w:r>
              <w:rPr>
                <w:rFonts w:ascii="Arial" w:cs="Arial" w:eastAsia="Arial" w:hAnsi="Arial"/>
                <w:sz w:val="20"/>
                <w:szCs w:val="20"/>
                <w:color w:val="auto"/>
                <w:w w:val="87"/>
              </w:rPr>
              <w:t>54.67</w:t>
            </w:r>
          </w:p>
        </w:tc>
        <w:tc>
          <w:tcPr>
            <w:tcW w:w="0" w:type="dxa"/>
            <w:vAlign w:val="bottom"/>
          </w:tcPr>
          <w:p>
            <w:pPr>
              <w:spacing w:after="0"/>
              <w:rPr>
                <w:sz w:val="1"/>
                <w:szCs w:val="1"/>
                <w:color w:val="auto"/>
              </w:rPr>
            </w:pPr>
          </w:p>
        </w:tc>
      </w:tr>
      <w:tr>
        <w:trPr>
          <w:trHeight w:val="230"/>
        </w:trPr>
        <w:tc>
          <w:tcPr>
            <w:tcW w:w="5160" w:type="dxa"/>
            <w:vAlign w:val="bottom"/>
          </w:tcPr>
          <w:p>
            <w:pPr>
              <w:spacing w:after="0" w:line="220" w:lineRule="exact"/>
              <w:rPr>
                <w:sz w:val="20"/>
                <w:szCs w:val="20"/>
                <w:color w:val="auto"/>
              </w:rPr>
            </w:pPr>
            <w:r>
              <w:rPr>
                <w:rFonts w:ascii="Arial" w:cs="Arial" w:eastAsia="Arial" w:hAnsi="Arial"/>
                <w:sz w:val="20"/>
                <w:szCs w:val="20"/>
                <w:color w:val="auto"/>
              </w:rPr>
              <w:t>Non-vested at December 31, 2013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391</w:t>
            </w:r>
          </w:p>
        </w:tc>
        <w:tc>
          <w:tcPr>
            <w:tcW w:w="5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center"/>
              <w:ind w:left="401"/>
              <w:spacing w:after="0"/>
              <w:rPr>
                <w:sz w:val="20"/>
                <w:szCs w:val="20"/>
                <w:color w:val="auto"/>
              </w:rPr>
            </w:pPr>
            <w:r>
              <w:rPr>
                <w:rFonts w:ascii="Arial" w:cs="Arial" w:eastAsia="Arial" w:hAnsi="Arial"/>
                <w:sz w:val="20"/>
                <w:szCs w:val="20"/>
                <w:color w:val="auto"/>
                <w:w w:val="87"/>
              </w:rPr>
              <w:t>49.27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60" w:firstLine="648"/>
        <w:spacing w:after="0" w:line="250" w:lineRule="auto"/>
        <w:rPr>
          <w:sz w:val="20"/>
          <w:szCs w:val="20"/>
          <w:color w:val="auto"/>
        </w:rPr>
      </w:pPr>
      <w:r>
        <w:rPr>
          <w:rFonts w:ascii="Arial" w:cs="Arial" w:eastAsia="Arial" w:hAnsi="Arial"/>
          <w:sz w:val="20"/>
          <w:szCs w:val="20"/>
          <w:color w:val="auto"/>
        </w:rPr>
        <w:t>The weighted-average grant-date fair value of restricted stock units and restricted stock awards granted during the years ended December 31, 2013, 2012 and 2011 was $53.50, $61.73 and $41.65 per share, respectively. As of December 31, 2013, 0.4 million of restricted stock units and restricted stock awards are expected to vest.</w:t>
      </w:r>
    </w:p>
    <w:p>
      <w:pPr>
        <w:spacing w:after="0" w:line="200"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9"/>
          <w:szCs w:val="19"/>
          <w:color w:val="auto"/>
        </w:rPr>
        <w:t>At December 31, 2013, total unrecognized compensation expense relating to non-vested restricted stock awards and non-vested restricted stock units was $13.8 million, which is expected to be recognized over a weighted-average period of 1.9 years.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Employee and Non-Employee Share-Based Compensation Expense</w:t>
      </w:r>
    </w:p>
    <w:p>
      <w:pPr>
        <w:spacing w:after="0" w:line="229"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8"/>
          <w:szCs w:val="18"/>
          <w:color w:val="auto"/>
        </w:rPr>
        <w:t>The table below shows the amounts recognized in the consolidated financial statements for the twelve-months ended December 31, 2013, 2012 and 2011 for share-based compensation related to employees and non-employees. Employee and non-employee share-based compensation expense of $28.8 million for the year ended December 31, 2013 is comprised of $5.2 million that relates to incentive stock options and $23.6 million that relates to non-qualified stock options and restricted units and awards. Employee and non-employee share-based compensation expense of $28.4 million for the year ended December 31, 2012 is comprised of $5.1 million that relates to incentive stock options and $23.3 million that relates to non-qualified stock options and restricted units and awards. Employee and non-employee share-based compensation expense of $19.4 million for the year ended December 31, 2011 is comprised of $4.9 million that relates to incentive stock options and $14.5 million that relates to non-qualified stock options and restricted units and awards. The portion of share-based compensation expense that relates to incentive stock options has not been considered in the tax benefit computation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600" w:type="dxa"/>
            <w:vAlign w:val="bottom"/>
            <w:vMerge w:val="restart"/>
          </w:tcPr>
          <w:p>
            <w:pPr>
              <w:spacing w:after="0"/>
              <w:rPr>
                <w:sz w:val="20"/>
                <w:szCs w:val="20"/>
                <w:color w:val="auto"/>
              </w:rPr>
            </w:pPr>
            <w:r>
              <w:rPr>
                <w:rFonts w:ascii="Arial" w:cs="Arial" w:eastAsia="Arial" w:hAnsi="Arial"/>
                <w:sz w:val="20"/>
                <w:szCs w:val="20"/>
                <w:color w:val="auto"/>
              </w:rPr>
              <w:t>Operating expenses</w:t>
            </w:r>
          </w:p>
        </w:tc>
        <w:tc>
          <w:tcPr>
            <w:tcW w:w="3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2013</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2012</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6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Borders>
              <w:bottom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28,764</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28,413</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19,424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00" w:type="dxa"/>
            <w:vAlign w:val="bottom"/>
          </w:tcPr>
          <w:p>
            <w:pPr>
              <w:spacing w:after="0" w:line="199" w:lineRule="exact"/>
              <w:rPr>
                <w:sz w:val="20"/>
                <w:szCs w:val="20"/>
                <w:color w:val="auto"/>
              </w:rPr>
            </w:pPr>
            <w:r>
              <w:rPr>
                <w:rFonts w:ascii="Arial" w:cs="Arial" w:eastAsia="Arial" w:hAnsi="Arial"/>
                <w:sz w:val="20"/>
                <w:szCs w:val="20"/>
                <w:color w:val="auto"/>
                <w:w w:val="87"/>
              </w:rPr>
              <w:t>Total employee and non-employee share-based compensation expense</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20"/>
                <w:szCs w:val="20"/>
                <w:color w:val="auto"/>
              </w:rPr>
              <w:t>included in income, before income tax</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28,764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28,413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19,424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600" w:type="dxa"/>
            <w:vAlign w:val="bottom"/>
          </w:tcPr>
          <w:p>
            <w:pPr>
              <w:spacing w:after="0"/>
              <w:rPr>
                <w:sz w:val="20"/>
                <w:szCs w:val="20"/>
                <w:color w:val="auto"/>
              </w:rPr>
            </w:pPr>
            <w:r>
              <w:rPr>
                <w:rFonts w:ascii="Arial" w:cs="Arial" w:eastAsia="Arial" w:hAnsi="Arial"/>
                <w:sz w:val="20"/>
                <w:szCs w:val="20"/>
                <w:color w:val="auto"/>
              </w:rPr>
              <w:t>Less: Amount of income tax benefit recognized in earnings</w:t>
            </w:r>
          </w:p>
        </w:tc>
        <w:tc>
          <w:tcPr>
            <w:tcW w:w="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(7,730)</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(8,933)</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line="220" w:lineRule="exact"/>
              <w:rPr>
                <w:sz w:val="20"/>
                <w:szCs w:val="20"/>
                <w:color w:val="auto"/>
              </w:rPr>
            </w:pPr>
            <w:r>
              <w:rPr>
                <w:rFonts w:ascii="Arial" w:cs="Arial" w:eastAsia="Arial" w:hAnsi="Arial"/>
                <w:sz w:val="20"/>
                <w:szCs w:val="20"/>
                <w:color w:val="auto"/>
              </w:rPr>
              <w:t>Amount charged against net income</w:t>
            </w:r>
          </w:p>
        </w:tc>
        <w:tc>
          <w:tcPr>
            <w:tcW w:w="36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21,034</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19,480</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12,778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vMerge w:val="restart"/>
          </w:tcPr>
          <w:p>
            <w:pPr>
              <w:jc w:val="right"/>
              <w:ind w:right="79"/>
              <w:spacing w:after="0"/>
              <w:rPr>
                <w:sz w:val="20"/>
                <w:szCs w:val="20"/>
                <w:color w:val="auto"/>
              </w:rPr>
            </w:pPr>
            <w:r>
              <w:rPr>
                <w:rFonts w:ascii="Arial" w:cs="Arial" w:eastAsia="Arial" w:hAnsi="Arial"/>
                <w:sz w:val="16"/>
                <w:szCs w:val="16"/>
                <w:color w:val="auto"/>
              </w:rPr>
              <w:t>98</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6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6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Components of the provision for income taxes are as follows:</w:t>
      </w:r>
    </w:p>
    <w:p>
      <w:pPr>
        <w:spacing w:after="0" w:line="221" w:lineRule="exact"/>
        <w:rPr>
          <w:sz w:val="20"/>
          <w:szCs w:val="20"/>
          <w:color w:val="auto"/>
        </w:rPr>
      </w:pPr>
    </w:p>
    <w:tbl>
      <w:tblPr>
        <w:tblLayout w:type="fixed"/>
        <w:tblInd w:w="4720" w:type="dxa"/>
        <w:tblCellMar>
          <w:top w:w="0" w:type="dxa"/>
          <w:left w:w="0" w:type="dxa"/>
          <w:bottom w:w="0" w:type="dxa"/>
          <w:right w:w="0" w:type="dxa"/>
        </w:tblCellMar>
      </w:tblPr>
      <w:tr>
        <w:trPr>
          <w:trHeight w:val="218"/>
        </w:trPr>
        <w:tc>
          <w:tcPr>
            <w:tcW w:w="6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9"/>
                <w:szCs w:val="19"/>
                <w:color w:val="auto"/>
                <w:w w:val="88"/>
              </w:rPr>
              <w:t>Year Ended December 31,</w:t>
            </w:r>
          </w:p>
        </w:tc>
        <w:tc>
          <w:tcPr>
            <w:tcW w:w="620" w:type="dxa"/>
            <w:vAlign w:val="bottom"/>
          </w:tcPr>
          <w:p>
            <w:pPr>
              <w:spacing w:after="0"/>
              <w:rPr>
                <w:sz w:val="18"/>
                <w:szCs w:val="18"/>
                <w:color w:val="auto"/>
              </w:rPr>
            </w:pPr>
          </w:p>
        </w:tc>
      </w:tr>
      <w:tr>
        <w:trPr>
          <w:trHeight w:val="240"/>
        </w:trPr>
        <w:tc>
          <w:tcPr>
            <w:tcW w:w="600" w:type="dxa"/>
            <w:vAlign w:val="bottom"/>
          </w:tcPr>
          <w:p>
            <w:pPr>
              <w:jc w:val="right"/>
              <w:ind w:right="125"/>
              <w:spacing w:after="0"/>
              <w:rPr>
                <w:sz w:val="20"/>
                <w:szCs w:val="20"/>
                <w:color w:val="auto"/>
              </w:rPr>
            </w:pPr>
            <w:r>
              <w:rPr>
                <w:rFonts w:ascii="Arial" w:cs="Arial" w:eastAsia="Arial" w:hAnsi="Arial"/>
                <w:sz w:val="19"/>
                <w:szCs w:val="19"/>
                <w:color w:val="auto"/>
                <w:w w:val="85"/>
              </w:rPr>
              <w:t>2013</w:t>
            </w:r>
          </w:p>
        </w:tc>
        <w:tc>
          <w:tcPr>
            <w:tcW w:w="2460" w:type="dxa"/>
            <w:vAlign w:val="bottom"/>
          </w:tcPr>
          <w:p>
            <w:pPr>
              <w:jc w:val="right"/>
              <w:ind w:right="945"/>
              <w:spacing w:after="0"/>
              <w:rPr>
                <w:sz w:val="20"/>
                <w:szCs w:val="20"/>
                <w:color w:val="auto"/>
              </w:rPr>
            </w:pPr>
            <w:r>
              <w:rPr>
                <w:rFonts w:ascii="Arial" w:cs="Arial" w:eastAsia="Arial" w:hAnsi="Arial"/>
                <w:sz w:val="19"/>
                <w:szCs w:val="19"/>
                <w:color w:val="auto"/>
              </w:rPr>
              <w:t>2012</w:t>
            </w:r>
          </w:p>
        </w:tc>
        <w:tc>
          <w:tcPr>
            <w:tcW w:w="620" w:type="dxa"/>
            <w:vAlign w:val="bottom"/>
          </w:tcPr>
          <w:p>
            <w:pPr>
              <w:jc w:val="right"/>
              <w:spacing w:after="0"/>
              <w:rPr>
                <w:sz w:val="20"/>
                <w:szCs w:val="20"/>
                <w:color w:val="auto"/>
              </w:rPr>
            </w:pPr>
            <w:r>
              <w:rPr>
                <w:rFonts w:ascii="Arial" w:cs="Arial" w:eastAsia="Arial" w:hAnsi="Arial"/>
                <w:sz w:val="19"/>
                <w:szCs w:val="19"/>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-635</wp:posOffset>
            </wp:positionV>
            <wp:extent cx="29673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72" w:orient="portrait"/>
          <w:cols w:equalWidth="0" w:num="1">
            <w:col w:w="11460"/>
          </w:cols>
          <w:pgMar w:left="240" w:top="122" w:right="199" w:bottom="0" w:gutter="0" w:footer="0" w:header="0"/>
        </w:sectPr>
      </w:pPr>
    </w:p>
    <w:bookmarkStart w:id="64" w:name="page65"/>
    <w:bookmarkEnd w:id="64"/>
    <w:p>
      <w:pPr>
        <w:spacing w:after="0" w:line="56"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3560" w:type="dxa"/>
            <w:vAlign w:val="bottom"/>
          </w:tcPr>
          <w:p>
            <w:pPr>
              <w:spacing w:after="0"/>
              <w:rPr>
                <w:sz w:val="20"/>
                <w:szCs w:val="20"/>
                <w:color w:val="auto"/>
              </w:rPr>
            </w:pPr>
            <w:r>
              <w:rPr>
                <w:rFonts w:ascii="Arial" w:cs="Arial" w:eastAsia="Arial" w:hAnsi="Arial"/>
                <w:sz w:val="19"/>
                <w:szCs w:val="19"/>
                <w:color w:val="auto"/>
              </w:rPr>
              <w:t>Current:</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560" w:type="dxa"/>
            <w:vAlign w:val="bottom"/>
          </w:tcPr>
          <w:p>
            <w:pPr>
              <w:ind w:left="460"/>
              <w:spacing w:after="0" w:line="216" w:lineRule="exact"/>
              <w:rPr>
                <w:sz w:val="20"/>
                <w:szCs w:val="20"/>
                <w:color w:val="auto"/>
              </w:rPr>
            </w:pPr>
            <w:r>
              <w:rPr>
                <w:rFonts w:ascii="Arial" w:cs="Arial" w:eastAsia="Arial" w:hAnsi="Arial"/>
                <w:sz w:val="19"/>
                <w:szCs w:val="19"/>
                <w:color w:val="auto"/>
              </w:rPr>
              <w:t>Federal</w:t>
            </w:r>
          </w:p>
        </w:tc>
        <w:tc>
          <w:tcPr>
            <w:tcW w:w="420" w:type="dxa"/>
            <w:vAlign w:val="bottom"/>
          </w:tcPr>
          <w:p>
            <w:pPr>
              <w:jc w:val="right"/>
              <w:ind w:right="125"/>
              <w:spacing w:after="0" w:line="216" w:lineRule="exact"/>
              <w:rPr>
                <w:sz w:val="20"/>
                <w:szCs w:val="20"/>
                <w:color w:val="auto"/>
              </w:rPr>
            </w:pPr>
            <w:r>
              <w:rPr>
                <w:rFonts w:ascii="Arial" w:cs="Arial" w:eastAsia="Arial" w:hAnsi="Arial"/>
                <w:sz w:val="19"/>
                <w:szCs w:val="19"/>
                <w:color w:val="auto"/>
              </w:rPr>
              <w:t>$</w:t>
            </w:r>
          </w:p>
        </w:tc>
        <w:tc>
          <w:tcPr>
            <w:tcW w:w="940" w:type="dxa"/>
            <w:vAlign w:val="bottom"/>
          </w:tcPr>
          <w:p>
            <w:pPr>
              <w:jc w:val="right"/>
              <w:ind w:right="5"/>
              <w:spacing w:after="0" w:line="216" w:lineRule="exact"/>
              <w:rPr>
                <w:sz w:val="20"/>
                <w:szCs w:val="20"/>
                <w:color w:val="auto"/>
              </w:rPr>
            </w:pPr>
            <w:r>
              <w:rPr>
                <w:rFonts w:ascii="Arial" w:cs="Arial" w:eastAsia="Arial" w:hAnsi="Arial"/>
                <w:sz w:val="19"/>
                <w:szCs w:val="19"/>
                <w:color w:val="auto"/>
              </w:rPr>
              <w:t>191,596</w:t>
            </w:r>
          </w:p>
        </w:tc>
        <w:tc>
          <w:tcPr>
            <w:tcW w:w="280" w:type="dxa"/>
            <w:vAlign w:val="bottom"/>
          </w:tcPr>
          <w:p>
            <w:pPr>
              <w:spacing w:after="0"/>
              <w:rPr>
                <w:sz w:val="18"/>
                <w:szCs w:val="18"/>
                <w:color w:val="auto"/>
              </w:rPr>
            </w:pPr>
          </w:p>
        </w:tc>
        <w:tc>
          <w:tcPr>
            <w:tcW w:w="420" w:type="dxa"/>
            <w:vAlign w:val="bottom"/>
          </w:tcPr>
          <w:p>
            <w:pPr>
              <w:jc w:val="right"/>
              <w:ind w:right="125"/>
              <w:spacing w:after="0" w:line="216" w:lineRule="exact"/>
              <w:rPr>
                <w:sz w:val="20"/>
                <w:szCs w:val="20"/>
                <w:color w:val="auto"/>
              </w:rPr>
            </w:pPr>
            <w:r>
              <w:rPr>
                <w:rFonts w:ascii="Arial" w:cs="Arial" w:eastAsia="Arial" w:hAnsi="Arial"/>
                <w:sz w:val="19"/>
                <w:szCs w:val="19"/>
                <w:color w:val="auto"/>
              </w:rPr>
              <w:t>$</w:t>
            </w:r>
          </w:p>
        </w:tc>
        <w:tc>
          <w:tcPr>
            <w:tcW w:w="960" w:type="dxa"/>
            <w:vAlign w:val="bottom"/>
          </w:tcPr>
          <w:p>
            <w:pPr>
              <w:jc w:val="right"/>
              <w:ind w:right="5"/>
              <w:spacing w:after="0" w:line="216" w:lineRule="exact"/>
              <w:rPr>
                <w:sz w:val="20"/>
                <w:szCs w:val="20"/>
                <w:color w:val="auto"/>
              </w:rPr>
            </w:pPr>
            <w:r>
              <w:rPr>
                <w:rFonts w:ascii="Arial" w:cs="Arial" w:eastAsia="Arial" w:hAnsi="Arial"/>
                <w:sz w:val="19"/>
                <w:szCs w:val="19"/>
                <w:color w:val="auto"/>
              </w:rPr>
              <w:t>177,372</w:t>
            </w:r>
          </w:p>
        </w:tc>
        <w:tc>
          <w:tcPr>
            <w:tcW w:w="280" w:type="dxa"/>
            <w:vAlign w:val="bottom"/>
          </w:tcPr>
          <w:p>
            <w:pPr>
              <w:spacing w:after="0"/>
              <w:rPr>
                <w:sz w:val="18"/>
                <w:szCs w:val="18"/>
                <w:color w:val="auto"/>
              </w:rPr>
            </w:pPr>
          </w:p>
        </w:tc>
        <w:tc>
          <w:tcPr>
            <w:tcW w:w="420" w:type="dxa"/>
            <w:vAlign w:val="bottom"/>
          </w:tcPr>
          <w:p>
            <w:pPr>
              <w:jc w:val="right"/>
              <w:ind w:right="145"/>
              <w:spacing w:after="0" w:line="216" w:lineRule="exact"/>
              <w:rPr>
                <w:sz w:val="20"/>
                <w:szCs w:val="20"/>
                <w:color w:val="auto"/>
              </w:rPr>
            </w:pPr>
            <w:r>
              <w:rPr>
                <w:rFonts w:ascii="Arial" w:cs="Arial" w:eastAsia="Arial" w:hAnsi="Arial"/>
                <w:sz w:val="19"/>
                <w:szCs w:val="19"/>
                <w:color w:val="auto"/>
              </w:rPr>
              <w:t>$</w:t>
            </w:r>
          </w:p>
        </w:tc>
        <w:tc>
          <w:tcPr>
            <w:tcW w:w="960" w:type="dxa"/>
            <w:vAlign w:val="bottom"/>
          </w:tcPr>
          <w:p>
            <w:pPr>
              <w:jc w:val="right"/>
              <w:ind w:right="5"/>
              <w:spacing w:after="0" w:line="216" w:lineRule="exact"/>
              <w:rPr>
                <w:sz w:val="20"/>
                <w:szCs w:val="20"/>
                <w:color w:val="auto"/>
              </w:rPr>
            </w:pPr>
            <w:r>
              <w:rPr>
                <w:rFonts w:ascii="Arial" w:cs="Arial" w:eastAsia="Arial" w:hAnsi="Arial"/>
                <w:sz w:val="19"/>
                <w:szCs w:val="19"/>
                <w:color w:val="auto"/>
              </w:rPr>
              <w:t>146,385</w:t>
            </w:r>
          </w:p>
        </w:tc>
      </w:tr>
      <w:tr>
        <w:trPr>
          <w:trHeight w:val="216"/>
        </w:trPr>
        <w:tc>
          <w:tcPr>
            <w:tcW w:w="3560" w:type="dxa"/>
            <w:vAlign w:val="bottom"/>
          </w:tcPr>
          <w:p>
            <w:pPr>
              <w:ind w:left="460"/>
              <w:spacing w:after="0" w:line="216" w:lineRule="exact"/>
              <w:rPr>
                <w:sz w:val="20"/>
                <w:szCs w:val="20"/>
                <w:color w:val="auto"/>
              </w:rPr>
            </w:pPr>
            <w:r>
              <w:rPr>
                <w:rFonts w:ascii="Arial" w:cs="Arial" w:eastAsia="Arial" w:hAnsi="Arial"/>
                <w:sz w:val="19"/>
                <w:szCs w:val="19"/>
                <w:color w:val="auto"/>
              </w:rPr>
              <w:t>State</w:t>
            </w:r>
          </w:p>
        </w:tc>
        <w:tc>
          <w:tcPr>
            <w:tcW w:w="420" w:type="dxa"/>
            <w:vAlign w:val="bottom"/>
          </w:tcPr>
          <w:p>
            <w:pPr>
              <w:spacing w:after="0"/>
              <w:rPr>
                <w:sz w:val="18"/>
                <w:szCs w:val="18"/>
                <w:color w:val="auto"/>
              </w:rPr>
            </w:pPr>
          </w:p>
        </w:tc>
        <w:tc>
          <w:tcPr>
            <w:tcW w:w="940" w:type="dxa"/>
            <w:vAlign w:val="bottom"/>
          </w:tcPr>
          <w:p>
            <w:pPr>
              <w:jc w:val="right"/>
              <w:ind w:right="5"/>
              <w:spacing w:after="0" w:line="216" w:lineRule="exact"/>
              <w:rPr>
                <w:sz w:val="20"/>
                <w:szCs w:val="20"/>
                <w:color w:val="auto"/>
              </w:rPr>
            </w:pPr>
            <w:r>
              <w:rPr>
                <w:rFonts w:ascii="Arial" w:cs="Arial" w:eastAsia="Arial" w:hAnsi="Arial"/>
                <w:sz w:val="19"/>
                <w:szCs w:val="19"/>
                <w:color w:val="auto"/>
              </w:rPr>
              <w:t>36,662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5"/>
              <w:spacing w:after="0" w:line="216" w:lineRule="exact"/>
              <w:rPr>
                <w:sz w:val="20"/>
                <w:szCs w:val="20"/>
                <w:color w:val="auto"/>
              </w:rPr>
            </w:pPr>
            <w:r>
              <w:rPr>
                <w:rFonts w:ascii="Arial" w:cs="Arial" w:eastAsia="Arial" w:hAnsi="Arial"/>
                <w:sz w:val="19"/>
                <w:szCs w:val="19"/>
                <w:color w:val="auto"/>
              </w:rPr>
              <w:t>30,268</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5"/>
              <w:spacing w:after="0" w:line="216" w:lineRule="exact"/>
              <w:rPr>
                <w:sz w:val="20"/>
                <w:szCs w:val="20"/>
                <w:color w:val="auto"/>
              </w:rPr>
            </w:pPr>
            <w:r>
              <w:rPr>
                <w:rFonts w:ascii="Arial" w:cs="Arial" w:eastAsia="Arial" w:hAnsi="Arial"/>
                <w:sz w:val="19"/>
                <w:szCs w:val="19"/>
                <w:color w:val="auto"/>
              </w:rPr>
              <w:t>22,526</w:t>
            </w:r>
          </w:p>
        </w:tc>
      </w:tr>
      <w:tr>
        <w:trPr>
          <w:trHeight w:val="238"/>
        </w:trPr>
        <w:tc>
          <w:tcPr>
            <w:tcW w:w="3560" w:type="dxa"/>
            <w:vAlign w:val="bottom"/>
          </w:tcPr>
          <w:p>
            <w:pPr>
              <w:ind w:left="460"/>
              <w:spacing w:after="0"/>
              <w:rPr>
                <w:sz w:val="20"/>
                <w:szCs w:val="20"/>
                <w:color w:val="auto"/>
              </w:rPr>
            </w:pPr>
            <w:r>
              <w:rPr>
                <w:rFonts w:ascii="Arial" w:cs="Arial" w:eastAsia="Arial" w:hAnsi="Arial"/>
                <w:sz w:val="19"/>
                <w:szCs w:val="19"/>
                <w:color w:val="auto"/>
              </w:rPr>
              <w:t>Foreign</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4,052</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3,951</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2,827</w:t>
            </w:r>
          </w:p>
        </w:tc>
      </w:tr>
      <w:tr>
        <w:trPr>
          <w:trHeight w:val="234"/>
        </w:trPr>
        <w:tc>
          <w:tcPr>
            <w:tcW w:w="3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
              <w:spacing w:after="0"/>
              <w:rPr>
                <w:sz w:val="20"/>
                <w:szCs w:val="20"/>
                <w:color w:val="auto"/>
              </w:rPr>
            </w:pPr>
            <w:r>
              <w:rPr>
                <w:rFonts w:ascii="Arial" w:cs="Arial" w:eastAsia="Arial" w:hAnsi="Arial"/>
                <w:sz w:val="19"/>
                <w:szCs w:val="19"/>
                <w:color w:val="auto"/>
              </w:rPr>
              <w:t>232,310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5"/>
              <w:spacing w:after="0"/>
              <w:rPr>
                <w:sz w:val="20"/>
                <w:szCs w:val="20"/>
                <w:color w:val="auto"/>
              </w:rPr>
            </w:pPr>
            <w:r>
              <w:rPr>
                <w:rFonts w:ascii="Arial" w:cs="Arial" w:eastAsia="Arial" w:hAnsi="Arial"/>
                <w:sz w:val="19"/>
                <w:szCs w:val="19"/>
                <w:color w:val="auto"/>
              </w:rPr>
              <w:t>211,591</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5"/>
              <w:spacing w:after="0"/>
              <w:rPr>
                <w:sz w:val="20"/>
                <w:szCs w:val="20"/>
                <w:color w:val="auto"/>
              </w:rPr>
            </w:pPr>
            <w:r>
              <w:rPr>
                <w:rFonts w:ascii="Arial" w:cs="Arial" w:eastAsia="Arial" w:hAnsi="Arial"/>
                <w:sz w:val="19"/>
                <w:szCs w:val="19"/>
                <w:color w:val="auto"/>
              </w:rPr>
              <w:t>171,738</w:t>
            </w:r>
          </w:p>
        </w:tc>
      </w:tr>
      <w:tr>
        <w:trPr>
          <w:trHeight w:val="385"/>
        </w:trPr>
        <w:tc>
          <w:tcPr>
            <w:tcW w:w="3560" w:type="dxa"/>
            <w:vAlign w:val="bottom"/>
          </w:tcPr>
          <w:p>
            <w:pPr>
              <w:spacing w:after="0"/>
              <w:rPr>
                <w:sz w:val="20"/>
                <w:szCs w:val="20"/>
                <w:color w:val="auto"/>
              </w:rPr>
            </w:pPr>
            <w:r>
              <w:rPr>
                <w:rFonts w:ascii="Arial" w:cs="Arial" w:eastAsia="Arial" w:hAnsi="Arial"/>
                <w:sz w:val="19"/>
                <w:szCs w:val="19"/>
                <w:color w:val="auto"/>
              </w:rPr>
              <w:t>Deferred:</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3560" w:type="dxa"/>
            <w:vAlign w:val="bottom"/>
          </w:tcPr>
          <w:p>
            <w:pPr>
              <w:ind w:left="460"/>
              <w:spacing w:after="0" w:line="216" w:lineRule="exact"/>
              <w:rPr>
                <w:sz w:val="20"/>
                <w:szCs w:val="20"/>
                <w:color w:val="auto"/>
              </w:rPr>
            </w:pPr>
            <w:r>
              <w:rPr>
                <w:rFonts w:ascii="Arial" w:cs="Arial" w:eastAsia="Arial" w:hAnsi="Arial"/>
                <w:sz w:val="19"/>
                <w:szCs w:val="19"/>
                <w:color w:val="auto"/>
              </w:rPr>
              <w:t>Federal</w:t>
            </w:r>
          </w:p>
        </w:tc>
        <w:tc>
          <w:tcPr>
            <w:tcW w:w="42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Arial" w:cs="Arial" w:eastAsia="Arial" w:hAnsi="Arial"/>
                <w:sz w:val="19"/>
                <w:szCs w:val="19"/>
                <w:color w:val="auto"/>
              </w:rPr>
              <w:t>(7,441)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19"/>
                <w:szCs w:val="19"/>
                <w:color w:val="auto"/>
              </w:rPr>
              <w:t>(743)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5"/>
              <w:spacing w:after="0" w:line="216" w:lineRule="exact"/>
              <w:rPr>
                <w:sz w:val="20"/>
                <w:szCs w:val="20"/>
                <w:color w:val="auto"/>
              </w:rPr>
            </w:pPr>
            <w:r>
              <w:rPr>
                <w:rFonts w:ascii="Arial" w:cs="Arial" w:eastAsia="Arial" w:hAnsi="Arial"/>
                <w:sz w:val="19"/>
                <w:szCs w:val="19"/>
                <w:color w:val="auto"/>
              </w:rPr>
              <w:t>634</w:t>
            </w:r>
          </w:p>
        </w:tc>
      </w:tr>
      <w:tr>
        <w:trPr>
          <w:trHeight w:val="216"/>
        </w:trPr>
        <w:tc>
          <w:tcPr>
            <w:tcW w:w="3560" w:type="dxa"/>
            <w:vAlign w:val="bottom"/>
          </w:tcPr>
          <w:p>
            <w:pPr>
              <w:ind w:left="460"/>
              <w:spacing w:after="0" w:line="216" w:lineRule="exact"/>
              <w:rPr>
                <w:sz w:val="20"/>
                <w:szCs w:val="20"/>
                <w:color w:val="auto"/>
              </w:rPr>
            </w:pPr>
            <w:r>
              <w:rPr>
                <w:rFonts w:ascii="Arial" w:cs="Arial" w:eastAsia="Arial" w:hAnsi="Arial"/>
                <w:sz w:val="19"/>
                <w:szCs w:val="19"/>
                <w:color w:val="auto"/>
              </w:rPr>
              <w:t>State</w:t>
            </w:r>
          </w:p>
        </w:tc>
        <w:tc>
          <w:tcPr>
            <w:tcW w:w="42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Arial" w:cs="Arial" w:eastAsia="Arial" w:hAnsi="Arial"/>
                <w:sz w:val="19"/>
                <w:szCs w:val="19"/>
                <w:color w:val="auto"/>
              </w:rPr>
              <w:t>(1,443)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19"/>
                <w:szCs w:val="19"/>
                <w:color w:val="auto"/>
              </w:rPr>
              <w:t>(483)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5"/>
              <w:spacing w:after="0" w:line="216" w:lineRule="exact"/>
              <w:rPr>
                <w:sz w:val="20"/>
                <w:szCs w:val="20"/>
                <w:color w:val="auto"/>
              </w:rPr>
            </w:pPr>
            <w:r>
              <w:rPr>
                <w:rFonts w:ascii="Arial" w:cs="Arial" w:eastAsia="Arial" w:hAnsi="Arial"/>
                <w:sz w:val="19"/>
                <w:szCs w:val="19"/>
                <w:color w:val="auto"/>
              </w:rPr>
              <w:t>465</w:t>
            </w:r>
          </w:p>
        </w:tc>
      </w:tr>
      <w:tr>
        <w:trPr>
          <w:trHeight w:val="238"/>
        </w:trPr>
        <w:tc>
          <w:tcPr>
            <w:tcW w:w="3560" w:type="dxa"/>
            <w:vAlign w:val="bottom"/>
          </w:tcPr>
          <w:p>
            <w:pPr>
              <w:ind w:left="460"/>
              <w:spacing w:after="0"/>
              <w:rPr>
                <w:sz w:val="20"/>
                <w:szCs w:val="20"/>
                <w:color w:val="auto"/>
              </w:rPr>
            </w:pPr>
            <w:r>
              <w:rPr>
                <w:rFonts w:ascii="Arial" w:cs="Arial" w:eastAsia="Arial" w:hAnsi="Arial"/>
                <w:sz w:val="19"/>
                <w:szCs w:val="19"/>
                <w:color w:val="auto"/>
              </w:rPr>
              <w:t>Foreign</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(9,694)</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(7,373)</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(3,583)</w:t>
            </w:r>
          </w:p>
        </w:tc>
      </w:tr>
      <w:tr>
        <w:trPr>
          <w:trHeight w:val="234"/>
        </w:trPr>
        <w:tc>
          <w:tcPr>
            <w:tcW w:w="3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(18,578)</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(8,599)</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(2,484)</w:t>
            </w:r>
          </w:p>
        </w:tc>
      </w:tr>
      <w:tr>
        <w:trPr>
          <w:trHeight w:val="408"/>
        </w:trPr>
        <w:tc>
          <w:tcPr>
            <w:tcW w:w="3560" w:type="dxa"/>
            <w:vAlign w:val="bottom"/>
          </w:tcPr>
          <w:p>
            <w:pPr>
              <w:ind w:left="460"/>
              <w:spacing w:after="0"/>
              <w:rPr>
                <w:sz w:val="20"/>
                <w:szCs w:val="20"/>
                <w:color w:val="auto"/>
              </w:rPr>
            </w:pPr>
            <w:r>
              <w:rPr>
                <w:rFonts w:ascii="Arial" w:cs="Arial" w:eastAsia="Arial" w:hAnsi="Arial"/>
                <w:sz w:val="19"/>
                <w:szCs w:val="19"/>
                <w:color w:val="auto"/>
              </w:rPr>
              <w:t>Valuation allowance</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11,501</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6,142</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1,797</w:t>
            </w:r>
          </w:p>
        </w:tc>
      </w:tr>
      <w:tr>
        <w:trPr>
          <w:trHeight w:val="210"/>
        </w:trPr>
        <w:tc>
          <w:tcPr>
            <w:tcW w:w="3560" w:type="dxa"/>
            <w:vAlign w:val="bottom"/>
          </w:tcPr>
          <w:p>
            <w:pPr>
              <w:spacing w:after="0"/>
              <w:rPr>
                <w:sz w:val="18"/>
                <w:szCs w:val="18"/>
                <w:color w:val="auto"/>
              </w:rPr>
            </w:pPr>
          </w:p>
        </w:tc>
        <w:tc>
          <w:tcPr>
            <w:tcW w:w="420" w:type="dxa"/>
            <w:vAlign w:val="bottom"/>
            <w:tcBorders>
              <w:bottom w:val="single" w:sz="8" w:color="auto"/>
            </w:tcBorders>
          </w:tcPr>
          <w:p>
            <w:pPr>
              <w:jc w:val="right"/>
              <w:ind w:right="125"/>
              <w:spacing w:after="0" w:line="210" w:lineRule="exact"/>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225,233</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125"/>
              <w:spacing w:after="0" w:line="210" w:lineRule="exact"/>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209,134</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145"/>
              <w:spacing w:after="0" w:line="210" w:lineRule="exact"/>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171,051</w:t>
            </w:r>
          </w:p>
        </w:tc>
      </w:tr>
      <w:tr>
        <w:trPr>
          <w:trHeight w:val="20"/>
        </w:trPr>
        <w:tc>
          <w:tcPr>
            <w:tcW w:w="3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The differences in the total provision for income taxes that would result from applying the 35% federal statutory rate to income before provision for income taxes and the reported provision for income taxes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60" w:type="dxa"/>
            <w:vAlign w:val="bottom"/>
            <w:gridSpan w:val="4"/>
          </w:tcPr>
          <w:p>
            <w:pPr>
              <w:ind w:left="20"/>
              <w:spacing w:after="0"/>
              <w:rPr>
                <w:sz w:val="20"/>
                <w:szCs w:val="20"/>
                <w:color w:val="auto"/>
              </w:rPr>
            </w:pPr>
            <w:r>
              <w:rPr>
                <w:rFonts w:ascii="Arial" w:cs="Arial" w:eastAsia="Arial" w:hAnsi="Arial"/>
                <w:sz w:val="19"/>
                <w:szCs w:val="19"/>
                <w:color w:val="auto"/>
                <w:w w:val="89"/>
              </w:rPr>
              <w:t>Year Ended December 31,</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80" w:type="dxa"/>
            <w:vAlign w:val="bottom"/>
            <w:vMerge w:val="restart"/>
          </w:tcPr>
          <w:p>
            <w:pPr>
              <w:spacing w:after="0"/>
              <w:rPr>
                <w:sz w:val="20"/>
                <w:szCs w:val="20"/>
                <w:color w:val="auto"/>
              </w:rPr>
            </w:pPr>
            <w:r>
              <w:rPr>
                <w:rFonts w:ascii="Arial" w:cs="Arial" w:eastAsia="Arial" w:hAnsi="Arial"/>
                <w:sz w:val="19"/>
                <w:szCs w:val="19"/>
                <w:color w:val="auto"/>
              </w:rPr>
              <w:t>U.S. Federal tax expense at statutory rates</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67"/>
              <w:spacing w:after="0"/>
              <w:rPr>
                <w:sz w:val="20"/>
                <w:szCs w:val="20"/>
                <w:color w:val="auto"/>
              </w:rPr>
            </w:pPr>
            <w:r>
              <w:rPr>
                <w:rFonts w:ascii="Arial" w:cs="Arial" w:eastAsia="Arial" w:hAnsi="Arial"/>
                <w:sz w:val="19"/>
                <w:szCs w:val="19"/>
                <w:color w:val="auto"/>
              </w:rPr>
              <w:t>2013</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65"/>
              <w:spacing w:after="0"/>
              <w:rPr>
                <w:sz w:val="20"/>
                <w:szCs w:val="20"/>
                <w:color w:val="auto"/>
              </w:rPr>
            </w:pPr>
            <w:r>
              <w:rPr>
                <w:rFonts w:ascii="Arial" w:cs="Arial" w:eastAsia="Arial" w:hAnsi="Arial"/>
                <w:sz w:val="19"/>
                <w:szCs w:val="19"/>
                <w:color w:val="auto"/>
              </w:rPr>
              <w:t>2012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9"/>
                <w:szCs w:val="19"/>
                <w:color w:val="auto"/>
              </w:rPr>
              <w:t>2011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780" w:type="dxa"/>
            <w:vAlign w:val="bottom"/>
            <w:vMerge w:val="continue"/>
          </w:tcPr>
          <w:p>
            <w:pPr>
              <w:spacing w:after="0"/>
              <w:rPr>
                <w:sz w:val="16"/>
                <w:szCs w:val="16"/>
                <w:color w:val="auto"/>
              </w:rPr>
            </w:pPr>
          </w:p>
        </w:tc>
        <w:tc>
          <w:tcPr>
            <w:tcW w:w="360" w:type="dxa"/>
            <w:vAlign w:val="bottom"/>
          </w:tcPr>
          <w:p>
            <w:pPr>
              <w:jc w:val="right"/>
              <w:ind w:right="85"/>
              <w:spacing w:after="0" w:line="187" w:lineRule="exact"/>
              <w:rPr>
                <w:sz w:val="20"/>
                <w:szCs w:val="20"/>
                <w:color w:val="auto"/>
              </w:rPr>
            </w:pPr>
            <w:r>
              <w:rPr>
                <w:rFonts w:ascii="Arial" w:cs="Arial" w:eastAsia="Arial" w:hAnsi="Arial"/>
                <w:sz w:val="19"/>
                <w:szCs w:val="19"/>
                <w:color w:val="auto"/>
              </w:rPr>
              <w:t>$</w:t>
            </w:r>
          </w:p>
        </w:tc>
        <w:tc>
          <w:tcPr>
            <w:tcW w:w="1120" w:type="dxa"/>
            <w:vAlign w:val="bottom"/>
          </w:tcPr>
          <w:p>
            <w:pPr>
              <w:jc w:val="right"/>
              <w:ind w:right="7"/>
              <w:spacing w:after="0" w:line="187" w:lineRule="exact"/>
              <w:rPr>
                <w:sz w:val="20"/>
                <w:szCs w:val="20"/>
                <w:color w:val="auto"/>
              </w:rPr>
            </w:pPr>
            <w:r>
              <w:rPr>
                <w:rFonts w:ascii="Arial" w:cs="Arial" w:eastAsia="Arial" w:hAnsi="Arial"/>
                <w:sz w:val="19"/>
                <w:szCs w:val="19"/>
                <w:color w:val="auto"/>
              </w:rPr>
              <w:t>197,363</w:t>
            </w:r>
          </w:p>
        </w:tc>
        <w:tc>
          <w:tcPr>
            <w:tcW w:w="300" w:type="dxa"/>
            <w:vAlign w:val="bottom"/>
          </w:tcPr>
          <w:p>
            <w:pPr>
              <w:spacing w:after="0"/>
              <w:rPr>
                <w:sz w:val="16"/>
                <w:szCs w:val="16"/>
                <w:color w:val="auto"/>
              </w:rPr>
            </w:pPr>
          </w:p>
        </w:tc>
        <w:tc>
          <w:tcPr>
            <w:tcW w:w="360" w:type="dxa"/>
            <w:vAlign w:val="bottom"/>
          </w:tcPr>
          <w:p>
            <w:pPr>
              <w:jc w:val="right"/>
              <w:ind w:right="85"/>
              <w:spacing w:after="0" w:line="187" w:lineRule="exact"/>
              <w:rPr>
                <w:sz w:val="20"/>
                <w:szCs w:val="20"/>
                <w:color w:val="auto"/>
              </w:rPr>
            </w:pPr>
            <w:r>
              <w:rPr>
                <w:rFonts w:ascii="Arial" w:cs="Arial" w:eastAsia="Arial" w:hAnsi="Arial"/>
                <w:sz w:val="19"/>
                <w:szCs w:val="19"/>
                <w:color w:val="auto"/>
              </w:rPr>
              <w:t>$</w:t>
            </w:r>
          </w:p>
        </w:tc>
        <w:tc>
          <w:tcPr>
            <w:tcW w:w="1120" w:type="dxa"/>
            <w:vAlign w:val="bottom"/>
          </w:tcPr>
          <w:p>
            <w:pPr>
              <w:jc w:val="right"/>
              <w:ind w:right="25"/>
              <w:spacing w:after="0" w:line="187" w:lineRule="exact"/>
              <w:rPr>
                <w:sz w:val="20"/>
                <w:szCs w:val="20"/>
                <w:color w:val="auto"/>
              </w:rPr>
            </w:pPr>
            <w:r>
              <w:rPr>
                <w:rFonts w:ascii="Arial" w:cs="Arial" w:eastAsia="Arial" w:hAnsi="Arial"/>
                <w:sz w:val="19"/>
                <w:szCs w:val="19"/>
                <w:color w:val="auto"/>
              </w:rPr>
              <w:t>192,204</w:t>
            </w:r>
          </w:p>
        </w:tc>
        <w:tc>
          <w:tcPr>
            <w:tcW w:w="280" w:type="dxa"/>
            <w:vAlign w:val="bottom"/>
          </w:tcPr>
          <w:p>
            <w:pPr>
              <w:spacing w:after="0"/>
              <w:rPr>
                <w:sz w:val="16"/>
                <w:szCs w:val="16"/>
                <w:color w:val="auto"/>
              </w:rPr>
            </w:pPr>
          </w:p>
        </w:tc>
        <w:tc>
          <w:tcPr>
            <w:tcW w:w="360" w:type="dxa"/>
            <w:vAlign w:val="bottom"/>
          </w:tcPr>
          <w:p>
            <w:pPr>
              <w:jc w:val="right"/>
              <w:ind w:right="85"/>
              <w:spacing w:after="0" w:line="187" w:lineRule="exact"/>
              <w:rPr>
                <w:sz w:val="20"/>
                <w:szCs w:val="20"/>
                <w:color w:val="auto"/>
              </w:rPr>
            </w:pPr>
            <w:r>
              <w:rPr>
                <w:rFonts w:ascii="Arial" w:cs="Arial" w:eastAsia="Arial" w:hAnsi="Arial"/>
                <w:sz w:val="19"/>
                <w:szCs w:val="19"/>
                <w:color w:val="auto"/>
              </w:rPr>
              <w:t>$</w:t>
            </w:r>
          </w:p>
        </w:tc>
        <w:tc>
          <w:tcPr>
            <w:tcW w:w="1100" w:type="dxa"/>
            <w:vAlign w:val="bottom"/>
          </w:tcPr>
          <w:p>
            <w:pPr>
              <w:jc w:val="right"/>
              <w:ind w:right="5"/>
              <w:spacing w:after="0" w:line="187" w:lineRule="exact"/>
              <w:rPr>
                <w:sz w:val="20"/>
                <w:szCs w:val="20"/>
                <w:color w:val="auto"/>
              </w:rPr>
            </w:pPr>
            <w:r>
              <w:rPr>
                <w:rFonts w:ascii="Arial" w:cs="Arial" w:eastAsia="Arial" w:hAnsi="Arial"/>
                <w:sz w:val="19"/>
                <w:szCs w:val="19"/>
                <w:color w:val="auto"/>
              </w:rPr>
              <w:t>160,045</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line="216" w:lineRule="exact"/>
              <w:rPr>
                <w:sz w:val="20"/>
                <w:szCs w:val="20"/>
                <w:color w:val="auto"/>
              </w:rPr>
            </w:pPr>
            <w:r>
              <w:rPr>
                <w:rFonts w:ascii="Arial" w:cs="Arial" w:eastAsia="Arial" w:hAnsi="Arial"/>
                <w:sz w:val="19"/>
                <w:szCs w:val="19"/>
                <w:color w:val="auto"/>
              </w:rPr>
              <w:t>State income taxes, net of federal tax benefit</w:t>
            </w:r>
          </w:p>
        </w:tc>
        <w:tc>
          <w:tcPr>
            <w:tcW w:w="360" w:type="dxa"/>
            <w:vAlign w:val="bottom"/>
          </w:tcPr>
          <w:p>
            <w:pPr>
              <w:spacing w:after="0"/>
              <w:rPr>
                <w:sz w:val="18"/>
                <w:szCs w:val="18"/>
                <w:color w:val="auto"/>
              </w:rPr>
            </w:pPr>
          </w:p>
        </w:tc>
        <w:tc>
          <w:tcPr>
            <w:tcW w:w="1120" w:type="dxa"/>
            <w:vAlign w:val="bottom"/>
          </w:tcPr>
          <w:p>
            <w:pPr>
              <w:jc w:val="right"/>
              <w:ind w:right="7"/>
              <w:spacing w:after="0" w:line="216" w:lineRule="exact"/>
              <w:rPr>
                <w:sz w:val="20"/>
                <w:szCs w:val="20"/>
                <w:color w:val="auto"/>
              </w:rPr>
            </w:pPr>
            <w:r>
              <w:rPr>
                <w:rFonts w:ascii="Arial" w:cs="Arial" w:eastAsia="Arial" w:hAnsi="Arial"/>
                <w:sz w:val="19"/>
                <w:szCs w:val="19"/>
                <w:color w:val="auto"/>
              </w:rPr>
              <w:t>22,640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20,252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5"/>
              <w:spacing w:after="0" w:line="216" w:lineRule="exact"/>
              <w:rPr>
                <w:sz w:val="20"/>
                <w:szCs w:val="20"/>
                <w:color w:val="auto"/>
              </w:rPr>
            </w:pPr>
            <w:r>
              <w:rPr>
                <w:rFonts w:ascii="Arial" w:cs="Arial" w:eastAsia="Arial" w:hAnsi="Arial"/>
                <w:sz w:val="19"/>
                <w:szCs w:val="19"/>
                <w:color w:val="auto"/>
              </w:rPr>
              <w:t>14,917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line="216" w:lineRule="exact"/>
              <w:rPr>
                <w:sz w:val="20"/>
                <w:szCs w:val="20"/>
                <w:color w:val="auto"/>
              </w:rPr>
            </w:pPr>
            <w:r>
              <w:rPr>
                <w:rFonts w:ascii="Arial" w:cs="Arial" w:eastAsia="Arial" w:hAnsi="Arial"/>
                <w:sz w:val="19"/>
                <w:szCs w:val="19"/>
                <w:color w:val="auto"/>
              </w:rPr>
              <w:t>Permanent differences</w:t>
            </w:r>
          </w:p>
        </w:tc>
        <w:tc>
          <w:tcPr>
            <w:tcW w:w="360" w:type="dxa"/>
            <w:vAlign w:val="bottom"/>
          </w:tcPr>
          <w:p>
            <w:pPr>
              <w:spacing w:after="0"/>
              <w:rPr>
                <w:sz w:val="18"/>
                <w:szCs w:val="18"/>
                <w:color w:val="auto"/>
              </w:rPr>
            </w:pPr>
          </w:p>
        </w:tc>
        <w:tc>
          <w:tcPr>
            <w:tcW w:w="1120" w:type="dxa"/>
            <w:vAlign w:val="bottom"/>
          </w:tcPr>
          <w:p>
            <w:pPr>
              <w:jc w:val="right"/>
              <w:ind w:right="7"/>
              <w:spacing w:after="0" w:line="216" w:lineRule="exact"/>
              <w:rPr>
                <w:sz w:val="20"/>
                <w:szCs w:val="20"/>
                <w:color w:val="auto"/>
              </w:rPr>
            </w:pPr>
            <w:r>
              <w:rPr>
                <w:rFonts w:ascii="Arial" w:cs="Arial" w:eastAsia="Arial" w:hAnsi="Arial"/>
                <w:sz w:val="19"/>
                <w:szCs w:val="19"/>
                <w:color w:val="auto"/>
              </w:rPr>
              <w:t>936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5,968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5"/>
              <w:spacing w:after="0" w:line="216" w:lineRule="exact"/>
              <w:rPr>
                <w:sz w:val="20"/>
                <w:szCs w:val="20"/>
                <w:color w:val="auto"/>
              </w:rPr>
            </w:pPr>
            <w:r>
              <w:rPr>
                <w:rFonts w:ascii="Arial" w:cs="Arial" w:eastAsia="Arial" w:hAnsi="Arial"/>
                <w:sz w:val="19"/>
                <w:szCs w:val="19"/>
                <w:color w:val="auto"/>
              </w:rPr>
              <w:t>1,176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line="216" w:lineRule="exact"/>
              <w:rPr>
                <w:sz w:val="20"/>
                <w:szCs w:val="20"/>
                <w:color w:val="auto"/>
              </w:rPr>
            </w:pPr>
            <w:r>
              <w:rPr>
                <w:rFonts w:ascii="Arial" w:cs="Arial" w:eastAsia="Arial" w:hAnsi="Arial"/>
                <w:sz w:val="19"/>
                <w:szCs w:val="19"/>
                <w:color w:val="auto"/>
              </w:rPr>
              <w:t>Domestic production deduction</w:t>
            </w:r>
          </w:p>
        </w:tc>
        <w:tc>
          <w:tcPr>
            <w:tcW w:w="36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(16,039)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(15,469)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(11,551)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line="216" w:lineRule="exact"/>
              <w:rPr>
                <w:sz w:val="20"/>
                <w:szCs w:val="20"/>
                <w:color w:val="auto"/>
              </w:rPr>
            </w:pPr>
            <w:r>
              <w:rPr>
                <w:rFonts w:ascii="Arial" w:cs="Arial" w:eastAsia="Arial" w:hAnsi="Arial"/>
                <w:sz w:val="19"/>
                <w:szCs w:val="19"/>
                <w:color w:val="auto"/>
              </w:rPr>
              <w:t>Other</w:t>
            </w:r>
          </w:p>
        </w:tc>
        <w:tc>
          <w:tcPr>
            <w:tcW w:w="360" w:type="dxa"/>
            <w:vAlign w:val="bottom"/>
          </w:tcPr>
          <w:p>
            <w:pPr>
              <w:spacing w:after="0"/>
              <w:rPr>
                <w:sz w:val="18"/>
                <w:szCs w:val="18"/>
                <w:color w:val="auto"/>
              </w:rPr>
            </w:pPr>
          </w:p>
        </w:tc>
        <w:tc>
          <w:tcPr>
            <w:tcW w:w="1120" w:type="dxa"/>
            <w:vAlign w:val="bottom"/>
          </w:tcPr>
          <w:p>
            <w:pPr>
              <w:jc w:val="right"/>
              <w:ind w:right="7"/>
              <w:spacing w:after="0" w:line="216" w:lineRule="exact"/>
              <w:rPr>
                <w:sz w:val="20"/>
                <w:szCs w:val="20"/>
                <w:color w:val="auto"/>
              </w:rPr>
            </w:pPr>
            <w:r>
              <w:rPr>
                <w:rFonts w:ascii="Arial" w:cs="Arial" w:eastAsia="Arial" w:hAnsi="Arial"/>
                <w:sz w:val="19"/>
                <w:szCs w:val="19"/>
                <w:color w:val="auto"/>
              </w:rPr>
              <w:t>266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(388)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5"/>
              <w:spacing w:after="0" w:line="216" w:lineRule="exact"/>
              <w:rPr>
                <w:sz w:val="20"/>
                <w:szCs w:val="20"/>
                <w:color w:val="auto"/>
              </w:rPr>
            </w:pPr>
            <w:r>
              <w:rPr>
                <w:rFonts w:ascii="Arial" w:cs="Arial" w:eastAsia="Arial" w:hAnsi="Arial"/>
                <w:sz w:val="19"/>
                <w:szCs w:val="19"/>
                <w:color w:val="auto"/>
              </w:rPr>
              <w:t>1,538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line="216" w:lineRule="exact"/>
              <w:rPr>
                <w:sz w:val="20"/>
                <w:szCs w:val="20"/>
                <w:color w:val="auto"/>
              </w:rPr>
            </w:pPr>
            <w:r>
              <w:rPr>
                <w:rFonts w:ascii="Arial" w:cs="Arial" w:eastAsia="Arial" w:hAnsi="Arial"/>
                <w:sz w:val="19"/>
                <w:szCs w:val="19"/>
                <w:color w:val="auto"/>
              </w:rPr>
              <w:t>Foreign rate differential</w:t>
            </w:r>
          </w:p>
        </w:tc>
        <w:tc>
          <w:tcPr>
            <w:tcW w:w="360" w:type="dxa"/>
            <w:vAlign w:val="bottom"/>
          </w:tcPr>
          <w:p>
            <w:pPr>
              <w:spacing w:after="0"/>
              <w:rPr>
                <w:sz w:val="18"/>
                <w:szCs w:val="18"/>
                <w:color w:val="auto"/>
              </w:rPr>
            </w:pPr>
          </w:p>
        </w:tc>
        <w:tc>
          <w:tcPr>
            <w:tcW w:w="1120" w:type="dxa"/>
            <w:vAlign w:val="bottom"/>
          </w:tcPr>
          <w:p>
            <w:pPr>
              <w:jc w:val="right"/>
              <w:ind w:right="7"/>
              <w:spacing w:after="0" w:line="216" w:lineRule="exact"/>
              <w:rPr>
                <w:sz w:val="20"/>
                <w:szCs w:val="20"/>
                <w:color w:val="auto"/>
              </w:rPr>
            </w:pPr>
            <w:r>
              <w:rPr>
                <w:rFonts w:ascii="Arial" w:cs="Arial" w:eastAsia="Arial" w:hAnsi="Arial"/>
                <w:sz w:val="19"/>
                <w:szCs w:val="19"/>
                <w:color w:val="auto"/>
              </w:rPr>
              <w:t>8,566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425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5"/>
              <w:spacing w:after="0" w:line="216" w:lineRule="exact"/>
              <w:rPr>
                <w:sz w:val="20"/>
                <w:szCs w:val="20"/>
                <w:color w:val="auto"/>
              </w:rPr>
            </w:pPr>
            <w:r>
              <w:rPr>
                <w:rFonts w:ascii="Arial" w:cs="Arial" w:eastAsia="Arial" w:hAnsi="Arial"/>
                <w:sz w:val="19"/>
                <w:szCs w:val="19"/>
                <w:color w:val="auto"/>
              </w:rPr>
              <w:t>3,129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r>
              <w:rPr>
                <w:rFonts w:ascii="Arial" w:cs="Arial" w:eastAsia="Arial" w:hAnsi="Arial"/>
                <w:sz w:val="19"/>
                <w:szCs w:val="19"/>
                <w:color w:val="auto"/>
              </w:rPr>
              <w:t>Valuation allowance</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11,501</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6,142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1,797</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360" w:type="dxa"/>
            <w:vAlign w:val="bottom"/>
            <w:tcBorders>
              <w:bottom w:val="single" w:sz="8" w:color="auto"/>
            </w:tcBorders>
          </w:tcPr>
          <w:p>
            <w:pPr>
              <w:jc w:val="right"/>
              <w:ind w:right="85"/>
              <w:spacing w:after="0" w:line="210" w:lineRule="exact"/>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tcPr>
          <w:p>
            <w:pPr>
              <w:jc w:val="right"/>
              <w:ind w:right="7"/>
              <w:spacing w:after="0" w:line="210" w:lineRule="exact"/>
              <w:rPr>
                <w:sz w:val="20"/>
                <w:szCs w:val="20"/>
                <w:color w:val="auto"/>
              </w:rPr>
            </w:pPr>
            <w:r>
              <w:rPr>
                <w:rFonts w:ascii="Arial" w:cs="Arial" w:eastAsia="Arial" w:hAnsi="Arial"/>
                <w:sz w:val="19"/>
                <w:szCs w:val="19"/>
                <w:color w:val="auto"/>
              </w:rPr>
              <w:t>225,233</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85"/>
              <w:spacing w:after="0" w:line="210" w:lineRule="exact"/>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209,134</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85"/>
              <w:spacing w:after="0" w:line="210" w:lineRule="exact"/>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171,051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4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367"/>
              <w:spacing w:after="0"/>
              <w:rPr>
                <w:sz w:val="20"/>
                <w:szCs w:val="20"/>
                <w:color w:val="auto"/>
              </w:rPr>
            </w:pPr>
            <w:r>
              <w:rPr>
                <w:rFonts w:ascii="Arial" w:cs="Arial" w:eastAsia="Arial" w:hAnsi="Arial"/>
                <w:sz w:val="16"/>
                <w:szCs w:val="16"/>
                <w:color w:val="auto"/>
              </w:rPr>
              <w:t>99</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7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9"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Major components of the Company’s deferred tax assets (liabilities) at December 31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400" w:type="dxa"/>
            <w:vAlign w:val="bottom"/>
            <w:vMerge w:val="restart"/>
          </w:tcPr>
          <w:p>
            <w:pPr>
              <w:spacing w:after="0"/>
              <w:rPr>
                <w:sz w:val="20"/>
                <w:szCs w:val="20"/>
                <w:color w:val="auto"/>
              </w:rPr>
            </w:pPr>
            <w:r>
              <w:rPr>
                <w:rFonts w:ascii="Arial" w:cs="Arial" w:eastAsia="Arial" w:hAnsi="Arial"/>
                <w:sz w:val="20"/>
                <w:szCs w:val="20"/>
                <w:color w:val="auto"/>
              </w:rPr>
              <w:t>Deferred Tax Assets:</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2013</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2012</w:t>
            </w:r>
          </w:p>
        </w:tc>
        <w:tc>
          <w:tcPr>
            <w:tcW w:w="0" w:type="dxa"/>
            <w:vAlign w:val="bottom"/>
          </w:tcPr>
          <w:p>
            <w:pPr>
              <w:spacing w:after="0"/>
              <w:rPr>
                <w:sz w:val="1"/>
                <w:szCs w:val="1"/>
                <w:color w:val="auto"/>
              </w:rPr>
            </w:pPr>
          </w:p>
        </w:tc>
      </w:tr>
      <w:tr>
        <w:trPr>
          <w:trHeight w:val="193"/>
        </w:trPr>
        <w:tc>
          <w:tcPr>
            <w:tcW w:w="64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20"/>
                <w:szCs w:val="20"/>
                <w:color w:val="auto"/>
              </w:rPr>
              <w:t>Reserve for sales returns</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583</w:t>
            </w: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145</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20"/>
                <w:szCs w:val="20"/>
                <w:color w:val="auto"/>
              </w:rPr>
              <w:t>Reserve for doubtful accounts</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62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20"/>
                <w:szCs w:val="20"/>
                <w:color w:val="auto"/>
              </w:rPr>
              <w:t>Reserve for inventory obsolescence</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2,060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2,753</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20"/>
                <w:szCs w:val="20"/>
                <w:color w:val="auto"/>
              </w:rPr>
              <w:t>Reserve for marketing development fund</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9,470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4,595</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20"/>
                <w:szCs w:val="20"/>
                <w:color w:val="auto"/>
              </w:rPr>
              <w:t>Capitalization of inventory costs</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1,949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1,524</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20"/>
                <w:szCs w:val="20"/>
                <w:color w:val="auto"/>
              </w:rPr>
              <w:t>State franchise tax</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6,043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5,268</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20"/>
                <w:szCs w:val="20"/>
                <w:color w:val="auto"/>
              </w:rPr>
              <w:t>Accrued compensation</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867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20"/>
                <w:szCs w:val="20"/>
                <w:color w:val="auto"/>
              </w:rPr>
              <w:t>Accrued other liabilities</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4,871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1,825</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20"/>
                <w:szCs w:val="20"/>
                <w:color w:val="auto"/>
              </w:rPr>
              <w:t>Deferred revenue</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50,813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49,597</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20"/>
                <w:szCs w:val="20"/>
                <w:color w:val="auto"/>
              </w:rPr>
              <w:t>Stock-based compensation</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21,963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19,965</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20"/>
                <w:szCs w:val="20"/>
                <w:color w:val="auto"/>
              </w:rPr>
              <w:t>Securities impairment</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273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2,104</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20"/>
                <w:szCs w:val="20"/>
                <w:color w:val="auto"/>
              </w:rPr>
              <w:t>Foreign net operating loss carryforward</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19,346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13,529</w:t>
            </w:r>
          </w:p>
        </w:tc>
        <w:tc>
          <w:tcPr>
            <w:tcW w:w="0" w:type="dxa"/>
            <w:vAlign w:val="bottom"/>
          </w:tcPr>
          <w:p>
            <w:pPr>
              <w:spacing w:after="0"/>
              <w:rPr>
                <w:sz w:val="1"/>
                <w:szCs w:val="1"/>
                <w:color w:val="auto"/>
              </w:rPr>
            </w:pPr>
          </w:p>
        </w:tc>
      </w:tr>
      <w:tr>
        <w:trPr>
          <w:trHeight w:val="240"/>
        </w:trPr>
        <w:tc>
          <w:tcPr>
            <w:tcW w:w="6400" w:type="dxa"/>
            <w:vAlign w:val="bottom"/>
          </w:tcPr>
          <w:p>
            <w:pPr>
              <w:ind w:left="260"/>
              <w:spacing w:after="0"/>
              <w:rPr>
                <w:sz w:val="20"/>
                <w:szCs w:val="20"/>
                <w:color w:val="auto"/>
              </w:rPr>
            </w:pPr>
            <w:r>
              <w:rPr>
                <w:rFonts w:ascii="Arial" w:cs="Arial" w:eastAsia="Arial" w:hAnsi="Arial"/>
                <w:sz w:val="20"/>
                <w:szCs w:val="20"/>
                <w:color w:val="auto"/>
              </w:rPr>
              <w:t>Prepaid supplies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4,639</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2,008</w:t>
            </w:r>
          </w:p>
        </w:tc>
        <w:tc>
          <w:tcPr>
            <w:tcW w:w="0" w:type="dxa"/>
            <w:vAlign w:val="bottom"/>
          </w:tcPr>
          <w:p>
            <w:pPr>
              <w:spacing w:after="0"/>
              <w:rPr>
                <w:sz w:val="1"/>
                <w:szCs w:val="1"/>
                <w:color w:val="auto"/>
              </w:rPr>
            </w:pPr>
          </w:p>
        </w:tc>
      </w:tr>
      <w:tr>
        <w:trPr>
          <w:trHeight w:val="230"/>
        </w:trPr>
        <w:tc>
          <w:tcPr>
            <w:tcW w:w="6400" w:type="dxa"/>
            <w:vAlign w:val="bottom"/>
          </w:tcPr>
          <w:p>
            <w:pPr>
              <w:ind w:left="660"/>
              <w:spacing w:after="0" w:line="220" w:lineRule="exact"/>
              <w:rPr>
                <w:sz w:val="20"/>
                <w:szCs w:val="20"/>
                <w:color w:val="auto"/>
              </w:rPr>
            </w:pPr>
            <w:r>
              <w:rPr>
                <w:rFonts w:ascii="Arial" w:cs="Arial" w:eastAsia="Arial" w:hAnsi="Arial"/>
                <w:sz w:val="20"/>
                <w:szCs w:val="20"/>
                <w:color w:val="auto"/>
              </w:rPr>
              <w:t>Total gross deferred tax assets</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122,939</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103,390</w:t>
            </w:r>
          </w:p>
        </w:tc>
        <w:tc>
          <w:tcPr>
            <w:tcW w:w="0" w:type="dxa"/>
            <w:vAlign w:val="bottom"/>
          </w:tcPr>
          <w:p>
            <w:pPr>
              <w:spacing w:after="0"/>
              <w:rPr>
                <w:sz w:val="1"/>
                <w:szCs w:val="1"/>
                <w:color w:val="auto"/>
              </w:rPr>
            </w:pPr>
          </w:p>
        </w:tc>
      </w:tr>
      <w:tr>
        <w:trPr>
          <w:trHeight w:val="436"/>
        </w:trPr>
        <w:tc>
          <w:tcPr>
            <w:tcW w:w="640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20"/>
                <w:szCs w:val="20"/>
                <w:color w:val="auto"/>
              </w:rPr>
              <w:t>Amortization of trademarks</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(10,393)</w:t>
            </w: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(9,179)</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20"/>
                <w:szCs w:val="20"/>
                <w:color w:val="auto"/>
              </w:rPr>
              <w:t>Unrealized gain on available-for-sale investments</w:t>
            </w:r>
          </w:p>
        </w:tc>
        <w:tc>
          <w:tcPr>
            <w:tcW w:w="34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(1,006)</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20"/>
                <w:szCs w:val="20"/>
                <w:color w:val="auto"/>
              </w:rPr>
              <w:t>Amortization of graphic design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40"/>
        </w:trPr>
        <w:tc>
          <w:tcPr>
            <w:tcW w:w="6400" w:type="dxa"/>
            <w:vAlign w:val="bottom"/>
          </w:tcPr>
          <w:p>
            <w:pPr>
              <w:ind w:left="260"/>
              <w:spacing w:after="0"/>
              <w:rPr>
                <w:sz w:val="20"/>
                <w:szCs w:val="20"/>
                <w:color w:val="auto"/>
              </w:rPr>
            </w:pPr>
            <w:r>
              <w:rPr>
                <w:rFonts w:ascii="Arial" w:cs="Arial" w:eastAsia="Arial" w:hAnsi="Arial"/>
                <w:sz w:val="20"/>
                <w:szCs w:val="20"/>
                <w:color w:val="auto"/>
              </w:rPr>
              <w:t>Depreciation</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(5,828)</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(5,304)</w:t>
            </w:r>
          </w:p>
        </w:tc>
        <w:tc>
          <w:tcPr>
            <w:tcW w:w="0" w:type="dxa"/>
            <w:vAlign w:val="bottom"/>
          </w:tcPr>
          <w:p>
            <w:pPr>
              <w:spacing w:after="0"/>
              <w:rPr>
                <w:sz w:val="1"/>
                <w:szCs w:val="1"/>
                <w:color w:val="auto"/>
              </w:rPr>
            </w:pPr>
          </w:p>
        </w:tc>
      </w:tr>
      <w:tr>
        <w:trPr>
          <w:trHeight w:val="230"/>
        </w:trPr>
        <w:tc>
          <w:tcPr>
            <w:tcW w:w="6400" w:type="dxa"/>
            <w:vAlign w:val="bottom"/>
          </w:tcPr>
          <w:p>
            <w:pPr>
              <w:ind w:left="660"/>
              <w:spacing w:after="0" w:line="220" w:lineRule="exact"/>
              <w:rPr>
                <w:sz w:val="20"/>
                <w:szCs w:val="20"/>
                <w:color w:val="auto"/>
              </w:rPr>
            </w:pPr>
            <w:r>
              <w:rPr>
                <w:rFonts w:ascii="Arial" w:cs="Arial" w:eastAsia="Arial" w:hAnsi="Arial"/>
                <w:sz w:val="20"/>
                <w:szCs w:val="20"/>
                <w:color w:val="auto"/>
              </w:rPr>
              <w:t>Total gross deferred tax liabilities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(16,315)</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(15,570)</w:t>
            </w:r>
          </w:p>
        </w:tc>
        <w:tc>
          <w:tcPr>
            <w:tcW w:w="0" w:type="dxa"/>
            <w:vAlign w:val="bottom"/>
          </w:tcPr>
          <w:p>
            <w:pPr>
              <w:spacing w:after="0"/>
              <w:rPr>
                <w:sz w:val="1"/>
                <w:szCs w:val="1"/>
                <w:color w:val="auto"/>
              </w:rPr>
            </w:pPr>
          </w:p>
        </w:tc>
      </w:tr>
      <w:tr>
        <w:trPr>
          <w:trHeight w:val="457"/>
        </w:trPr>
        <w:tc>
          <w:tcPr>
            <w:tcW w:w="6400" w:type="dxa"/>
            <w:vAlign w:val="bottom"/>
          </w:tcPr>
          <w:p>
            <w:pPr>
              <w:ind w:left="260"/>
              <w:spacing w:after="0"/>
              <w:rPr>
                <w:sz w:val="20"/>
                <w:szCs w:val="20"/>
                <w:color w:val="auto"/>
              </w:rPr>
            </w:pPr>
            <w:r>
              <w:rPr>
                <w:rFonts w:ascii="Arial" w:cs="Arial" w:eastAsia="Arial" w:hAnsi="Arial"/>
                <w:sz w:val="20"/>
                <w:szCs w:val="20"/>
                <w:color w:val="auto"/>
              </w:rPr>
              <w:t>Valuation Allowance</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(22,089)</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(11,316)</w:t>
            </w:r>
          </w:p>
        </w:tc>
        <w:tc>
          <w:tcPr>
            <w:tcW w:w="0" w:type="dxa"/>
            <w:vAlign w:val="bottom"/>
          </w:tcPr>
          <w:p>
            <w:pPr>
              <w:spacing w:after="0"/>
              <w:rPr>
                <w:sz w:val="1"/>
                <w:szCs w:val="1"/>
                <w:color w:val="auto"/>
              </w:rPr>
            </w:pPr>
          </w:p>
        </w:tc>
      </w:tr>
      <w:tr>
        <w:trPr>
          <w:trHeight w:val="226"/>
        </w:trPr>
        <w:tc>
          <w:tcPr>
            <w:tcW w:w="6400" w:type="dxa"/>
            <w:vAlign w:val="bottom"/>
            <w:vMerge w:val="restart"/>
          </w:tcPr>
          <w:p>
            <w:pPr>
              <w:ind w:left="660"/>
              <w:spacing w:after="0"/>
              <w:rPr>
                <w:sz w:val="20"/>
                <w:szCs w:val="20"/>
                <w:color w:val="auto"/>
              </w:rPr>
            </w:pPr>
            <w:r>
              <w:rPr>
                <w:rFonts w:ascii="Arial" w:cs="Arial" w:eastAsia="Arial" w:hAnsi="Arial"/>
                <w:sz w:val="20"/>
                <w:szCs w:val="20"/>
                <w:color w:val="auto"/>
              </w:rPr>
              <w:t>Net deferred tax assets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84,535</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76,504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8"/>
          <w:szCs w:val="18"/>
          <w:color w:val="auto"/>
        </w:rPr>
        <w:t>During the years ended December 31, 2013, 2012 and 2011, the Company established full valuation allowances against deferred tax assets, resulting from cumulative net operating losses incurred by certain foreign subsidiaries of the Company. The effect of the valuation allowances and their related impact on the Company’s overall tax rate was to increase the Company’s provision for income taxes by $10.8 million, $6.1 million, and $1.8 million for the years ended December 31, 2013, 2012 and 2011, respectively. At December 31, 2013, the</w:t>
      </w:r>
    </w:p>
    <w:p>
      <w:pPr>
        <w:sectPr>
          <w:pgSz w:w="11900" w:h="16895" w:orient="portrait"/>
          <w:cols w:equalWidth="0" w:num="1">
            <w:col w:w="11460"/>
          </w:cols>
          <w:pgMar w:left="240" w:top="115" w:right="199" w:bottom="0" w:gutter="0" w:footer="0" w:header="0"/>
        </w:sectPr>
      </w:pPr>
    </w:p>
    <w:bookmarkStart w:id="65" w:name="page66"/>
    <w:bookmarkEnd w:id="65"/>
    <w:p>
      <w:pPr>
        <w:spacing w:after="0" w:line="262" w:lineRule="auto"/>
        <w:rPr>
          <w:sz w:val="20"/>
          <w:szCs w:val="20"/>
          <w:color w:val="auto"/>
        </w:rPr>
      </w:pPr>
      <w:r>
        <w:rPr>
          <w:rFonts w:ascii="Arial" w:cs="Arial" w:eastAsia="Arial" w:hAnsi="Arial"/>
          <w:sz w:val="20"/>
          <w:szCs w:val="20"/>
          <w:color w:val="auto"/>
        </w:rPr>
        <w:t>Company had net operating loss carryforwards of approximately $95.1 million. Of this amount, $73.9 million may be carried forward indefinitely. The remaining $21.2 million will begin to expire in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years ended December 31, 2013, 2012 and 2011:</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jc w:val="right"/>
              <w:ind w:right="341"/>
              <w:spacing w:after="0"/>
              <w:rPr>
                <w:sz w:val="20"/>
                <w:szCs w:val="20"/>
                <w:color w:val="auto"/>
              </w:rPr>
            </w:pPr>
            <w:r>
              <w:rPr>
                <w:rFonts w:ascii="Arial" w:cs="Arial" w:eastAsia="Arial" w:hAnsi="Arial"/>
                <w:sz w:val="20"/>
                <w:szCs w:val="20"/>
                <w:b w:val="1"/>
                <w:bCs w:val="1"/>
                <w:color w:val="auto"/>
                <w:w w:val="94"/>
              </w:rPr>
              <w:t>Gross Unrealized Tax</w:t>
            </w:r>
          </w:p>
        </w:tc>
        <w:tc>
          <w:tcPr>
            <w:tcW w:w="0" w:type="dxa"/>
            <w:vAlign w:val="bottom"/>
          </w:tcPr>
          <w:p>
            <w:pPr>
              <w:spacing w:after="0"/>
              <w:rPr>
                <w:sz w:val="1"/>
                <w:szCs w:val="1"/>
                <w:color w:val="auto"/>
              </w:rPr>
            </w:pPr>
          </w:p>
        </w:tc>
      </w:tr>
      <w:tr>
        <w:trPr>
          <w:trHeight w:val="252"/>
        </w:trPr>
        <w:tc>
          <w:tcPr>
            <w:tcW w:w="4380" w:type="dxa"/>
            <w:vAlign w:val="bottom"/>
            <w:vMerge w:val="restart"/>
          </w:tcPr>
          <w:p>
            <w:pPr>
              <w:spacing w:after="0"/>
              <w:rPr>
                <w:sz w:val="20"/>
                <w:szCs w:val="20"/>
                <w:color w:val="auto"/>
              </w:rPr>
            </w:pPr>
            <w:r>
              <w:rPr>
                <w:rFonts w:ascii="Arial" w:cs="Arial" w:eastAsia="Arial" w:hAnsi="Arial"/>
                <w:sz w:val="20"/>
                <w:szCs w:val="20"/>
                <w:b w:val="1"/>
                <w:bCs w:val="1"/>
                <w:color w:val="auto"/>
              </w:rPr>
              <w:t>Balance at January 1, 2011</w:t>
            </w:r>
          </w:p>
        </w:tc>
        <w:tc>
          <w:tcPr>
            <w:tcW w:w="32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b w:val="1"/>
                <w:bCs w:val="1"/>
                <w:color w:val="auto"/>
              </w:rPr>
              <w:t>Benefits</w:t>
            </w:r>
          </w:p>
        </w:tc>
        <w:tc>
          <w:tcPr>
            <w:tcW w:w="0" w:type="dxa"/>
            <w:vAlign w:val="bottom"/>
          </w:tcPr>
          <w:p>
            <w:pPr>
              <w:spacing w:after="0"/>
              <w:rPr>
                <w:sz w:val="1"/>
                <w:szCs w:val="1"/>
                <w:color w:val="auto"/>
              </w:rPr>
            </w:pPr>
          </w:p>
        </w:tc>
      </w:tr>
      <w:tr>
        <w:trPr>
          <w:trHeight w:val="206"/>
        </w:trPr>
        <w:tc>
          <w:tcPr>
            <w:tcW w:w="4380" w:type="dxa"/>
            <w:vAlign w:val="bottom"/>
            <w:vMerge w:val="continue"/>
          </w:tcPr>
          <w:p>
            <w:pPr>
              <w:spacing w:after="0"/>
              <w:rPr>
                <w:sz w:val="17"/>
                <w:szCs w:val="17"/>
                <w:color w:val="auto"/>
              </w:rPr>
            </w:pPr>
          </w:p>
        </w:tc>
        <w:tc>
          <w:tcPr>
            <w:tcW w:w="3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24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465</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20"/>
                <w:szCs w:val="20"/>
                <w:color w:val="auto"/>
              </w:rPr>
              <w:t>Additions for tax positions related to the</w:t>
            </w: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20"/>
                <w:szCs w:val="20"/>
                <w:color w:val="auto"/>
              </w:rPr>
              <w:t>current year</w:t>
            </w:r>
          </w:p>
        </w:tc>
        <w:tc>
          <w:tcPr>
            <w:tcW w:w="320" w:type="dxa"/>
            <w:vAlign w:val="bottom"/>
          </w:tcPr>
          <w:p>
            <w:pPr>
              <w:spacing w:after="0"/>
              <w:rPr>
                <w:sz w:val="19"/>
                <w:szCs w:val="19"/>
                <w:color w:val="auto"/>
              </w:rPr>
            </w:pPr>
          </w:p>
        </w:tc>
        <w:tc>
          <w:tcPr>
            <w:tcW w:w="24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20"/>
                <w:szCs w:val="20"/>
                <w:color w:val="auto"/>
              </w:rPr>
              <w:t>Additions for tax positions related to the</w:t>
            </w: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20"/>
                <w:szCs w:val="20"/>
                <w:color w:val="auto"/>
              </w:rPr>
              <w:t>prior year</w:t>
            </w:r>
          </w:p>
        </w:tc>
        <w:tc>
          <w:tcPr>
            <w:tcW w:w="320" w:type="dxa"/>
            <w:vAlign w:val="bottom"/>
          </w:tcPr>
          <w:p>
            <w:pPr>
              <w:spacing w:after="0"/>
              <w:rPr>
                <w:sz w:val="19"/>
                <w:szCs w:val="19"/>
                <w:color w:val="auto"/>
              </w:rPr>
            </w:pPr>
          </w:p>
        </w:tc>
        <w:tc>
          <w:tcPr>
            <w:tcW w:w="2400" w:type="dxa"/>
            <w:vAlign w:val="bottom"/>
          </w:tcPr>
          <w:p>
            <w:pPr>
              <w:jc w:val="right"/>
              <w:ind w:right="21"/>
              <w:spacing w:after="0"/>
              <w:rPr>
                <w:sz w:val="20"/>
                <w:szCs w:val="20"/>
                <w:color w:val="auto"/>
              </w:rPr>
            </w:pPr>
            <w:r>
              <w:rPr>
                <w:rFonts w:ascii="Arial" w:cs="Arial" w:eastAsia="Arial" w:hAnsi="Arial"/>
                <w:sz w:val="20"/>
                <w:szCs w:val="20"/>
                <w:color w:val="auto"/>
              </w:rPr>
              <w:t>1,445</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20"/>
                <w:szCs w:val="20"/>
                <w:color w:val="auto"/>
              </w:rPr>
              <w:t>Decreases for tax positions related to prior</w:t>
            </w: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80" w:type="dxa"/>
            <w:vAlign w:val="bottom"/>
          </w:tcPr>
          <w:p>
            <w:pPr>
              <w:ind w:left="180"/>
              <w:spacing w:after="0" w:line="224" w:lineRule="exact"/>
              <w:rPr>
                <w:sz w:val="20"/>
                <w:szCs w:val="20"/>
                <w:color w:val="auto"/>
              </w:rPr>
            </w:pPr>
            <w:r>
              <w:rPr>
                <w:rFonts w:ascii="Arial" w:cs="Arial" w:eastAsia="Arial" w:hAnsi="Arial"/>
                <w:sz w:val="20"/>
                <w:szCs w:val="20"/>
                <w:color w:val="auto"/>
              </w:rPr>
              <w:t>years</w:t>
            </w:r>
          </w:p>
        </w:tc>
        <w:tc>
          <w:tcPr>
            <w:tcW w:w="320" w:type="dxa"/>
            <w:vAlign w:val="bottom"/>
          </w:tcPr>
          <w:p>
            <w:pPr>
              <w:spacing w:after="0"/>
              <w:rPr>
                <w:sz w:val="19"/>
                <w:szCs w:val="19"/>
                <w:color w:val="auto"/>
              </w:rPr>
            </w:pPr>
          </w:p>
        </w:tc>
        <w:tc>
          <w:tcPr>
            <w:tcW w:w="2400" w:type="dxa"/>
            <w:vAlign w:val="bottom"/>
          </w:tcPr>
          <w:p>
            <w:pPr>
              <w:jc w:val="right"/>
              <w:ind w:right="221"/>
              <w:spacing w:after="0" w:line="224"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380" w:type="dxa"/>
            <w:vAlign w:val="bottom"/>
            <w:vMerge w:val="restart"/>
          </w:tcPr>
          <w:p>
            <w:pPr>
              <w:spacing w:after="0"/>
              <w:rPr>
                <w:sz w:val="20"/>
                <w:szCs w:val="20"/>
                <w:color w:val="auto"/>
              </w:rPr>
            </w:pPr>
            <w:r>
              <w:rPr>
                <w:rFonts w:ascii="Arial" w:cs="Arial" w:eastAsia="Arial" w:hAnsi="Arial"/>
                <w:sz w:val="20"/>
                <w:szCs w:val="20"/>
                <w:b w:val="1"/>
                <w:bCs w:val="1"/>
                <w:color w:val="auto"/>
              </w:rPr>
              <w:t>Balance at December 31, 2011</w:t>
            </w:r>
          </w:p>
        </w:tc>
        <w:tc>
          <w:tcPr>
            <w:tcW w:w="3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38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2400" w:type="dxa"/>
            <w:vAlign w:val="bottom"/>
            <w:tcBorders>
              <w:bottom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1,910</w:t>
            </w:r>
          </w:p>
        </w:tc>
        <w:tc>
          <w:tcPr>
            <w:tcW w:w="0" w:type="dxa"/>
            <w:vAlign w:val="bottom"/>
          </w:tcPr>
          <w:p>
            <w:pPr>
              <w:spacing w:after="0"/>
              <w:rPr>
                <w:sz w:val="1"/>
                <w:szCs w:val="1"/>
                <w:color w:val="auto"/>
              </w:rPr>
            </w:pPr>
          </w:p>
        </w:tc>
      </w:tr>
      <w:tr>
        <w:trPr>
          <w:trHeight w:val="199"/>
        </w:trPr>
        <w:tc>
          <w:tcPr>
            <w:tcW w:w="4380" w:type="dxa"/>
            <w:vAlign w:val="bottom"/>
          </w:tcPr>
          <w:p>
            <w:pPr>
              <w:spacing w:after="0" w:line="199" w:lineRule="exact"/>
              <w:rPr>
                <w:sz w:val="20"/>
                <w:szCs w:val="20"/>
                <w:color w:val="auto"/>
              </w:rPr>
            </w:pPr>
            <w:r>
              <w:rPr>
                <w:rFonts w:ascii="Arial" w:cs="Arial" w:eastAsia="Arial" w:hAnsi="Arial"/>
                <w:sz w:val="20"/>
                <w:szCs w:val="20"/>
                <w:color w:val="auto"/>
              </w:rPr>
              <w:t>Additions for tax positions related to the</w:t>
            </w:r>
          </w:p>
        </w:tc>
        <w:tc>
          <w:tcPr>
            <w:tcW w:w="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20"/>
                <w:szCs w:val="20"/>
                <w:color w:val="auto"/>
              </w:rPr>
              <w:t>current year</w:t>
            </w:r>
          </w:p>
        </w:tc>
        <w:tc>
          <w:tcPr>
            <w:tcW w:w="320" w:type="dxa"/>
            <w:vAlign w:val="bottom"/>
          </w:tcPr>
          <w:p>
            <w:pPr>
              <w:spacing w:after="0"/>
              <w:rPr>
                <w:sz w:val="19"/>
                <w:szCs w:val="19"/>
                <w:color w:val="auto"/>
              </w:rPr>
            </w:pPr>
          </w:p>
        </w:tc>
        <w:tc>
          <w:tcPr>
            <w:tcW w:w="24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20"/>
                <w:szCs w:val="20"/>
                <w:color w:val="auto"/>
              </w:rPr>
              <w:t>Additions for tax positions related to the</w:t>
            </w: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20"/>
                <w:szCs w:val="20"/>
                <w:color w:val="auto"/>
              </w:rPr>
              <w:t>prior year</w:t>
            </w:r>
          </w:p>
        </w:tc>
        <w:tc>
          <w:tcPr>
            <w:tcW w:w="320" w:type="dxa"/>
            <w:vAlign w:val="bottom"/>
          </w:tcPr>
          <w:p>
            <w:pPr>
              <w:spacing w:after="0"/>
              <w:rPr>
                <w:sz w:val="19"/>
                <w:szCs w:val="19"/>
                <w:color w:val="auto"/>
              </w:rPr>
            </w:pPr>
          </w:p>
        </w:tc>
        <w:tc>
          <w:tcPr>
            <w:tcW w:w="2400" w:type="dxa"/>
            <w:vAlign w:val="bottom"/>
          </w:tcPr>
          <w:p>
            <w:pPr>
              <w:jc w:val="right"/>
              <w:ind w:right="21"/>
              <w:spacing w:after="0"/>
              <w:rPr>
                <w:sz w:val="20"/>
                <w:szCs w:val="20"/>
                <w:color w:val="auto"/>
              </w:rPr>
            </w:pPr>
            <w:r>
              <w:rPr>
                <w:rFonts w:ascii="Arial" w:cs="Arial" w:eastAsia="Arial" w:hAnsi="Arial"/>
                <w:sz w:val="20"/>
                <w:szCs w:val="20"/>
                <w:color w:val="auto"/>
              </w:rPr>
              <w:t>520</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20"/>
                <w:szCs w:val="20"/>
                <w:color w:val="auto"/>
              </w:rPr>
              <w:t>Decreases for tax positions related to prior</w:t>
            </w: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80" w:type="dxa"/>
            <w:vAlign w:val="bottom"/>
          </w:tcPr>
          <w:p>
            <w:pPr>
              <w:ind w:left="180"/>
              <w:spacing w:after="0" w:line="224" w:lineRule="exact"/>
              <w:rPr>
                <w:sz w:val="20"/>
                <w:szCs w:val="20"/>
                <w:color w:val="auto"/>
              </w:rPr>
            </w:pPr>
            <w:r>
              <w:rPr>
                <w:rFonts w:ascii="Arial" w:cs="Arial" w:eastAsia="Arial" w:hAnsi="Arial"/>
                <w:sz w:val="20"/>
                <w:szCs w:val="20"/>
                <w:color w:val="auto"/>
              </w:rPr>
              <w:t>years</w:t>
            </w:r>
          </w:p>
        </w:tc>
        <w:tc>
          <w:tcPr>
            <w:tcW w:w="320" w:type="dxa"/>
            <w:vAlign w:val="bottom"/>
          </w:tcPr>
          <w:p>
            <w:pPr>
              <w:spacing w:after="0"/>
              <w:rPr>
                <w:sz w:val="19"/>
                <w:szCs w:val="19"/>
                <w:color w:val="auto"/>
              </w:rPr>
            </w:pPr>
          </w:p>
        </w:tc>
        <w:tc>
          <w:tcPr>
            <w:tcW w:w="2400" w:type="dxa"/>
            <w:vAlign w:val="bottom"/>
          </w:tcPr>
          <w:p>
            <w:pPr>
              <w:jc w:val="right"/>
              <w:spacing w:after="0" w:line="224" w:lineRule="exact"/>
              <w:rPr>
                <w:sz w:val="20"/>
                <w:szCs w:val="20"/>
                <w:color w:val="auto"/>
              </w:rPr>
            </w:pPr>
            <w:r>
              <w:rPr>
                <w:rFonts w:ascii="Arial" w:cs="Arial" w:eastAsia="Arial" w:hAnsi="Arial"/>
                <w:sz w:val="20"/>
                <w:szCs w:val="20"/>
                <w:color w:val="auto"/>
              </w:rPr>
              <w:t>(1,504)</w:t>
            </w:r>
          </w:p>
        </w:tc>
        <w:tc>
          <w:tcPr>
            <w:tcW w:w="0" w:type="dxa"/>
            <w:vAlign w:val="bottom"/>
          </w:tcPr>
          <w:p>
            <w:pPr>
              <w:spacing w:after="0"/>
              <w:rPr>
                <w:sz w:val="1"/>
                <w:szCs w:val="1"/>
                <w:color w:val="auto"/>
              </w:rPr>
            </w:pPr>
          </w:p>
        </w:tc>
      </w:tr>
      <w:tr>
        <w:trPr>
          <w:trHeight w:val="23"/>
        </w:trPr>
        <w:tc>
          <w:tcPr>
            <w:tcW w:w="4380" w:type="dxa"/>
            <w:vAlign w:val="bottom"/>
            <w:vMerge w:val="restart"/>
          </w:tcPr>
          <w:p>
            <w:pPr>
              <w:spacing w:after="0"/>
              <w:rPr>
                <w:sz w:val="20"/>
                <w:szCs w:val="20"/>
                <w:color w:val="auto"/>
              </w:rPr>
            </w:pPr>
            <w:r>
              <w:rPr>
                <w:rFonts w:ascii="Arial" w:cs="Arial" w:eastAsia="Arial" w:hAnsi="Arial"/>
                <w:sz w:val="20"/>
                <w:szCs w:val="20"/>
                <w:b w:val="1"/>
                <w:bCs w:val="1"/>
                <w:color w:val="auto"/>
              </w:rPr>
              <w:t>Balance at December 31, 2012</w:t>
            </w:r>
          </w:p>
        </w:tc>
        <w:tc>
          <w:tcPr>
            <w:tcW w:w="3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4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926</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line="207" w:lineRule="exact"/>
              <w:rPr>
                <w:sz w:val="20"/>
                <w:szCs w:val="20"/>
                <w:color w:val="auto"/>
              </w:rPr>
            </w:pPr>
            <w:r>
              <w:rPr>
                <w:rFonts w:ascii="Arial" w:cs="Arial" w:eastAsia="Arial" w:hAnsi="Arial"/>
                <w:sz w:val="20"/>
                <w:szCs w:val="20"/>
                <w:color w:val="auto"/>
              </w:rPr>
              <w:t>Additions for tax positions related to the</w:t>
            </w:r>
          </w:p>
        </w:tc>
        <w:tc>
          <w:tcPr>
            <w:tcW w:w="3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20"/>
                <w:szCs w:val="20"/>
                <w:color w:val="auto"/>
              </w:rPr>
              <w:t>current year</w:t>
            </w:r>
          </w:p>
        </w:tc>
        <w:tc>
          <w:tcPr>
            <w:tcW w:w="320" w:type="dxa"/>
            <w:vAlign w:val="bottom"/>
          </w:tcPr>
          <w:p>
            <w:pPr>
              <w:spacing w:after="0"/>
              <w:rPr>
                <w:sz w:val="19"/>
                <w:szCs w:val="19"/>
                <w:color w:val="auto"/>
              </w:rPr>
            </w:pPr>
          </w:p>
        </w:tc>
        <w:tc>
          <w:tcPr>
            <w:tcW w:w="24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20"/>
                <w:szCs w:val="20"/>
                <w:color w:val="auto"/>
              </w:rPr>
              <w:t>Additions for tax positions related to the</w:t>
            </w: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20"/>
                <w:szCs w:val="20"/>
                <w:color w:val="auto"/>
              </w:rPr>
              <w:t>prior year</w:t>
            </w:r>
          </w:p>
        </w:tc>
        <w:tc>
          <w:tcPr>
            <w:tcW w:w="320" w:type="dxa"/>
            <w:vAlign w:val="bottom"/>
          </w:tcPr>
          <w:p>
            <w:pPr>
              <w:spacing w:after="0"/>
              <w:rPr>
                <w:sz w:val="19"/>
                <w:szCs w:val="19"/>
                <w:color w:val="auto"/>
              </w:rPr>
            </w:pPr>
          </w:p>
        </w:tc>
        <w:tc>
          <w:tcPr>
            <w:tcW w:w="2400" w:type="dxa"/>
            <w:vAlign w:val="bottom"/>
          </w:tcPr>
          <w:p>
            <w:pPr>
              <w:jc w:val="right"/>
              <w:ind w:right="21"/>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20"/>
                <w:szCs w:val="20"/>
                <w:color w:val="auto"/>
              </w:rPr>
              <w:t>Decreases for tax positions related to prior</w:t>
            </w: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80" w:type="dxa"/>
            <w:vAlign w:val="bottom"/>
          </w:tcPr>
          <w:p>
            <w:pPr>
              <w:ind w:left="180"/>
              <w:spacing w:after="0" w:line="224" w:lineRule="exact"/>
              <w:rPr>
                <w:sz w:val="20"/>
                <w:szCs w:val="20"/>
                <w:color w:val="auto"/>
              </w:rPr>
            </w:pPr>
            <w:r>
              <w:rPr>
                <w:rFonts w:ascii="Arial" w:cs="Arial" w:eastAsia="Arial" w:hAnsi="Arial"/>
                <w:sz w:val="20"/>
                <w:szCs w:val="20"/>
                <w:color w:val="auto"/>
              </w:rPr>
              <w:t>years</w:t>
            </w:r>
          </w:p>
        </w:tc>
        <w:tc>
          <w:tcPr>
            <w:tcW w:w="320" w:type="dxa"/>
            <w:vAlign w:val="bottom"/>
          </w:tcPr>
          <w:p>
            <w:pPr>
              <w:spacing w:after="0"/>
              <w:rPr>
                <w:sz w:val="19"/>
                <w:szCs w:val="19"/>
                <w:color w:val="auto"/>
              </w:rPr>
            </w:pPr>
          </w:p>
        </w:tc>
        <w:tc>
          <w:tcPr>
            <w:tcW w:w="2400" w:type="dxa"/>
            <w:vAlign w:val="bottom"/>
          </w:tcPr>
          <w:p>
            <w:pPr>
              <w:jc w:val="right"/>
              <w:ind w:right="221"/>
              <w:spacing w:after="0" w:line="224"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380" w:type="dxa"/>
            <w:vAlign w:val="bottom"/>
            <w:vMerge w:val="restart"/>
          </w:tcPr>
          <w:p>
            <w:pPr>
              <w:spacing w:after="0"/>
              <w:rPr>
                <w:sz w:val="20"/>
                <w:szCs w:val="20"/>
                <w:color w:val="auto"/>
              </w:rPr>
            </w:pPr>
            <w:r>
              <w:rPr>
                <w:rFonts w:ascii="Arial" w:cs="Arial" w:eastAsia="Arial" w:hAnsi="Arial"/>
                <w:sz w:val="20"/>
                <w:szCs w:val="20"/>
                <w:b w:val="1"/>
                <w:bCs w:val="1"/>
                <w:color w:val="auto"/>
              </w:rPr>
              <w:t>Balance at December 31, 2013</w:t>
            </w:r>
          </w:p>
        </w:tc>
        <w:tc>
          <w:tcPr>
            <w:tcW w:w="3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4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935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condensed consolidated financial statements. As of December 31, 2013, the Company had accrued approximately $0.4 million in interest and penalties related to unrecognized tax benefits. If the Company were to prevail on all uncertain tax positions it would not have a significant impact on the Company’s effective tax rate.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 is expected that the amount of unrecognized tax benefits will not significantly change within the next 12 months.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On March 8, 2013, the Internal Revenue Service (“IRS”) began its examination of the Company’s U.S. federal income tax returns for the years ended December 31, 2010 and 2011. The Company is also in various stages of examination with certain states.</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 Federal income tax returns are subject to IRS examination for the 2010, 2011 and 2012 tax years. State income tax returns are subject to examination for the 2009 through 2012 tax years.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5"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A reconciliation of the weighted average shares used in the basic and diluted earnings per common share computations for the years ended December 31, 2013, 2012 and 2011 is presented below (in thousands):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880" w:type="dxa"/>
            <w:vAlign w:val="bottom"/>
            <w:vMerge w:val="restart"/>
          </w:tcPr>
          <w:p>
            <w:pPr>
              <w:spacing w:after="0"/>
              <w:rPr>
                <w:sz w:val="20"/>
                <w:szCs w:val="20"/>
                <w:color w:val="auto"/>
              </w:rPr>
            </w:pPr>
            <w:r>
              <w:rPr>
                <w:rFonts w:ascii="Arial" w:cs="Arial" w:eastAsia="Arial" w:hAnsi="Arial"/>
                <w:sz w:val="19"/>
                <w:szCs w:val="19"/>
                <w:color w:val="auto"/>
              </w:rPr>
              <w:t>Weighted-average shares outstanding:</w:t>
            </w:r>
          </w:p>
        </w:tc>
        <w:tc>
          <w:tcPr>
            <w:tcW w:w="136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2013</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2012</w:t>
            </w:r>
          </w:p>
        </w:tc>
        <w:tc>
          <w:tcPr>
            <w:tcW w:w="280" w:type="dxa"/>
            <w:vAlign w:val="bottom"/>
          </w:tcPr>
          <w:p>
            <w:pPr>
              <w:spacing w:after="0"/>
              <w:rPr>
                <w:sz w:val="20"/>
                <w:szCs w:val="20"/>
                <w:color w:val="auto"/>
              </w:rPr>
            </w:pPr>
          </w:p>
        </w:tc>
        <w:tc>
          <w:tcPr>
            <w:tcW w:w="138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2011</w:t>
            </w:r>
          </w:p>
        </w:tc>
        <w:tc>
          <w:tcPr>
            <w:tcW w:w="0" w:type="dxa"/>
            <w:vAlign w:val="bottom"/>
          </w:tcPr>
          <w:p>
            <w:pPr>
              <w:spacing w:after="0"/>
              <w:rPr>
                <w:sz w:val="1"/>
                <w:szCs w:val="1"/>
                <w:color w:val="auto"/>
              </w:rPr>
            </w:pPr>
          </w:p>
        </w:tc>
      </w:tr>
      <w:tr>
        <w:trPr>
          <w:trHeight w:val="174"/>
        </w:trPr>
        <w:tc>
          <w:tcPr>
            <w:tcW w:w="588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880" w:type="dxa"/>
            <w:vAlign w:val="bottom"/>
          </w:tcPr>
          <w:p>
            <w:pPr>
              <w:ind w:left="880"/>
              <w:spacing w:after="0"/>
              <w:rPr>
                <w:sz w:val="20"/>
                <w:szCs w:val="20"/>
                <w:color w:val="auto"/>
              </w:rPr>
            </w:pPr>
            <w:r>
              <w:rPr>
                <w:rFonts w:ascii="Arial" w:cs="Arial" w:eastAsia="Arial" w:hAnsi="Arial"/>
                <w:sz w:val="19"/>
                <w:szCs w:val="19"/>
                <w:color w:val="auto"/>
              </w:rPr>
              <w:t>Basic</w:t>
            </w:r>
          </w:p>
        </w:tc>
        <w:tc>
          <w:tcPr>
            <w:tcW w:w="1360" w:type="dxa"/>
            <w:vAlign w:val="bottom"/>
          </w:tcPr>
          <w:p>
            <w:pPr>
              <w:jc w:val="right"/>
              <w:ind w:right="25"/>
              <w:spacing w:after="0"/>
              <w:rPr>
                <w:sz w:val="20"/>
                <w:szCs w:val="20"/>
                <w:color w:val="auto"/>
              </w:rPr>
            </w:pPr>
            <w:r>
              <w:rPr>
                <w:rFonts w:ascii="Arial" w:cs="Arial" w:eastAsia="Arial" w:hAnsi="Arial"/>
                <w:sz w:val="19"/>
                <w:szCs w:val="19"/>
                <w:color w:val="auto"/>
              </w:rPr>
              <w:t>166,679</w:t>
            </w:r>
          </w:p>
        </w:tc>
        <w:tc>
          <w:tcPr>
            <w:tcW w:w="280" w:type="dxa"/>
            <w:vAlign w:val="bottom"/>
          </w:tcPr>
          <w:p>
            <w:pPr>
              <w:spacing w:after="0"/>
              <w:rPr>
                <w:sz w:val="20"/>
                <w:szCs w:val="20"/>
                <w:color w:val="auto"/>
              </w:rPr>
            </w:pPr>
          </w:p>
        </w:tc>
        <w:tc>
          <w:tcPr>
            <w:tcW w:w="1360" w:type="dxa"/>
            <w:vAlign w:val="bottom"/>
          </w:tcPr>
          <w:p>
            <w:pPr>
              <w:jc w:val="right"/>
              <w:ind w:right="25"/>
              <w:spacing w:after="0"/>
              <w:rPr>
                <w:sz w:val="20"/>
                <w:szCs w:val="20"/>
                <w:color w:val="auto"/>
              </w:rPr>
            </w:pPr>
            <w:r>
              <w:rPr>
                <w:rFonts w:ascii="Arial" w:cs="Arial" w:eastAsia="Arial" w:hAnsi="Arial"/>
                <w:sz w:val="19"/>
                <w:szCs w:val="19"/>
                <w:color w:val="auto"/>
              </w:rPr>
              <w:t>173,712</w:t>
            </w:r>
          </w:p>
        </w:tc>
        <w:tc>
          <w:tcPr>
            <w:tcW w:w="280" w:type="dxa"/>
            <w:vAlign w:val="bottom"/>
          </w:tcPr>
          <w:p>
            <w:pPr>
              <w:spacing w:after="0"/>
              <w:rPr>
                <w:sz w:val="20"/>
                <w:szCs w:val="20"/>
                <w:color w:val="auto"/>
              </w:rPr>
            </w:pPr>
          </w:p>
        </w:tc>
        <w:tc>
          <w:tcPr>
            <w:tcW w:w="1380" w:type="dxa"/>
            <w:vAlign w:val="bottom"/>
          </w:tcPr>
          <w:p>
            <w:pPr>
              <w:jc w:val="right"/>
              <w:ind w:right="25"/>
              <w:spacing w:after="0"/>
              <w:rPr>
                <w:sz w:val="20"/>
                <w:szCs w:val="20"/>
                <w:color w:val="auto"/>
              </w:rPr>
            </w:pPr>
            <w:r>
              <w:rPr>
                <w:rFonts w:ascii="Arial" w:cs="Arial" w:eastAsia="Arial" w:hAnsi="Arial"/>
                <w:sz w:val="19"/>
                <w:szCs w:val="19"/>
                <w:color w:val="auto"/>
              </w:rPr>
              <w:t>176,212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0" w:gutter="0" w:footer="0" w:header="0"/>
        </w:sectPr>
      </w:pPr>
    </w:p>
    <w:bookmarkStart w:id="66" w:name="page67"/>
    <w:bookmarkEnd w:id="66"/>
    <w:p>
      <w:pPr>
        <w:spacing w:after="0" w:line="1" w:lineRule="exact"/>
        <w:rPr>
          <w:sz w:val="20"/>
          <w:szCs w:val="20"/>
          <w:color w:val="auto"/>
        </w:rPr>
      </w:pPr>
    </w:p>
    <w:tbl>
      <w:tblPr>
        <w:tblLayout w:type="fixed"/>
        <w:tblInd w:w="1540" w:type="dxa"/>
        <w:tblCellMar>
          <w:top w:w="0" w:type="dxa"/>
          <w:left w:w="0" w:type="dxa"/>
          <w:bottom w:w="0" w:type="dxa"/>
          <w:right w:w="0" w:type="dxa"/>
        </w:tblCellMar>
      </w:tblPr>
      <w:tr>
        <w:trPr>
          <w:trHeight w:val="218"/>
        </w:trPr>
        <w:tc>
          <w:tcPr>
            <w:tcW w:w="5000" w:type="dxa"/>
            <w:vAlign w:val="bottom"/>
          </w:tcPr>
          <w:p>
            <w:pPr>
              <w:spacing w:after="0"/>
              <w:rPr>
                <w:sz w:val="20"/>
                <w:szCs w:val="20"/>
                <w:color w:val="auto"/>
              </w:rPr>
            </w:pPr>
            <w:r>
              <w:rPr>
                <w:rFonts w:ascii="Arial" w:cs="Arial" w:eastAsia="Arial" w:hAnsi="Arial"/>
                <w:sz w:val="19"/>
                <w:szCs w:val="19"/>
                <w:color w:val="auto"/>
              </w:rPr>
              <w:t>Dilutive securities</w:t>
            </w:r>
          </w:p>
        </w:tc>
        <w:tc>
          <w:tcPr>
            <w:tcW w:w="1360" w:type="dxa"/>
            <w:vAlign w:val="bottom"/>
          </w:tcPr>
          <w:p>
            <w:pPr>
              <w:jc w:val="right"/>
              <w:ind w:right="25"/>
              <w:spacing w:after="0"/>
              <w:rPr>
                <w:sz w:val="20"/>
                <w:szCs w:val="20"/>
                <w:color w:val="auto"/>
              </w:rPr>
            </w:pPr>
            <w:r>
              <w:rPr>
                <w:rFonts w:ascii="Arial" w:cs="Arial" w:eastAsia="Arial" w:hAnsi="Arial"/>
                <w:sz w:val="19"/>
                <w:szCs w:val="19"/>
                <w:color w:val="auto"/>
              </w:rPr>
              <w:t>6,708</w:t>
            </w:r>
          </w:p>
        </w:tc>
        <w:tc>
          <w:tcPr>
            <w:tcW w:w="280" w:type="dxa"/>
            <w:vAlign w:val="bottom"/>
          </w:tcPr>
          <w:p>
            <w:pPr>
              <w:spacing w:after="0"/>
              <w:rPr>
                <w:sz w:val="18"/>
                <w:szCs w:val="18"/>
                <w:color w:val="auto"/>
              </w:rPr>
            </w:pPr>
          </w:p>
        </w:tc>
        <w:tc>
          <w:tcPr>
            <w:tcW w:w="1360" w:type="dxa"/>
            <w:vAlign w:val="bottom"/>
          </w:tcPr>
          <w:p>
            <w:pPr>
              <w:jc w:val="right"/>
              <w:ind w:right="25"/>
              <w:spacing w:after="0"/>
              <w:rPr>
                <w:sz w:val="20"/>
                <w:szCs w:val="20"/>
                <w:color w:val="auto"/>
              </w:rPr>
            </w:pPr>
            <w:r>
              <w:rPr>
                <w:rFonts w:ascii="Arial" w:cs="Arial" w:eastAsia="Arial" w:hAnsi="Arial"/>
                <w:sz w:val="19"/>
                <w:szCs w:val="19"/>
                <w:color w:val="auto"/>
              </w:rPr>
              <w:t>9,371</w:t>
            </w:r>
          </w:p>
        </w:tc>
        <w:tc>
          <w:tcPr>
            <w:tcW w:w="280" w:type="dxa"/>
            <w:vAlign w:val="bottom"/>
          </w:tcPr>
          <w:p>
            <w:pPr>
              <w:spacing w:after="0"/>
              <w:rPr>
                <w:sz w:val="18"/>
                <w:szCs w:val="18"/>
                <w:color w:val="auto"/>
              </w:rPr>
            </w:pPr>
          </w:p>
        </w:tc>
        <w:tc>
          <w:tcPr>
            <w:tcW w:w="1380" w:type="dxa"/>
            <w:vAlign w:val="bottom"/>
          </w:tcPr>
          <w:p>
            <w:pPr>
              <w:jc w:val="right"/>
              <w:ind w:right="25"/>
              <w:spacing w:after="0"/>
              <w:rPr>
                <w:sz w:val="20"/>
                <w:szCs w:val="20"/>
                <w:color w:val="auto"/>
              </w:rPr>
            </w:pPr>
            <w:r>
              <w:rPr>
                <w:rFonts w:ascii="Arial" w:cs="Arial" w:eastAsia="Arial" w:hAnsi="Arial"/>
                <w:sz w:val="19"/>
                <w:szCs w:val="19"/>
                <w:color w:val="auto"/>
              </w:rPr>
              <w:t>10,462</w:t>
            </w:r>
          </w:p>
        </w:tc>
        <w:tc>
          <w:tcPr>
            <w:tcW w:w="0" w:type="dxa"/>
            <w:vAlign w:val="bottom"/>
          </w:tcPr>
          <w:p>
            <w:pPr>
              <w:spacing w:after="0"/>
              <w:rPr>
                <w:sz w:val="1"/>
                <w:szCs w:val="1"/>
                <w:color w:val="auto"/>
              </w:rPr>
            </w:pPr>
          </w:p>
        </w:tc>
      </w:tr>
      <w:tr>
        <w:trPr>
          <w:trHeight w:val="22"/>
        </w:trPr>
        <w:tc>
          <w:tcPr>
            <w:tcW w:w="5000" w:type="dxa"/>
            <w:vAlign w:val="bottom"/>
            <w:vMerge w:val="restart"/>
          </w:tcPr>
          <w:p>
            <w:pPr>
              <w:spacing w:after="0"/>
              <w:rPr>
                <w:sz w:val="20"/>
                <w:szCs w:val="20"/>
                <w:color w:val="auto"/>
              </w:rPr>
            </w:pPr>
            <w:r>
              <w:rPr>
                <w:rFonts w:ascii="Arial" w:cs="Arial" w:eastAsia="Arial" w:hAnsi="Arial"/>
                <w:sz w:val="19"/>
                <w:szCs w:val="19"/>
                <w:color w:val="auto"/>
              </w:rPr>
              <w:t>Diluted</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136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173,387</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183,083</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186,674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For the years ended December 31, 2013, 2012 and 2011, options and awards outstanding totaling 1.3 million shares, 0.3 million shares and 0.3 million shares respectively, were excluded from the calculations as their effect would have been antidilutive.</w:t>
      </w:r>
    </w:p>
    <w:p>
      <w:pPr>
        <w:spacing w:after="0" w:line="166"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EMPLOYEE BENEFIT PLAN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Employees of the Company may participate in the Monster Beverage Corporation 401(k) Plan, a defined contribution plan, which qualifies under Section 401(k) of the Internal Revenue Code. Participating employees may contribute up to 15% of their pretax salary up to statutory limits. The Company contributes 25% of the employee contribution, up to 8% of each employee’s earnings, which vest 20% each year for five years after the first anniversary date. Matching contributions were $0.6 million, $0.5 million and $0.5 million for the years ended December 31, 2013, 2012 and 2011, respectively.</w:t>
      </w:r>
    </w:p>
    <w:p>
      <w:pPr>
        <w:spacing w:after="0" w:line="208"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has two reportable segments, namely Direct Store Delivery (“DSD”), whose principal products comprise energy drinks, and Warehouse (“Warehouse”), whose principal products comprise juice 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specifically have been allocated to “Corporate &amp; Unallocated.” No asset information has been provided for the Company’s reportable segments as management does not measure or allocate assets on a segment basis.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9"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revenues derived from DSD and Warehouse segments and other financial information related thereto for the years ended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2013, 2012 and 2011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tcPr>
          <w:p>
            <w:pPr>
              <w:ind w:left="240"/>
              <w:spacing w:after="0"/>
              <w:rPr>
                <w:sz w:val="20"/>
                <w:szCs w:val="20"/>
                <w:color w:val="auto"/>
              </w:rPr>
            </w:pPr>
            <w:r>
              <w:rPr>
                <w:rFonts w:ascii="Arial" w:cs="Arial" w:eastAsia="Arial" w:hAnsi="Arial"/>
                <w:sz w:val="20"/>
                <w:szCs w:val="20"/>
                <w:color w:val="auto"/>
                <w:w w:val="94"/>
              </w:rPr>
              <w:t>Year Ended December 31, 2013</w:t>
            </w: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center"/>
              <w:ind w:right="241"/>
              <w:spacing w:after="0" w:line="207" w:lineRule="exact"/>
              <w:rPr>
                <w:sz w:val="20"/>
                <w:szCs w:val="20"/>
                <w:color w:val="auto"/>
              </w:rPr>
            </w:pPr>
            <w:r>
              <w:rPr>
                <w:rFonts w:ascii="Arial" w:cs="Arial" w:eastAsia="Arial" w:hAnsi="Arial"/>
                <w:sz w:val="20"/>
                <w:szCs w:val="20"/>
                <w:color w:val="auto"/>
                <w:w w:val="89"/>
              </w:rPr>
              <w:t>Corporate</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center"/>
              <w:ind w:right="241"/>
              <w:spacing w:after="0"/>
              <w:rPr>
                <w:sz w:val="20"/>
                <w:szCs w:val="20"/>
                <w:color w:val="auto"/>
              </w:rPr>
            </w:pPr>
            <w:r>
              <w:rPr>
                <w:rFonts w:ascii="Arial" w:cs="Arial" w:eastAsia="Arial" w:hAnsi="Arial"/>
                <w:sz w:val="20"/>
                <w:szCs w:val="20"/>
                <w:color w:val="auto"/>
                <w:w w:val="83"/>
              </w:rPr>
              <w:t>and</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8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DSD</w:t>
            </w:r>
          </w:p>
        </w:tc>
        <w:tc>
          <w:tcPr>
            <w:tcW w:w="146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20"/>
                <w:szCs w:val="20"/>
                <w:color w:val="auto"/>
              </w:rPr>
              <w:t>Warehouse</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90"/>
              </w:rPr>
              <w:t>Unallocated</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080" w:type="dxa"/>
            <w:vAlign w:val="bottom"/>
            <w:vMerge w:val="continue"/>
          </w:tcPr>
          <w:p>
            <w:pPr>
              <w:spacing w:after="0"/>
              <w:rPr>
                <w:sz w:val="17"/>
                <w:szCs w:val="17"/>
                <w:color w:val="auto"/>
              </w:rPr>
            </w:pPr>
          </w:p>
        </w:tc>
        <w:tc>
          <w:tcPr>
            <w:tcW w:w="2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201"/>
              <w:spacing w:after="0" w:line="207" w:lineRule="exact"/>
              <w:rPr>
                <w:sz w:val="20"/>
                <w:szCs w:val="20"/>
                <w:color w:val="auto"/>
              </w:rPr>
            </w:pPr>
            <w:r>
              <w:rPr>
                <w:rFonts w:ascii="Arial" w:cs="Arial" w:eastAsia="Arial" w:hAnsi="Arial"/>
                <w:sz w:val="20"/>
                <w:szCs w:val="20"/>
                <w:color w:val="auto"/>
                <w:w w:val="94"/>
              </w:rPr>
              <w:t>2,147,355</w:t>
            </w:r>
          </w:p>
        </w:tc>
        <w:tc>
          <w:tcPr>
            <w:tcW w:w="460" w:type="dxa"/>
            <w:vAlign w:val="bottom"/>
          </w:tcPr>
          <w:p>
            <w:pPr>
              <w:ind w:left="240"/>
              <w:spacing w:after="0" w:line="207" w:lineRule="exact"/>
              <w:rPr>
                <w:sz w:val="20"/>
                <w:szCs w:val="20"/>
                <w:color w:val="auto"/>
              </w:rPr>
            </w:pPr>
            <w:r>
              <w:rPr>
                <w:rFonts w:ascii="Arial" w:cs="Arial" w:eastAsia="Arial" w:hAnsi="Arial"/>
                <w:sz w:val="20"/>
                <w:szCs w:val="20"/>
                <w:color w:val="auto"/>
              </w:rPr>
              <w:t>$</w:t>
            </w:r>
          </w:p>
        </w:tc>
        <w:tc>
          <w:tcPr>
            <w:tcW w:w="1000" w:type="dxa"/>
            <w:vAlign w:val="bottom"/>
          </w:tcPr>
          <w:p>
            <w:pPr>
              <w:jc w:val="right"/>
              <w:ind w:right="221"/>
              <w:spacing w:after="0" w:line="207" w:lineRule="exact"/>
              <w:rPr>
                <w:sz w:val="20"/>
                <w:szCs w:val="20"/>
                <w:color w:val="auto"/>
              </w:rPr>
            </w:pPr>
            <w:r>
              <w:rPr>
                <w:rFonts w:ascii="Arial" w:cs="Arial" w:eastAsia="Arial" w:hAnsi="Arial"/>
                <w:sz w:val="20"/>
                <w:szCs w:val="20"/>
                <w:color w:val="auto"/>
              </w:rPr>
              <w:t>99,073</w:t>
            </w:r>
          </w:p>
        </w:tc>
        <w:tc>
          <w:tcPr>
            <w:tcW w:w="38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44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line="207" w:lineRule="exact"/>
              <w:rPr>
                <w:sz w:val="20"/>
                <w:szCs w:val="20"/>
                <w:color w:val="auto"/>
              </w:rPr>
            </w:pPr>
            <w:r>
              <w:rPr>
                <w:rFonts w:ascii="Arial" w:cs="Arial" w:eastAsia="Arial" w:hAnsi="Arial"/>
                <w:sz w:val="20"/>
                <w:szCs w:val="20"/>
                <w:color w:val="auto"/>
                <w:w w:val="98"/>
              </w:rPr>
              <w:t>2,246,428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Contribution margin</w:t>
            </w:r>
          </w:p>
        </w:tc>
        <w:tc>
          <w:tcPr>
            <w:tcW w:w="240" w:type="dxa"/>
            <w:vAlign w:val="bottom"/>
          </w:tcPr>
          <w:p>
            <w:pPr>
              <w:spacing w:after="0"/>
              <w:rPr>
                <w:sz w:val="19"/>
                <w:szCs w:val="19"/>
                <w:color w:val="auto"/>
              </w:rPr>
            </w:pP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726,826</w:t>
            </w:r>
          </w:p>
        </w:tc>
        <w:tc>
          <w:tcPr>
            <w:tcW w:w="460" w:type="dxa"/>
            <w:vAlign w:val="bottom"/>
          </w:tcPr>
          <w:p>
            <w:pPr>
              <w:spacing w:after="0"/>
              <w:rPr>
                <w:sz w:val="19"/>
                <w:szCs w:val="19"/>
                <w:color w:val="auto"/>
              </w:rPr>
            </w:pPr>
          </w:p>
        </w:tc>
        <w:tc>
          <w:tcPr>
            <w:tcW w:w="1000" w:type="dxa"/>
            <w:vAlign w:val="bottom"/>
          </w:tcPr>
          <w:p>
            <w:pPr>
              <w:jc w:val="right"/>
              <w:ind w:right="161"/>
              <w:spacing w:after="0"/>
              <w:rPr>
                <w:sz w:val="20"/>
                <w:szCs w:val="20"/>
                <w:color w:val="auto"/>
              </w:rPr>
            </w:pPr>
            <w:r>
              <w:rPr>
                <w:rFonts w:ascii="Arial" w:cs="Arial" w:eastAsia="Arial" w:hAnsi="Arial"/>
                <w:sz w:val="20"/>
                <w:szCs w:val="20"/>
                <w:color w:val="auto"/>
              </w:rPr>
              <w:t>(1,652)</w:t>
            </w:r>
          </w:p>
        </w:tc>
        <w:tc>
          <w:tcPr>
            <w:tcW w:w="380" w:type="dxa"/>
            <w:vAlign w:val="bottom"/>
          </w:tcPr>
          <w:p>
            <w:pPr>
              <w:spacing w:after="0"/>
              <w:rPr>
                <w:sz w:val="19"/>
                <w:szCs w:val="19"/>
                <w:color w:val="auto"/>
              </w:rPr>
            </w:pPr>
          </w:p>
        </w:tc>
        <w:tc>
          <w:tcPr>
            <w:tcW w:w="1140" w:type="dxa"/>
            <w:vAlign w:val="bottom"/>
          </w:tcPr>
          <w:p>
            <w:pPr>
              <w:jc w:val="right"/>
              <w:ind w:right="4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725,174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Corporate &amp; unallocated expenses</w:t>
            </w:r>
          </w:p>
        </w:tc>
        <w:tc>
          <w:tcPr>
            <w:tcW w:w="240" w:type="dxa"/>
            <w:vAlign w:val="bottom"/>
          </w:tcPr>
          <w:p>
            <w:pPr>
              <w:spacing w:after="0"/>
              <w:rPr>
                <w:sz w:val="19"/>
                <w:szCs w:val="19"/>
                <w:color w:val="auto"/>
              </w:rPr>
            </w:pPr>
          </w:p>
        </w:tc>
        <w:tc>
          <w:tcPr>
            <w:tcW w:w="1160" w:type="dxa"/>
            <w:vAlign w:val="bottom"/>
          </w:tcPr>
          <w:p>
            <w:pPr>
              <w:jc w:val="right"/>
              <w:ind w:right="4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000" w:type="dxa"/>
            <w:vAlign w:val="bottom"/>
          </w:tcPr>
          <w:p>
            <w:pPr>
              <w:jc w:val="right"/>
              <w:ind w:right="4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40" w:type="dxa"/>
            <w:vAlign w:val="bottom"/>
          </w:tcPr>
          <w:p>
            <w:pPr>
              <w:jc w:val="right"/>
              <w:ind w:right="181"/>
              <w:spacing w:after="0"/>
              <w:rPr>
                <w:sz w:val="20"/>
                <w:szCs w:val="20"/>
                <w:color w:val="auto"/>
              </w:rPr>
            </w:pPr>
            <w:r>
              <w:rPr>
                <w:rFonts w:ascii="Arial" w:cs="Arial" w:eastAsia="Arial" w:hAnsi="Arial"/>
                <w:sz w:val="20"/>
                <w:szCs w:val="20"/>
                <w:color w:val="auto"/>
                <w:w w:val="98"/>
              </w:rPr>
              <w:t>(152,258)</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(152,258)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Operating income</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572,916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240" w:type="dxa"/>
            <w:vAlign w:val="bottom"/>
          </w:tcPr>
          <w:p>
            <w:pPr>
              <w:spacing w:after="0"/>
              <w:rPr>
                <w:sz w:val="19"/>
                <w:szCs w:val="19"/>
                <w:color w:val="auto"/>
              </w:rPr>
            </w:pP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755</w:t>
            </w:r>
          </w:p>
        </w:tc>
        <w:tc>
          <w:tcPr>
            <w:tcW w:w="460" w:type="dxa"/>
            <w:vAlign w:val="bottom"/>
          </w:tcPr>
          <w:p>
            <w:pPr>
              <w:spacing w:after="0"/>
              <w:rPr>
                <w:sz w:val="19"/>
                <w:szCs w:val="19"/>
                <w:color w:val="auto"/>
              </w:rPr>
            </w:pPr>
          </w:p>
        </w:tc>
        <w:tc>
          <w:tcPr>
            <w:tcW w:w="1000" w:type="dxa"/>
            <w:vAlign w:val="bottom"/>
          </w:tcPr>
          <w:p>
            <w:pPr>
              <w:jc w:val="right"/>
              <w:ind w:right="161"/>
              <w:spacing w:after="0"/>
              <w:rPr>
                <w:sz w:val="20"/>
                <w:szCs w:val="20"/>
                <w:color w:val="auto"/>
              </w:rPr>
            </w:pPr>
            <w:r>
              <w:rPr>
                <w:rFonts w:ascii="Arial" w:cs="Arial" w:eastAsia="Arial" w:hAnsi="Arial"/>
                <w:sz w:val="20"/>
                <w:szCs w:val="20"/>
                <w:color w:val="auto"/>
              </w:rPr>
              <w:t>(2)</w:t>
            </w:r>
          </w:p>
        </w:tc>
        <w:tc>
          <w:tcPr>
            <w:tcW w:w="380" w:type="dxa"/>
            <w:vAlign w:val="bottom"/>
          </w:tcPr>
          <w:p>
            <w:pPr>
              <w:spacing w:after="0"/>
              <w:rPr>
                <w:sz w:val="19"/>
                <w:szCs w:val="19"/>
                <w:color w:val="auto"/>
              </w:rPr>
            </w:pPr>
          </w:p>
        </w:tc>
        <w:tc>
          <w:tcPr>
            <w:tcW w:w="1140" w:type="dxa"/>
            <w:vAlign w:val="bottom"/>
          </w:tcPr>
          <w:p>
            <w:pPr>
              <w:jc w:val="right"/>
              <w:ind w:right="181"/>
              <w:spacing w:after="0"/>
              <w:rPr>
                <w:sz w:val="20"/>
                <w:szCs w:val="20"/>
                <w:color w:val="auto"/>
              </w:rPr>
            </w:pPr>
            <w:r>
              <w:rPr>
                <w:rFonts w:ascii="Arial" w:cs="Arial" w:eastAsia="Arial" w:hAnsi="Arial"/>
                <w:sz w:val="20"/>
                <w:szCs w:val="20"/>
                <w:color w:val="auto"/>
              </w:rPr>
              <w:t>(9,775)</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563,894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240" w:type="dxa"/>
            <w:vAlign w:val="bottom"/>
          </w:tcPr>
          <w:p>
            <w:pPr>
              <w:spacing w:after="0"/>
              <w:rPr>
                <w:sz w:val="19"/>
                <w:szCs w:val="19"/>
                <w:color w:val="auto"/>
              </w:rPr>
            </w:pPr>
          </w:p>
        </w:tc>
        <w:tc>
          <w:tcPr>
            <w:tcW w:w="1160" w:type="dxa"/>
            <w:vAlign w:val="bottom"/>
          </w:tcPr>
          <w:p>
            <w:pPr>
              <w:jc w:val="right"/>
              <w:ind w:right="141"/>
              <w:spacing w:after="0"/>
              <w:rPr>
                <w:sz w:val="20"/>
                <w:szCs w:val="20"/>
                <w:color w:val="auto"/>
              </w:rPr>
            </w:pPr>
            <w:r>
              <w:rPr>
                <w:rFonts w:ascii="Arial" w:cs="Arial" w:eastAsia="Arial" w:hAnsi="Arial"/>
                <w:sz w:val="20"/>
                <w:szCs w:val="20"/>
                <w:color w:val="auto"/>
              </w:rPr>
              <w:t>(19,023)</w:t>
            </w:r>
          </w:p>
        </w:tc>
        <w:tc>
          <w:tcPr>
            <w:tcW w:w="460" w:type="dxa"/>
            <w:vAlign w:val="bottom"/>
          </w:tcPr>
          <w:p>
            <w:pPr>
              <w:spacing w:after="0"/>
              <w:rPr>
                <w:sz w:val="19"/>
                <w:szCs w:val="19"/>
                <w:color w:val="auto"/>
              </w:rPr>
            </w:pPr>
          </w:p>
        </w:tc>
        <w:tc>
          <w:tcPr>
            <w:tcW w:w="1000" w:type="dxa"/>
            <w:vAlign w:val="bottom"/>
          </w:tcPr>
          <w:p>
            <w:pPr>
              <w:jc w:val="right"/>
              <w:ind w:right="161"/>
              <w:spacing w:after="0"/>
              <w:rPr>
                <w:sz w:val="20"/>
                <w:szCs w:val="20"/>
                <w:color w:val="auto"/>
              </w:rPr>
            </w:pPr>
            <w:r>
              <w:rPr>
                <w:rFonts w:ascii="Arial" w:cs="Arial" w:eastAsia="Arial" w:hAnsi="Arial"/>
                <w:sz w:val="20"/>
                <w:szCs w:val="20"/>
                <w:color w:val="auto"/>
              </w:rPr>
              <w:t>(244)</w:t>
            </w:r>
          </w:p>
        </w:tc>
        <w:tc>
          <w:tcPr>
            <w:tcW w:w="380" w:type="dxa"/>
            <w:vAlign w:val="bottom"/>
          </w:tcPr>
          <w:p>
            <w:pPr>
              <w:spacing w:after="0"/>
              <w:rPr>
                <w:sz w:val="19"/>
                <w:szCs w:val="19"/>
                <w:color w:val="auto"/>
              </w:rPr>
            </w:pPr>
          </w:p>
        </w:tc>
        <w:tc>
          <w:tcPr>
            <w:tcW w:w="1140" w:type="dxa"/>
            <w:vAlign w:val="bottom"/>
          </w:tcPr>
          <w:p>
            <w:pPr>
              <w:jc w:val="right"/>
              <w:ind w:right="181"/>
              <w:spacing w:after="0"/>
              <w:rPr>
                <w:sz w:val="20"/>
                <w:szCs w:val="20"/>
                <w:color w:val="auto"/>
              </w:rPr>
            </w:pPr>
            <w:r>
              <w:rPr>
                <w:rFonts w:ascii="Arial" w:cs="Arial" w:eastAsia="Arial" w:hAnsi="Arial"/>
                <w:sz w:val="20"/>
                <w:szCs w:val="20"/>
                <w:color w:val="auto"/>
              </w:rPr>
              <w:t>(3,446)</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(22,713)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Arial" w:cs="Arial" w:eastAsia="Arial" w:hAnsi="Arial"/>
                <w:sz w:val="20"/>
                <w:szCs w:val="20"/>
                <w:color w:val="auto"/>
              </w:rPr>
              <w:t>Trademark amortization</w:t>
            </w:r>
          </w:p>
        </w:tc>
        <w:tc>
          <w:tcPr>
            <w:tcW w:w="240" w:type="dxa"/>
            <w:vAlign w:val="bottom"/>
          </w:tcPr>
          <w:p>
            <w:pPr>
              <w:spacing w:after="0"/>
              <w:rPr>
                <w:sz w:val="21"/>
                <w:szCs w:val="21"/>
                <w:color w:val="auto"/>
              </w:rPr>
            </w:pPr>
          </w:p>
        </w:tc>
        <w:tc>
          <w:tcPr>
            <w:tcW w:w="1160" w:type="dxa"/>
            <w:vAlign w:val="bottom"/>
          </w:tcPr>
          <w:p>
            <w:pPr>
              <w:jc w:val="right"/>
              <w:ind w:right="4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000" w:type="dxa"/>
            <w:vAlign w:val="bottom"/>
          </w:tcPr>
          <w:p>
            <w:pPr>
              <w:jc w:val="right"/>
              <w:ind w:right="161"/>
              <w:spacing w:after="0"/>
              <w:rPr>
                <w:sz w:val="20"/>
                <w:szCs w:val="20"/>
                <w:color w:val="auto"/>
              </w:rPr>
            </w:pPr>
            <w:r>
              <w:rPr>
                <w:rFonts w:ascii="Arial" w:cs="Arial" w:eastAsia="Arial" w:hAnsi="Arial"/>
                <w:sz w:val="20"/>
                <w:szCs w:val="20"/>
                <w:color w:val="auto"/>
              </w:rPr>
              <w:t>(44)</w:t>
            </w:r>
          </w:p>
        </w:tc>
        <w:tc>
          <w:tcPr>
            <w:tcW w:w="380" w:type="dxa"/>
            <w:vAlign w:val="bottom"/>
          </w:tcPr>
          <w:p>
            <w:pPr>
              <w:spacing w:after="0"/>
              <w:rPr>
                <w:sz w:val="21"/>
                <w:szCs w:val="21"/>
                <w:color w:val="auto"/>
              </w:rPr>
            </w:pPr>
          </w:p>
        </w:tc>
        <w:tc>
          <w:tcPr>
            <w:tcW w:w="1140" w:type="dxa"/>
            <w:vAlign w:val="bottom"/>
          </w:tcPr>
          <w:p>
            <w:pPr>
              <w:jc w:val="right"/>
              <w:ind w:right="181"/>
              <w:spacing w:after="0"/>
              <w:rPr>
                <w:sz w:val="20"/>
                <w:szCs w:val="20"/>
                <w:color w:val="auto"/>
              </w:rPr>
            </w:pPr>
            <w:r>
              <w:rPr>
                <w:rFonts w:ascii="Arial" w:cs="Arial" w:eastAsia="Arial" w:hAnsi="Arial"/>
                <w:sz w:val="20"/>
                <w:szCs w:val="20"/>
                <w:color w:val="auto"/>
              </w:rPr>
              <w:t>(5)</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5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ind w:left="240"/>
              <w:spacing w:after="0"/>
              <w:rPr>
                <w:sz w:val="20"/>
                <w:szCs w:val="20"/>
                <w:color w:val="auto"/>
              </w:rPr>
            </w:pPr>
            <w:r>
              <w:rPr>
                <w:rFonts w:ascii="Arial" w:cs="Arial" w:eastAsia="Arial" w:hAnsi="Arial"/>
                <w:sz w:val="20"/>
                <w:szCs w:val="20"/>
                <w:color w:val="auto"/>
                <w:w w:val="94"/>
              </w:rPr>
              <w:t>Year Ended December 31, 2012</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center"/>
              <w:ind w:right="261"/>
              <w:spacing w:after="0" w:line="207" w:lineRule="exact"/>
              <w:rPr>
                <w:sz w:val="20"/>
                <w:szCs w:val="20"/>
                <w:color w:val="auto"/>
              </w:rPr>
            </w:pPr>
            <w:r>
              <w:rPr>
                <w:rFonts w:ascii="Arial" w:cs="Arial" w:eastAsia="Arial" w:hAnsi="Arial"/>
                <w:sz w:val="20"/>
                <w:szCs w:val="20"/>
                <w:color w:val="auto"/>
                <w:w w:val="87"/>
              </w:rPr>
              <w:t>Corporate</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center"/>
              <w:ind w:right="261"/>
              <w:spacing w:after="0"/>
              <w:rPr>
                <w:sz w:val="20"/>
                <w:szCs w:val="20"/>
                <w:color w:val="auto"/>
              </w:rPr>
            </w:pPr>
            <w:r>
              <w:rPr>
                <w:rFonts w:ascii="Arial" w:cs="Arial" w:eastAsia="Arial" w:hAnsi="Arial"/>
                <w:sz w:val="20"/>
                <w:szCs w:val="20"/>
                <w:color w:val="auto"/>
                <w:w w:val="89"/>
              </w:rPr>
              <w:t>and</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8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DSD</w:t>
            </w:r>
          </w:p>
        </w:tc>
        <w:tc>
          <w:tcPr>
            <w:tcW w:w="146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20"/>
                <w:szCs w:val="20"/>
                <w:color w:val="auto"/>
              </w:rPr>
              <w:t>Warehouse</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90"/>
              </w:rPr>
              <w:t>Unallocated</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080" w:type="dxa"/>
            <w:vAlign w:val="bottom"/>
            <w:vMerge w:val="continue"/>
          </w:tcPr>
          <w:p>
            <w:pPr>
              <w:spacing w:after="0"/>
              <w:rPr>
                <w:sz w:val="17"/>
                <w:szCs w:val="17"/>
                <w:color w:val="auto"/>
              </w:rPr>
            </w:pPr>
          </w:p>
        </w:tc>
        <w:tc>
          <w:tcPr>
            <w:tcW w:w="2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201"/>
              <w:spacing w:after="0" w:line="207" w:lineRule="exact"/>
              <w:rPr>
                <w:sz w:val="20"/>
                <w:szCs w:val="20"/>
                <w:color w:val="auto"/>
              </w:rPr>
            </w:pPr>
            <w:r>
              <w:rPr>
                <w:rFonts w:ascii="Arial" w:cs="Arial" w:eastAsia="Arial" w:hAnsi="Arial"/>
                <w:sz w:val="20"/>
                <w:szCs w:val="20"/>
                <w:color w:val="auto"/>
                <w:w w:val="94"/>
              </w:rPr>
              <w:t>1,966,481</w:t>
            </w:r>
          </w:p>
        </w:tc>
        <w:tc>
          <w:tcPr>
            <w:tcW w:w="460" w:type="dxa"/>
            <w:vAlign w:val="bottom"/>
          </w:tcPr>
          <w:p>
            <w:pPr>
              <w:ind w:left="240"/>
              <w:spacing w:after="0" w:line="207" w:lineRule="exact"/>
              <w:rPr>
                <w:sz w:val="20"/>
                <w:szCs w:val="20"/>
                <w:color w:val="auto"/>
              </w:rPr>
            </w:pPr>
            <w:r>
              <w:rPr>
                <w:rFonts w:ascii="Arial" w:cs="Arial" w:eastAsia="Arial" w:hAnsi="Arial"/>
                <w:sz w:val="20"/>
                <w:szCs w:val="20"/>
                <w:color w:val="auto"/>
              </w:rPr>
              <w:t>$</w:t>
            </w:r>
          </w:p>
        </w:tc>
        <w:tc>
          <w:tcPr>
            <w:tcW w:w="1000" w:type="dxa"/>
            <w:vAlign w:val="bottom"/>
          </w:tcPr>
          <w:p>
            <w:pPr>
              <w:jc w:val="right"/>
              <w:ind w:right="241"/>
              <w:spacing w:after="0" w:line="207" w:lineRule="exact"/>
              <w:rPr>
                <w:sz w:val="20"/>
                <w:szCs w:val="20"/>
                <w:color w:val="auto"/>
              </w:rPr>
            </w:pPr>
            <w:r>
              <w:rPr>
                <w:rFonts w:ascii="Arial" w:cs="Arial" w:eastAsia="Arial" w:hAnsi="Arial"/>
                <w:sz w:val="20"/>
                <w:szCs w:val="20"/>
                <w:color w:val="auto"/>
              </w:rPr>
              <w:t>94,221</w:t>
            </w:r>
          </w:p>
        </w:tc>
        <w:tc>
          <w:tcPr>
            <w:tcW w:w="38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46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line="207" w:lineRule="exact"/>
              <w:rPr>
                <w:sz w:val="20"/>
                <w:szCs w:val="20"/>
                <w:color w:val="auto"/>
              </w:rPr>
            </w:pPr>
            <w:r>
              <w:rPr>
                <w:rFonts w:ascii="Arial" w:cs="Arial" w:eastAsia="Arial" w:hAnsi="Arial"/>
                <w:sz w:val="20"/>
                <w:szCs w:val="20"/>
                <w:color w:val="auto"/>
                <w:w w:val="98"/>
              </w:rPr>
              <w:t>2,060,702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Contribution margin</w:t>
            </w:r>
          </w:p>
        </w:tc>
        <w:tc>
          <w:tcPr>
            <w:tcW w:w="240" w:type="dxa"/>
            <w:vAlign w:val="bottom"/>
          </w:tcPr>
          <w:p>
            <w:pPr>
              <w:spacing w:after="0"/>
              <w:rPr>
                <w:sz w:val="19"/>
                <w:szCs w:val="19"/>
                <w:color w:val="auto"/>
              </w:rPr>
            </w:pP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660,607</w:t>
            </w:r>
          </w:p>
        </w:tc>
        <w:tc>
          <w:tcPr>
            <w:tcW w:w="460" w:type="dxa"/>
            <w:vAlign w:val="bottom"/>
          </w:tcPr>
          <w:p>
            <w:pPr>
              <w:spacing w:after="0"/>
              <w:rPr>
                <w:sz w:val="19"/>
                <w:szCs w:val="19"/>
                <w:color w:val="auto"/>
              </w:rPr>
            </w:pPr>
          </w:p>
        </w:tc>
        <w:tc>
          <w:tcPr>
            <w:tcW w:w="1000" w:type="dxa"/>
            <w:vAlign w:val="bottom"/>
          </w:tcPr>
          <w:p>
            <w:pPr>
              <w:jc w:val="right"/>
              <w:ind w:right="241"/>
              <w:spacing w:after="0"/>
              <w:rPr>
                <w:sz w:val="20"/>
                <w:szCs w:val="20"/>
                <w:color w:val="auto"/>
              </w:rPr>
            </w:pPr>
            <w:r>
              <w:rPr>
                <w:rFonts w:ascii="Arial" w:cs="Arial" w:eastAsia="Arial" w:hAnsi="Arial"/>
                <w:sz w:val="20"/>
                <w:szCs w:val="20"/>
                <w:color w:val="auto"/>
              </w:rPr>
              <w:t>3,496</w:t>
            </w:r>
          </w:p>
        </w:tc>
        <w:tc>
          <w:tcPr>
            <w:tcW w:w="380" w:type="dxa"/>
            <w:vAlign w:val="bottom"/>
          </w:tcPr>
          <w:p>
            <w:pPr>
              <w:spacing w:after="0"/>
              <w:rPr>
                <w:sz w:val="19"/>
                <w:szCs w:val="19"/>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664,103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Corporate &amp; unallocated expenses</w:t>
            </w:r>
          </w:p>
        </w:tc>
        <w:tc>
          <w:tcPr>
            <w:tcW w:w="240" w:type="dxa"/>
            <w:vAlign w:val="bottom"/>
          </w:tcPr>
          <w:p>
            <w:pPr>
              <w:spacing w:after="0"/>
              <w:rPr>
                <w:sz w:val="19"/>
                <w:szCs w:val="19"/>
                <w:color w:val="auto"/>
              </w:rPr>
            </w:pPr>
          </w:p>
        </w:tc>
        <w:tc>
          <w:tcPr>
            <w:tcW w:w="1160" w:type="dxa"/>
            <w:vAlign w:val="bottom"/>
          </w:tcPr>
          <w:p>
            <w:pPr>
              <w:jc w:val="right"/>
              <w:ind w:right="4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000" w:type="dxa"/>
            <w:vAlign w:val="bottom"/>
          </w:tcPr>
          <w:p>
            <w:pPr>
              <w:jc w:val="right"/>
              <w:ind w:right="4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40" w:type="dxa"/>
            <w:vAlign w:val="bottom"/>
          </w:tcPr>
          <w:p>
            <w:pPr>
              <w:jc w:val="right"/>
              <w:ind w:right="201"/>
              <w:spacing w:after="0"/>
              <w:rPr>
                <w:sz w:val="20"/>
                <w:szCs w:val="20"/>
                <w:color w:val="auto"/>
              </w:rPr>
            </w:pPr>
            <w:r>
              <w:rPr>
                <w:rFonts w:ascii="Arial" w:cs="Arial" w:eastAsia="Arial" w:hAnsi="Arial"/>
                <w:sz w:val="20"/>
                <w:szCs w:val="20"/>
                <w:color w:val="auto"/>
                <w:w w:val="95"/>
              </w:rPr>
              <w:t>(113,480)</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(113,480)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Operating income</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550,623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240" w:type="dxa"/>
            <w:vAlign w:val="bottom"/>
          </w:tcPr>
          <w:p>
            <w:pPr>
              <w:spacing w:after="0"/>
              <w:rPr>
                <w:sz w:val="19"/>
                <w:szCs w:val="19"/>
                <w:color w:val="auto"/>
              </w:rPr>
            </w:pP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494</w:t>
            </w:r>
          </w:p>
        </w:tc>
        <w:tc>
          <w:tcPr>
            <w:tcW w:w="460" w:type="dxa"/>
            <w:vAlign w:val="bottom"/>
          </w:tcPr>
          <w:p>
            <w:pPr>
              <w:spacing w:after="0"/>
              <w:rPr>
                <w:sz w:val="19"/>
                <w:szCs w:val="19"/>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(2)</w:t>
            </w:r>
          </w:p>
        </w:tc>
        <w:tc>
          <w:tcPr>
            <w:tcW w:w="380" w:type="dxa"/>
            <w:vAlign w:val="bottom"/>
          </w:tcPr>
          <w:p>
            <w:pPr>
              <w:spacing w:after="0"/>
              <w:rPr>
                <w:sz w:val="19"/>
                <w:szCs w:val="19"/>
                <w:color w:val="auto"/>
              </w:rPr>
            </w:pPr>
          </w:p>
        </w:tc>
        <w:tc>
          <w:tcPr>
            <w:tcW w:w="1140" w:type="dxa"/>
            <w:vAlign w:val="bottom"/>
          </w:tcPr>
          <w:p>
            <w:pPr>
              <w:jc w:val="right"/>
              <w:ind w:right="201"/>
              <w:spacing w:after="0"/>
              <w:rPr>
                <w:sz w:val="20"/>
                <w:szCs w:val="20"/>
                <w:color w:val="auto"/>
              </w:rPr>
            </w:pPr>
            <w:r>
              <w:rPr>
                <w:rFonts w:ascii="Arial" w:cs="Arial" w:eastAsia="Arial" w:hAnsi="Arial"/>
                <w:sz w:val="20"/>
                <w:szCs w:val="20"/>
                <w:color w:val="auto"/>
              </w:rPr>
              <w:t>(1,961)</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549,154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240" w:type="dxa"/>
            <w:vAlign w:val="bottom"/>
          </w:tcPr>
          <w:p>
            <w:pPr>
              <w:spacing w:after="0"/>
              <w:rPr>
                <w:sz w:val="19"/>
                <w:szCs w:val="19"/>
                <w:color w:val="auto"/>
              </w:rPr>
            </w:pPr>
          </w:p>
        </w:tc>
        <w:tc>
          <w:tcPr>
            <w:tcW w:w="1160" w:type="dxa"/>
            <w:vAlign w:val="bottom"/>
          </w:tcPr>
          <w:p>
            <w:pPr>
              <w:jc w:val="right"/>
              <w:ind w:right="141"/>
              <w:spacing w:after="0"/>
              <w:rPr>
                <w:sz w:val="20"/>
                <w:szCs w:val="20"/>
                <w:color w:val="auto"/>
              </w:rPr>
            </w:pPr>
            <w:r>
              <w:rPr>
                <w:rFonts w:ascii="Arial" w:cs="Arial" w:eastAsia="Arial" w:hAnsi="Arial"/>
                <w:sz w:val="20"/>
                <w:szCs w:val="20"/>
                <w:color w:val="auto"/>
              </w:rPr>
              <w:t>(15,660)</w:t>
            </w:r>
          </w:p>
        </w:tc>
        <w:tc>
          <w:tcPr>
            <w:tcW w:w="460" w:type="dxa"/>
            <w:vAlign w:val="bottom"/>
          </w:tcPr>
          <w:p>
            <w:pPr>
              <w:spacing w:after="0"/>
              <w:rPr>
                <w:sz w:val="19"/>
                <w:szCs w:val="19"/>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(139)</w:t>
            </w:r>
          </w:p>
        </w:tc>
        <w:tc>
          <w:tcPr>
            <w:tcW w:w="380" w:type="dxa"/>
            <w:vAlign w:val="bottom"/>
          </w:tcPr>
          <w:p>
            <w:pPr>
              <w:spacing w:after="0"/>
              <w:rPr>
                <w:sz w:val="19"/>
                <w:szCs w:val="19"/>
                <w:color w:val="auto"/>
              </w:rPr>
            </w:pPr>
          </w:p>
        </w:tc>
        <w:tc>
          <w:tcPr>
            <w:tcW w:w="1140" w:type="dxa"/>
            <w:vAlign w:val="bottom"/>
          </w:tcPr>
          <w:p>
            <w:pPr>
              <w:jc w:val="right"/>
              <w:ind w:right="201"/>
              <w:spacing w:after="0"/>
              <w:rPr>
                <w:sz w:val="20"/>
                <w:szCs w:val="20"/>
                <w:color w:val="auto"/>
              </w:rPr>
            </w:pPr>
            <w:r>
              <w:rPr>
                <w:rFonts w:ascii="Arial" w:cs="Arial" w:eastAsia="Arial" w:hAnsi="Arial"/>
                <w:sz w:val="20"/>
                <w:szCs w:val="20"/>
                <w:color w:val="auto"/>
              </w:rPr>
              <w:t>(4,714)</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Arial" w:cs="Arial" w:eastAsia="Arial" w:hAnsi="Arial"/>
                <w:sz w:val="20"/>
                <w:szCs w:val="20"/>
                <w:color w:val="auto"/>
              </w:rPr>
              <w:t>Trademark amortization</w:t>
            </w:r>
          </w:p>
        </w:tc>
        <w:tc>
          <w:tcPr>
            <w:tcW w:w="240" w:type="dxa"/>
            <w:vAlign w:val="bottom"/>
          </w:tcPr>
          <w:p>
            <w:pPr>
              <w:spacing w:after="0"/>
              <w:rPr>
                <w:sz w:val="21"/>
                <w:szCs w:val="21"/>
                <w:color w:val="auto"/>
              </w:rPr>
            </w:pPr>
          </w:p>
        </w:tc>
        <w:tc>
          <w:tcPr>
            <w:tcW w:w="1160" w:type="dxa"/>
            <w:vAlign w:val="bottom"/>
          </w:tcPr>
          <w:p>
            <w:pPr>
              <w:jc w:val="right"/>
              <w:ind w:right="4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(44)</w:t>
            </w:r>
          </w:p>
        </w:tc>
        <w:tc>
          <w:tcPr>
            <w:tcW w:w="380" w:type="dxa"/>
            <w:vAlign w:val="bottom"/>
          </w:tcPr>
          <w:p>
            <w:pPr>
              <w:spacing w:after="0"/>
              <w:rPr>
                <w:sz w:val="21"/>
                <w:szCs w:val="21"/>
                <w:color w:val="auto"/>
              </w:rPr>
            </w:pPr>
          </w:p>
        </w:tc>
        <w:tc>
          <w:tcPr>
            <w:tcW w:w="1140" w:type="dxa"/>
            <w:vAlign w:val="bottom"/>
          </w:tcPr>
          <w:p>
            <w:pPr>
              <w:jc w:val="right"/>
              <w:ind w:right="201"/>
              <w:spacing w:after="0"/>
              <w:rPr>
                <w:sz w:val="20"/>
                <w:szCs w:val="20"/>
                <w:color w:val="auto"/>
              </w:rPr>
            </w:pPr>
            <w:r>
              <w:rPr>
                <w:rFonts w:ascii="Arial" w:cs="Arial" w:eastAsia="Arial" w:hAnsi="Arial"/>
                <w:sz w:val="20"/>
                <w:szCs w:val="20"/>
                <w:color w:val="auto"/>
              </w:rPr>
              <w:t>(5)</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5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ind w:left="260"/>
              <w:spacing w:after="0"/>
              <w:rPr>
                <w:sz w:val="20"/>
                <w:szCs w:val="20"/>
                <w:color w:val="auto"/>
              </w:rPr>
            </w:pPr>
            <w:r>
              <w:rPr>
                <w:rFonts w:ascii="Arial" w:cs="Arial" w:eastAsia="Arial" w:hAnsi="Arial"/>
                <w:sz w:val="20"/>
                <w:szCs w:val="20"/>
                <w:color w:val="auto"/>
                <w:w w:val="94"/>
              </w:rPr>
              <w:t>Year Ended December 31, 2011</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center"/>
              <w:ind w:right="241"/>
              <w:spacing w:after="0" w:line="207" w:lineRule="exact"/>
              <w:rPr>
                <w:sz w:val="20"/>
                <w:szCs w:val="20"/>
                <w:color w:val="auto"/>
              </w:rPr>
            </w:pPr>
            <w:r>
              <w:rPr>
                <w:rFonts w:ascii="Arial" w:cs="Arial" w:eastAsia="Arial" w:hAnsi="Arial"/>
                <w:sz w:val="20"/>
                <w:szCs w:val="20"/>
                <w:color w:val="auto"/>
                <w:w w:val="89"/>
              </w:rPr>
              <w:t>Corporate</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center"/>
              <w:ind w:right="241"/>
              <w:spacing w:after="0"/>
              <w:rPr>
                <w:sz w:val="20"/>
                <w:szCs w:val="20"/>
                <w:color w:val="auto"/>
              </w:rPr>
            </w:pPr>
            <w:r>
              <w:rPr>
                <w:rFonts w:ascii="Arial" w:cs="Arial" w:eastAsia="Arial" w:hAnsi="Arial"/>
                <w:sz w:val="20"/>
                <w:szCs w:val="20"/>
                <w:color w:val="auto"/>
                <w:w w:val="83"/>
              </w:rPr>
              <w:t>and</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8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DSD</w:t>
            </w:r>
          </w:p>
        </w:tc>
        <w:tc>
          <w:tcPr>
            <w:tcW w:w="146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20"/>
                <w:szCs w:val="20"/>
                <w:color w:val="auto"/>
              </w:rPr>
              <w:t>Warehouse</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90"/>
              </w:rPr>
              <w:t>Unallocated</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080" w:type="dxa"/>
            <w:vAlign w:val="bottom"/>
            <w:vMerge w:val="continue"/>
          </w:tcPr>
          <w:p>
            <w:pPr>
              <w:spacing w:after="0"/>
              <w:rPr>
                <w:sz w:val="17"/>
                <w:szCs w:val="17"/>
                <w:color w:val="auto"/>
              </w:rPr>
            </w:pPr>
          </w:p>
        </w:tc>
        <w:tc>
          <w:tcPr>
            <w:tcW w:w="2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201"/>
              <w:spacing w:after="0" w:line="207" w:lineRule="exact"/>
              <w:rPr>
                <w:sz w:val="20"/>
                <w:szCs w:val="20"/>
                <w:color w:val="auto"/>
              </w:rPr>
            </w:pPr>
            <w:r>
              <w:rPr>
                <w:rFonts w:ascii="Arial" w:cs="Arial" w:eastAsia="Arial" w:hAnsi="Arial"/>
                <w:sz w:val="20"/>
                <w:szCs w:val="20"/>
                <w:color w:val="auto"/>
                <w:w w:val="94"/>
              </w:rPr>
              <w:t>1,608,326</w:t>
            </w:r>
          </w:p>
        </w:tc>
        <w:tc>
          <w:tcPr>
            <w:tcW w:w="460" w:type="dxa"/>
            <w:vAlign w:val="bottom"/>
          </w:tcPr>
          <w:p>
            <w:pPr>
              <w:ind w:left="240"/>
              <w:spacing w:after="0" w:line="207" w:lineRule="exact"/>
              <w:rPr>
                <w:sz w:val="20"/>
                <w:szCs w:val="20"/>
                <w:color w:val="auto"/>
              </w:rPr>
            </w:pPr>
            <w:r>
              <w:rPr>
                <w:rFonts w:ascii="Arial" w:cs="Arial" w:eastAsia="Arial" w:hAnsi="Arial"/>
                <w:sz w:val="20"/>
                <w:szCs w:val="20"/>
                <w:color w:val="auto"/>
              </w:rPr>
              <w:t>$</w:t>
            </w:r>
          </w:p>
        </w:tc>
        <w:tc>
          <w:tcPr>
            <w:tcW w:w="1000" w:type="dxa"/>
            <w:vAlign w:val="bottom"/>
          </w:tcPr>
          <w:p>
            <w:pPr>
              <w:jc w:val="right"/>
              <w:ind w:right="241"/>
              <w:spacing w:after="0" w:line="207" w:lineRule="exact"/>
              <w:rPr>
                <w:sz w:val="20"/>
                <w:szCs w:val="20"/>
                <w:color w:val="auto"/>
              </w:rPr>
            </w:pPr>
            <w:r>
              <w:rPr>
                <w:rFonts w:ascii="Arial" w:cs="Arial" w:eastAsia="Arial" w:hAnsi="Arial"/>
                <w:sz w:val="20"/>
                <w:szCs w:val="20"/>
                <w:color w:val="auto"/>
              </w:rPr>
              <w:t>94,904</w:t>
            </w:r>
          </w:p>
        </w:tc>
        <w:tc>
          <w:tcPr>
            <w:tcW w:w="38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46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line="207" w:lineRule="exact"/>
              <w:rPr>
                <w:sz w:val="20"/>
                <w:szCs w:val="20"/>
                <w:color w:val="auto"/>
              </w:rPr>
            </w:pPr>
            <w:r>
              <w:rPr>
                <w:rFonts w:ascii="Arial" w:cs="Arial" w:eastAsia="Arial" w:hAnsi="Arial"/>
                <w:sz w:val="20"/>
                <w:szCs w:val="20"/>
                <w:color w:val="auto"/>
                <w:w w:val="98"/>
              </w:rPr>
              <w:t>1,703,230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Contribution margin</w:t>
            </w:r>
          </w:p>
        </w:tc>
        <w:tc>
          <w:tcPr>
            <w:tcW w:w="240" w:type="dxa"/>
            <w:vAlign w:val="bottom"/>
          </w:tcPr>
          <w:p>
            <w:pPr>
              <w:spacing w:after="0"/>
              <w:rPr>
                <w:sz w:val="19"/>
                <w:szCs w:val="19"/>
                <w:color w:val="auto"/>
              </w:rPr>
            </w:pP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543,210</w:t>
            </w:r>
          </w:p>
        </w:tc>
        <w:tc>
          <w:tcPr>
            <w:tcW w:w="460" w:type="dxa"/>
            <w:vAlign w:val="bottom"/>
          </w:tcPr>
          <w:p>
            <w:pPr>
              <w:spacing w:after="0"/>
              <w:rPr>
                <w:sz w:val="19"/>
                <w:szCs w:val="19"/>
                <w:color w:val="auto"/>
              </w:rPr>
            </w:pPr>
          </w:p>
        </w:tc>
        <w:tc>
          <w:tcPr>
            <w:tcW w:w="1000" w:type="dxa"/>
            <w:vAlign w:val="bottom"/>
          </w:tcPr>
          <w:p>
            <w:pPr>
              <w:jc w:val="right"/>
              <w:ind w:right="241"/>
              <w:spacing w:after="0"/>
              <w:rPr>
                <w:sz w:val="20"/>
                <w:szCs w:val="20"/>
                <w:color w:val="auto"/>
              </w:rPr>
            </w:pPr>
            <w:r>
              <w:rPr>
                <w:rFonts w:ascii="Arial" w:cs="Arial" w:eastAsia="Arial" w:hAnsi="Arial"/>
                <w:sz w:val="20"/>
                <w:szCs w:val="20"/>
                <w:color w:val="auto"/>
              </w:rPr>
              <w:t>4,291</w:t>
            </w:r>
          </w:p>
        </w:tc>
        <w:tc>
          <w:tcPr>
            <w:tcW w:w="380" w:type="dxa"/>
            <w:vAlign w:val="bottom"/>
          </w:tcPr>
          <w:p>
            <w:pPr>
              <w:spacing w:after="0"/>
              <w:rPr>
                <w:sz w:val="19"/>
                <w:szCs w:val="19"/>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547,501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Corporate &amp; unallocated expenses</w:t>
            </w:r>
          </w:p>
        </w:tc>
        <w:tc>
          <w:tcPr>
            <w:tcW w:w="240" w:type="dxa"/>
            <w:vAlign w:val="bottom"/>
          </w:tcPr>
          <w:p>
            <w:pPr>
              <w:spacing w:after="0"/>
              <w:rPr>
                <w:sz w:val="19"/>
                <w:szCs w:val="19"/>
                <w:color w:val="auto"/>
              </w:rPr>
            </w:pPr>
          </w:p>
        </w:tc>
        <w:tc>
          <w:tcPr>
            <w:tcW w:w="1160" w:type="dxa"/>
            <w:vAlign w:val="bottom"/>
          </w:tcPr>
          <w:p>
            <w:pPr>
              <w:jc w:val="right"/>
              <w:ind w:right="401"/>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19"/>
                <w:szCs w:val="19"/>
                <w:color w:val="auto"/>
              </w:rPr>
            </w:pPr>
          </w:p>
        </w:tc>
        <w:tc>
          <w:tcPr>
            <w:tcW w:w="1000" w:type="dxa"/>
            <w:vAlign w:val="bottom"/>
          </w:tcPr>
          <w:p>
            <w:pPr>
              <w:jc w:val="right"/>
              <w:ind w:right="4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40" w:type="dxa"/>
            <w:vAlign w:val="bottom"/>
          </w:tcPr>
          <w:p>
            <w:pPr>
              <w:jc w:val="right"/>
              <w:ind w:right="201"/>
              <w:spacing w:after="0"/>
              <w:rPr>
                <w:sz w:val="20"/>
                <w:szCs w:val="20"/>
                <w:color w:val="auto"/>
              </w:rPr>
            </w:pPr>
            <w:r>
              <w:rPr>
                <w:rFonts w:ascii="Arial" w:cs="Arial" w:eastAsia="Arial" w:hAnsi="Arial"/>
                <w:sz w:val="20"/>
                <w:szCs w:val="20"/>
                <w:color w:val="auto"/>
              </w:rPr>
              <w:t>(91,078)</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(91,078)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Operating income</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456,423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240" w:type="dxa"/>
            <w:vAlign w:val="bottom"/>
          </w:tcPr>
          <w:p>
            <w:pPr>
              <w:spacing w:after="0"/>
              <w:rPr>
                <w:sz w:val="19"/>
                <w:szCs w:val="19"/>
                <w:color w:val="auto"/>
              </w:rPr>
            </w:pPr>
          </w:p>
        </w:tc>
        <w:tc>
          <w:tcPr>
            <w:tcW w:w="1160" w:type="dxa"/>
            <w:vAlign w:val="bottom"/>
          </w:tcPr>
          <w:p>
            <w:pPr>
              <w:jc w:val="right"/>
              <w:ind w:right="141"/>
              <w:spacing w:after="0"/>
              <w:rPr>
                <w:sz w:val="20"/>
                <w:szCs w:val="20"/>
                <w:color w:val="auto"/>
              </w:rPr>
            </w:pPr>
            <w:r>
              <w:rPr>
                <w:rFonts w:ascii="Arial" w:cs="Arial" w:eastAsia="Arial" w:hAnsi="Arial"/>
                <w:sz w:val="20"/>
                <w:szCs w:val="20"/>
                <w:color w:val="auto"/>
              </w:rPr>
              <w:t>(12)</w:t>
            </w:r>
          </w:p>
        </w:tc>
        <w:tc>
          <w:tcPr>
            <w:tcW w:w="460" w:type="dxa"/>
            <w:vAlign w:val="bottom"/>
          </w:tcPr>
          <w:p>
            <w:pPr>
              <w:spacing w:after="0"/>
              <w:rPr>
                <w:sz w:val="19"/>
                <w:szCs w:val="19"/>
                <w:color w:val="auto"/>
              </w:rPr>
            </w:pPr>
          </w:p>
        </w:tc>
        <w:tc>
          <w:tcPr>
            <w:tcW w:w="100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380" w:type="dxa"/>
            <w:vAlign w:val="bottom"/>
          </w:tcPr>
          <w:p>
            <w:pPr>
              <w:spacing w:after="0"/>
              <w:rPr>
                <w:sz w:val="19"/>
                <w:szCs w:val="19"/>
                <w:color w:val="auto"/>
              </w:rPr>
            </w:pPr>
          </w:p>
        </w:tc>
        <w:tc>
          <w:tcPr>
            <w:tcW w:w="1140" w:type="dxa"/>
            <w:vAlign w:val="bottom"/>
          </w:tcPr>
          <w:p>
            <w:pPr>
              <w:jc w:val="right"/>
              <w:ind w:right="261"/>
              <w:spacing w:after="0"/>
              <w:rPr>
                <w:sz w:val="20"/>
                <w:szCs w:val="20"/>
                <w:color w:val="auto"/>
              </w:rPr>
            </w:pPr>
            <w:r>
              <w:rPr>
                <w:rFonts w:ascii="Arial" w:cs="Arial" w:eastAsia="Arial" w:hAnsi="Arial"/>
                <w:sz w:val="20"/>
                <w:szCs w:val="20"/>
                <w:color w:val="auto"/>
              </w:rPr>
              <w:t>860</w:t>
            </w:r>
          </w:p>
        </w:tc>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847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457,270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0" w:gutter="0" w:footer="0" w:header="0"/>
        </w:sectPr>
      </w:pPr>
    </w:p>
    <w:bookmarkStart w:id="67" w:name="page68"/>
    <w:bookmarkEnd w:id="67"/>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2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2880" w:type="dxa"/>
            <w:vAlign w:val="bottom"/>
          </w:tcPr>
          <w:p>
            <w:pPr>
              <w:jc w:val="right"/>
              <w:ind w:right="461"/>
              <w:spacing w:after="0"/>
              <w:rPr>
                <w:sz w:val="20"/>
                <w:szCs w:val="20"/>
                <w:color w:val="auto"/>
              </w:rPr>
            </w:pPr>
            <w:r>
              <w:rPr>
                <w:rFonts w:ascii="Arial" w:cs="Arial" w:eastAsia="Arial" w:hAnsi="Arial"/>
                <w:sz w:val="20"/>
                <w:szCs w:val="20"/>
                <w:color w:val="auto"/>
              </w:rPr>
              <w:t>(12,684)</w:t>
            </w:r>
          </w:p>
        </w:tc>
        <w:tc>
          <w:tcPr>
            <w:tcW w:w="1320" w:type="dxa"/>
            <w:vAlign w:val="bottom"/>
          </w:tcPr>
          <w:p>
            <w:pPr>
              <w:jc w:val="right"/>
              <w:ind w:right="361"/>
              <w:spacing w:after="0"/>
              <w:rPr>
                <w:sz w:val="20"/>
                <w:szCs w:val="20"/>
                <w:color w:val="auto"/>
              </w:rPr>
            </w:pPr>
            <w:r>
              <w:rPr>
                <w:rFonts w:ascii="Arial" w:cs="Arial" w:eastAsia="Arial" w:hAnsi="Arial"/>
                <w:sz w:val="20"/>
                <w:szCs w:val="20"/>
                <w:color w:val="auto"/>
              </w:rPr>
              <w:t>(87)</w:t>
            </w:r>
          </w:p>
        </w:tc>
        <w:tc>
          <w:tcPr>
            <w:tcW w:w="1540" w:type="dxa"/>
            <w:vAlign w:val="bottom"/>
          </w:tcPr>
          <w:p>
            <w:pPr>
              <w:jc w:val="right"/>
              <w:ind w:right="401"/>
              <w:spacing w:after="0"/>
              <w:rPr>
                <w:sz w:val="20"/>
                <w:szCs w:val="20"/>
                <w:color w:val="auto"/>
              </w:rPr>
            </w:pPr>
            <w:r>
              <w:rPr>
                <w:rFonts w:ascii="Arial" w:cs="Arial" w:eastAsia="Arial" w:hAnsi="Arial"/>
                <w:sz w:val="20"/>
                <w:szCs w:val="20"/>
                <w:color w:val="auto"/>
              </w:rPr>
              <w:t>(4,261)</w:t>
            </w:r>
          </w:p>
        </w:tc>
        <w:tc>
          <w:tcPr>
            <w:tcW w:w="1180" w:type="dxa"/>
            <w:vAlign w:val="bottom"/>
          </w:tcPr>
          <w:p>
            <w:pPr>
              <w:jc w:val="right"/>
              <w:spacing w:after="0"/>
              <w:rPr>
                <w:sz w:val="20"/>
                <w:szCs w:val="20"/>
                <w:color w:val="auto"/>
              </w:rPr>
            </w:pPr>
            <w:r>
              <w:rPr>
                <w:rFonts w:ascii="Arial" w:cs="Arial" w:eastAsia="Arial" w:hAnsi="Arial"/>
                <w:sz w:val="20"/>
                <w:szCs w:val="20"/>
                <w:color w:val="auto"/>
              </w:rPr>
              <w:t>(17,032)</w:t>
            </w:r>
          </w:p>
        </w:tc>
      </w:tr>
      <w:tr>
        <w:trPr>
          <w:trHeight w:val="250"/>
        </w:trPr>
        <w:tc>
          <w:tcPr>
            <w:tcW w:w="3920" w:type="dxa"/>
            <w:vAlign w:val="bottom"/>
          </w:tcPr>
          <w:p>
            <w:pPr>
              <w:spacing w:after="0"/>
              <w:rPr>
                <w:sz w:val="20"/>
                <w:szCs w:val="20"/>
                <w:color w:val="auto"/>
              </w:rPr>
            </w:pPr>
            <w:r>
              <w:rPr>
                <w:rFonts w:ascii="Arial" w:cs="Arial" w:eastAsia="Arial" w:hAnsi="Arial"/>
                <w:sz w:val="20"/>
                <w:szCs w:val="20"/>
                <w:color w:val="auto"/>
              </w:rPr>
              <w:t>Trademark amortization</w:t>
            </w:r>
          </w:p>
        </w:tc>
        <w:tc>
          <w:tcPr>
            <w:tcW w:w="2880" w:type="dxa"/>
            <w:vAlign w:val="bottom"/>
          </w:tcPr>
          <w:p>
            <w:pPr>
              <w:jc w:val="right"/>
              <w:ind w:right="72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361"/>
              <w:spacing w:after="0"/>
              <w:rPr>
                <w:sz w:val="20"/>
                <w:szCs w:val="20"/>
                <w:color w:val="auto"/>
              </w:rPr>
            </w:pPr>
            <w:r>
              <w:rPr>
                <w:rFonts w:ascii="Arial" w:cs="Arial" w:eastAsia="Arial" w:hAnsi="Arial"/>
                <w:sz w:val="20"/>
                <w:szCs w:val="20"/>
                <w:color w:val="auto"/>
              </w:rPr>
              <w:t>(44)</w:t>
            </w:r>
          </w:p>
        </w:tc>
        <w:tc>
          <w:tcPr>
            <w:tcW w:w="1540" w:type="dxa"/>
            <w:vAlign w:val="bottom"/>
          </w:tcPr>
          <w:p>
            <w:pPr>
              <w:jc w:val="right"/>
              <w:ind w:right="401"/>
              <w:spacing w:after="0"/>
              <w:rPr>
                <w:sz w:val="20"/>
                <w:szCs w:val="20"/>
                <w:color w:val="auto"/>
              </w:rPr>
            </w:pPr>
            <w:r>
              <w:rPr>
                <w:rFonts w:ascii="Arial" w:cs="Arial" w:eastAsia="Arial" w:hAnsi="Arial"/>
                <w:sz w:val="20"/>
                <w:szCs w:val="20"/>
                <w:color w:val="auto"/>
              </w:rPr>
              <w:t>(8)</w:t>
            </w:r>
          </w:p>
        </w:tc>
        <w:tc>
          <w:tcPr>
            <w:tcW w:w="1180" w:type="dxa"/>
            <w:vAlign w:val="bottom"/>
          </w:tcPr>
          <w:p>
            <w:pPr>
              <w:jc w:val="right"/>
              <w:spacing w:after="0"/>
              <w:rPr>
                <w:sz w:val="20"/>
                <w:szCs w:val="20"/>
                <w:color w:val="auto"/>
              </w:rPr>
            </w:pPr>
            <w:r>
              <w:rPr>
                <w:rFonts w:ascii="Arial" w:cs="Arial" w:eastAsia="Arial" w:hAnsi="Arial"/>
                <w:sz w:val="20"/>
                <w:szCs w:val="20"/>
                <w:color w:val="auto"/>
              </w:rPr>
              <w:t>(52)</w:t>
            </w:r>
          </w:p>
        </w:tc>
      </w:tr>
    </w:tbl>
    <w:p>
      <w:pPr>
        <w:spacing w:after="0" w:line="200" w:lineRule="exact"/>
        <w:rPr>
          <w:sz w:val="20"/>
          <w:szCs w:val="20"/>
          <w:color w:val="auto"/>
        </w:rPr>
      </w:pPr>
    </w:p>
    <w:p>
      <w:pPr>
        <w:spacing w:after="0" w:line="238"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Revenue is derived from sales to external customers. Operating expenses that pertain to each segment are allocated to the appropriate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9"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Corporate and unallocated expenses were $152.3 million for the year ended December 31, 2013 and included $82.5 million of payroll costs, of which $28.8 million was attributable to stock-based compensation expense (see Note 12, “Stock-Based Compensation”), and $38.7 million was attributable to professional service expenses, including accounting and legal costs, and $31.1 million of other operating expenses. Corporate and unallocated expenses were $113.5 million for the year ended December 31, 2012 and included $73.0 million of payroll costs, of which $28.4 million was attributable to stock-based compensation expense (see Note 12, “Stock-Based Compensation”), and $19.7 million was attributable to professional service expenses, including accounting and legal costs, $4.4 million of depreciation and $16.4 million of other operating expenses. Corporate and unallocated expenses were $91.1 million for the year ended December 31, 2011 and included $55.8 million of payroll costs, of which $19.4 million was attributable to stock-based compensation expense (see Note 12, “Stock-Based Compensation”), and $17.8 million was attributable to professional service expenses, including accounting and legal costs, $4.1 million of depreciation and $13.4 million of other operating expenses.</w:t>
      </w:r>
    </w:p>
    <w:p>
      <w:pPr>
        <w:spacing w:after="0" w:line="19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CCR, a customer of the DSD segment, accounted for 29%, 28% and 29% of the Company’s net sales for the years ended December 31, 2013, 2012 and 2011, respectively.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to customers outside the United States amounted to $467.2 million, $415.8 million and $300.9 million for the years 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2012 and 2011, respectively.  Such sales were approximately 20.8%, 20.2% and 17.7% of net sales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2013, 2012 and 2011, respectively.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Company’s net sales by product line for years ended December 31, 2013, 2012 and 2011, respectively, were as follows:</w:t>
      </w:r>
    </w:p>
    <w:p>
      <w:pPr>
        <w:spacing w:after="0" w:line="200" w:lineRule="exact"/>
        <w:rPr>
          <w:sz w:val="20"/>
          <w:szCs w:val="20"/>
          <w:color w:val="auto"/>
        </w:rPr>
      </w:pPr>
    </w:p>
    <w:p>
      <w:pPr>
        <w:spacing w:after="0" w:line="270" w:lineRule="exact"/>
        <w:rPr>
          <w:sz w:val="20"/>
          <w:szCs w:val="20"/>
          <w:color w:val="auto"/>
        </w:rPr>
      </w:pPr>
    </w:p>
    <w:tbl>
      <w:tblPr>
        <w:tblLayout w:type="fixed"/>
        <w:tblInd w:w="660" w:type="dxa"/>
        <w:tblCellMar>
          <w:top w:w="0" w:type="dxa"/>
          <w:left w:w="0" w:type="dxa"/>
          <w:bottom w:w="0" w:type="dxa"/>
          <w:right w:w="0" w:type="dxa"/>
        </w:tblCellMar>
      </w:tblPr>
      <w:tr>
        <w:trPr>
          <w:trHeight w:val="246"/>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Product Line</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2013</w:t>
            </w:r>
          </w:p>
        </w:tc>
        <w:tc>
          <w:tcPr>
            <w:tcW w:w="2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2012</w:t>
            </w:r>
          </w:p>
        </w:tc>
        <w:tc>
          <w:tcPr>
            <w:tcW w:w="2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2011</w:t>
            </w:r>
          </w:p>
        </w:tc>
      </w:tr>
      <w:tr>
        <w:trPr>
          <w:trHeight w:val="206"/>
        </w:trPr>
        <w:tc>
          <w:tcPr>
            <w:tcW w:w="5120" w:type="dxa"/>
            <w:vAlign w:val="bottom"/>
          </w:tcPr>
          <w:p>
            <w:pPr>
              <w:ind w:left="40"/>
              <w:spacing w:after="0" w:line="207" w:lineRule="exact"/>
              <w:rPr>
                <w:sz w:val="20"/>
                <w:szCs w:val="20"/>
                <w:color w:val="auto"/>
              </w:rPr>
            </w:pPr>
            <w:r>
              <w:rPr>
                <w:rFonts w:ascii="Arial" w:cs="Arial" w:eastAsia="Arial" w:hAnsi="Arial"/>
                <w:sz w:val="20"/>
                <w:szCs w:val="20"/>
                <w:color w:val="auto"/>
              </w:rPr>
              <w:t>Energy drinks</w:t>
            </w:r>
          </w:p>
        </w:tc>
        <w:tc>
          <w:tcPr>
            <w:tcW w:w="3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line="207" w:lineRule="exact"/>
              <w:rPr>
                <w:sz w:val="20"/>
                <w:szCs w:val="20"/>
                <w:color w:val="auto"/>
              </w:rPr>
            </w:pPr>
            <w:r>
              <w:rPr>
                <w:rFonts w:ascii="Arial" w:cs="Arial" w:eastAsia="Arial" w:hAnsi="Arial"/>
                <w:sz w:val="20"/>
                <w:szCs w:val="20"/>
                <w:color w:val="auto"/>
                <w:w w:val="98"/>
              </w:rPr>
              <w:t>2,082,238</w:t>
            </w:r>
          </w:p>
        </w:tc>
        <w:tc>
          <w:tcPr>
            <w:tcW w:w="280" w:type="dxa"/>
            <w:vAlign w:val="bottom"/>
          </w:tcPr>
          <w:p>
            <w:pPr>
              <w:spacing w:after="0"/>
              <w:rPr>
                <w:sz w:val="17"/>
                <w:szCs w:val="17"/>
                <w:color w:val="auto"/>
              </w:rPr>
            </w:pP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line="207" w:lineRule="exact"/>
              <w:rPr>
                <w:sz w:val="20"/>
                <w:szCs w:val="20"/>
                <w:color w:val="auto"/>
              </w:rPr>
            </w:pPr>
            <w:r>
              <w:rPr>
                <w:rFonts w:ascii="Arial" w:cs="Arial" w:eastAsia="Arial" w:hAnsi="Arial"/>
                <w:sz w:val="20"/>
                <w:szCs w:val="20"/>
                <w:color w:val="auto"/>
                <w:w w:val="98"/>
              </w:rPr>
              <w:t>1,906,236</w:t>
            </w:r>
          </w:p>
        </w:tc>
        <w:tc>
          <w:tcPr>
            <w:tcW w:w="280" w:type="dxa"/>
            <w:vAlign w:val="bottom"/>
          </w:tcPr>
          <w:p>
            <w:pPr>
              <w:spacing w:after="0"/>
              <w:rPr>
                <w:sz w:val="17"/>
                <w:szCs w:val="17"/>
                <w:color w:val="auto"/>
              </w:rPr>
            </w:pPr>
          </w:p>
        </w:tc>
        <w:tc>
          <w:tcPr>
            <w:tcW w:w="3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line="207" w:lineRule="exact"/>
              <w:rPr>
                <w:sz w:val="20"/>
                <w:szCs w:val="20"/>
                <w:color w:val="auto"/>
              </w:rPr>
            </w:pPr>
            <w:r>
              <w:rPr>
                <w:rFonts w:ascii="Arial" w:cs="Arial" w:eastAsia="Arial" w:hAnsi="Arial"/>
                <w:sz w:val="20"/>
                <w:szCs w:val="20"/>
                <w:color w:val="auto"/>
                <w:w w:val="98"/>
              </w:rPr>
              <w:t>1,563,331</w:t>
            </w:r>
          </w:p>
        </w:tc>
      </w:tr>
      <w:tr>
        <w:trPr>
          <w:trHeight w:val="230"/>
        </w:trPr>
        <w:tc>
          <w:tcPr>
            <w:tcW w:w="5120" w:type="dxa"/>
            <w:vAlign w:val="bottom"/>
          </w:tcPr>
          <w:p>
            <w:pPr>
              <w:ind w:left="40"/>
              <w:spacing w:after="0"/>
              <w:rPr>
                <w:sz w:val="20"/>
                <w:szCs w:val="20"/>
                <w:color w:val="auto"/>
              </w:rPr>
            </w:pPr>
            <w:r>
              <w:rPr>
                <w:rFonts w:ascii="Arial" w:cs="Arial" w:eastAsia="Arial" w:hAnsi="Arial"/>
                <w:sz w:val="20"/>
                <w:szCs w:val="20"/>
                <w:color w:val="auto"/>
              </w:rPr>
              <w:t>Non-carbonated (primarily juice based beverages)</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120,145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110,217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94,398</w:t>
            </w:r>
          </w:p>
        </w:tc>
      </w:tr>
      <w:tr>
        <w:trPr>
          <w:trHeight w:val="230"/>
        </w:trPr>
        <w:tc>
          <w:tcPr>
            <w:tcW w:w="5120" w:type="dxa"/>
            <w:vAlign w:val="bottom"/>
          </w:tcPr>
          <w:p>
            <w:pPr>
              <w:ind w:left="40"/>
              <w:spacing w:after="0"/>
              <w:rPr>
                <w:sz w:val="20"/>
                <w:szCs w:val="20"/>
                <w:color w:val="auto"/>
              </w:rPr>
            </w:pPr>
            <w:r>
              <w:rPr>
                <w:rFonts w:ascii="Arial" w:cs="Arial" w:eastAsia="Arial" w:hAnsi="Arial"/>
                <w:sz w:val="20"/>
                <w:szCs w:val="20"/>
                <w:color w:val="auto"/>
              </w:rPr>
              <w:t>Carbonated (primarily soda beverages)</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29,245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31,044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32,467</w:t>
            </w:r>
          </w:p>
        </w:tc>
      </w:tr>
      <w:tr>
        <w:trPr>
          <w:trHeight w:val="246"/>
        </w:trPr>
        <w:tc>
          <w:tcPr>
            <w:tcW w:w="5120" w:type="dxa"/>
            <w:vAlign w:val="bottom"/>
          </w:tcPr>
          <w:p>
            <w:pPr>
              <w:ind w:left="40"/>
              <w:spacing w:after="0"/>
              <w:rPr>
                <w:sz w:val="20"/>
                <w:szCs w:val="20"/>
                <w:color w:val="auto"/>
              </w:rPr>
            </w:pPr>
            <w:r>
              <w:rPr>
                <w:rFonts w:ascii="Arial" w:cs="Arial" w:eastAsia="Arial" w:hAnsi="Arial"/>
                <w:sz w:val="20"/>
                <w:szCs w:val="20"/>
                <w:color w:val="auto"/>
              </w:rPr>
              <w:t>Other</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14,800</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13,205</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13,034</w:t>
            </w:r>
          </w:p>
        </w:tc>
      </w:tr>
      <w:tr>
        <w:trPr>
          <w:trHeight w:val="223"/>
        </w:trPr>
        <w:tc>
          <w:tcPr>
            <w:tcW w:w="5120" w:type="dxa"/>
            <w:vAlign w:val="bottom"/>
          </w:tcPr>
          <w:p>
            <w:pPr>
              <w:spacing w:after="0"/>
              <w:rPr>
                <w:sz w:val="19"/>
                <w:szCs w:val="19"/>
                <w:color w:val="auto"/>
              </w:rPr>
            </w:pPr>
          </w:p>
        </w:tc>
        <w:tc>
          <w:tcPr>
            <w:tcW w:w="3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w w:val="98"/>
              </w:rPr>
              <w:t>2,246,428</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w w:val="98"/>
              </w:rPr>
              <w:t>2,060,702</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w w:val="98"/>
              </w:rPr>
              <w:t>1,703,230</w:t>
            </w: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Two directors and officers of the Company and their families are principal owners of a company that provides promotional materials to the Company. Expenses incurred with such company in connection with promotional materials purchased during the years ended December 31, 2013, 2012 and 2011 were $1.0 million, $1.0 million and $1.2 million, respectively.</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 director of the Company was a partner in a law firm (the director resigned from the law firm effective July 10, 2011) that serves as counsel to the Company. Expenses incurred in connection with services rendered by such firm to the Company during the year ended December 31, 2011 were $4.0 million.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9"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QUARTERLY FINANCIAL DATA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6"/>
          </w:tcPr>
          <w:p>
            <w:pPr>
              <w:jc w:val="right"/>
              <w:ind w:right="161"/>
              <w:spacing w:after="0"/>
              <w:rPr>
                <w:sz w:val="20"/>
                <w:szCs w:val="20"/>
                <w:color w:val="auto"/>
              </w:rPr>
            </w:pPr>
            <w:r>
              <w:rPr>
                <w:rFonts w:ascii="Arial" w:cs="Arial" w:eastAsia="Arial" w:hAnsi="Arial"/>
                <w:sz w:val="20"/>
                <w:szCs w:val="20"/>
                <w:color w:val="auto"/>
              </w:rPr>
              <w:t>Net Income per Common</w:t>
            </w:r>
          </w:p>
        </w:tc>
        <w:tc>
          <w:tcPr>
            <w:tcW w:w="0" w:type="dxa"/>
            <w:vAlign w:val="bottom"/>
          </w:tcPr>
          <w:p>
            <w:pPr>
              <w:spacing w:after="0"/>
              <w:rPr>
                <w:sz w:val="1"/>
                <w:szCs w:val="1"/>
                <w:color w:val="auto"/>
              </w:rPr>
            </w:pPr>
          </w:p>
        </w:tc>
      </w:tr>
      <w:tr>
        <w:trPr>
          <w:trHeight w:val="246"/>
        </w:trPr>
        <w:tc>
          <w:tcPr>
            <w:tcW w:w="3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20"/>
                <w:szCs w:val="20"/>
                <w:color w:val="auto"/>
              </w:rPr>
              <w:t>Net Sales</w:t>
            </w:r>
          </w:p>
        </w:tc>
        <w:tc>
          <w:tcPr>
            <w:tcW w:w="1780" w:type="dxa"/>
            <w:vAlign w:val="bottom"/>
            <w:gridSpan w:val="3"/>
            <w:vMerge w:val="restart"/>
          </w:tcPr>
          <w:p>
            <w:pPr>
              <w:ind w:left="260"/>
              <w:spacing w:after="0"/>
              <w:rPr>
                <w:sz w:val="20"/>
                <w:szCs w:val="20"/>
                <w:color w:val="auto"/>
              </w:rPr>
            </w:pPr>
            <w:r>
              <w:rPr>
                <w:rFonts w:ascii="Arial" w:cs="Arial" w:eastAsia="Arial" w:hAnsi="Arial"/>
                <w:sz w:val="20"/>
                <w:szCs w:val="20"/>
                <w:color w:val="auto"/>
              </w:rPr>
              <w:t>Gross Profit</w:t>
            </w:r>
          </w:p>
        </w:tc>
        <w:tc>
          <w:tcPr>
            <w:tcW w:w="260" w:type="dxa"/>
            <w:vAlign w:val="bottom"/>
          </w:tcPr>
          <w:p>
            <w:pPr>
              <w:spacing w:after="0"/>
              <w:rPr>
                <w:sz w:val="21"/>
                <w:szCs w:val="21"/>
                <w:color w:val="auto"/>
              </w:rPr>
            </w:pPr>
          </w:p>
        </w:tc>
        <w:tc>
          <w:tcPr>
            <w:tcW w:w="1500" w:type="dxa"/>
            <w:vAlign w:val="bottom"/>
            <w:gridSpan w:val="2"/>
            <w:vMerge w:val="restart"/>
          </w:tcPr>
          <w:p>
            <w:pPr>
              <w:spacing w:after="0"/>
              <w:rPr>
                <w:sz w:val="20"/>
                <w:szCs w:val="20"/>
                <w:color w:val="auto"/>
              </w:rPr>
            </w:pPr>
            <w:r>
              <w:rPr>
                <w:rFonts w:ascii="Arial" w:cs="Arial" w:eastAsia="Arial" w:hAnsi="Arial"/>
                <w:sz w:val="20"/>
                <w:szCs w:val="20"/>
                <w:color w:val="auto"/>
              </w:rPr>
              <w:t>Net Income</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20"/>
                <w:szCs w:val="20"/>
                <w:color w:val="auto"/>
                <w:w w:val="78"/>
              </w:rPr>
              <w:t>Share</w:t>
            </w: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60" w:type="dxa"/>
            <w:vAlign w:val="bottom"/>
            <w:vMerge w:val="restart"/>
          </w:tcPr>
          <w:p>
            <w:pPr>
              <w:spacing w:after="0"/>
              <w:rPr>
                <w:sz w:val="20"/>
                <w:szCs w:val="20"/>
                <w:color w:val="auto"/>
              </w:rPr>
            </w:pPr>
            <w:r>
              <w:rPr>
                <w:rFonts w:ascii="Arial" w:cs="Arial" w:eastAsia="Arial" w:hAnsi="Arial"/>
                <w:sz w:val="20"/>
                <w:szCs w:val="20"/>
                <w:color w:val="auto"/>
              </w:rPr>
              <w:t>Quarter ended:</w:t>
            </w:r>
          </w:p>
        </w:tc>
        <w:tc>
          <w:tcPr>
            <w:tcW w:w="30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78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161"/>
              <w:spacing w:after="0" w:line="223" w:lineRule="exact"/>
              <w:rPr>
                <w:sz w:val="20"/>
                <w:szCs w:val="20"/>
                <w:color w:val="auto"/>
              </w:rPr>
            </w:pPr>
            <w:r>
              <w:rPr>
                <w:rFonts w:ascii="Arial" w:cs="Arial" w:eastAsia="Arial" w:hAnsi="Arial"/>
                <w:sz w:val="20"/>
                <w:szCs w:val="20"/>
                <w:color w:val="auto"/>
                <w:w w:val="93"/>
              </w:rPr>
              <w:t>Basic</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81"/>
              <w:spacing w:after="0" w:line="223" w:lineRule="exact"/>
              <w:rPr>
                <w:sz w:val="20"/>
                <w:szCs w:val="20"/>
                <w:color w:val="auto"/>
              </w:rPr>
            </w:pPr>
            <w:r>
              <w:rPr>
                <w:rFonts w:ascii="Arial" w:cs="Arial" w:eastAsia="Arial" w:hAnsi="Arial"/>
                <w:sz w:val="20"/>
                <w:szCs w:val="20"/>
                <w:color w:val="auto"/>
                <w:w w:val="93"/>
              </w:rPr>
              <w:t>Diluted</w:t>
            </w:r>
          </w:p>
        </w:tc>
        <w:tc>
          <w:tcPr>
            <w:tcW w:w="0" w:type="dxa"/>
            <w:vAlign w:val="bottom"/>
          </w:tcPr>
          <w:p>
            <w:pPr>
              <w:spacing w:after="0"/>
              <w:rPr>
                <w:sz w:val="1"/>
                <w:szCs w:val="1"/>
                <w:color w:val="auto"/>
              </w:rPr>
            </w:pPr>
          </w:p>
        </w:tc>
      </w:tr>
      <w:tr>
        <w:trPr>
          <w:trHeight w:val="193"/>
        </w:trPr>
        <w:tc>
          <w:tcPr>
            <w:tcW w:w="346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Pr>
          <w:p>
            <w:pPr>
              <w:ind w:left="340"/>
              <w:spacing w:after="0"/>
              <w:rPr>
                <w:sz w:val="20"/>
                <w:szCs w:val="20"/>
                <w:color w:val="auto"/>
              </w:rPr>
            </w:pPr>
            <w:r>
              <w:rPr>
                <w:rFonts w:ascii="Arial" w:cs="Arial" w:eastAsia="Arial" w:hAnsi="Arial"/>
                <w:sz w:val="20"/>
                <w:szCs w:val="20"/>
                <w:color w:val="auto"/>
              </w:rPr>
              <w:t>March 31, 2013</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484,223</w:t>
            </w:r>
          </w:p>
        </w:tc>
        <w:tc>
          <w:tcPr>
            <w:tcW w:w="280" w:type="dxa"/>
            <w:vAlign w:val="bottom"/>
          </w:tcPr>
          <w:p>
            <w:pPr>
              <w:spacing w:after="0"/>
              <w:rPr>
                <w:sz w:val="21"/>
                <w:szCs w:val="21"/>
                <w:color w:val="auto"/>
              </w:rPr>
            </w:pP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252,039</w:t>
            </w:r>
          </w:p>
        </w:tc>
        <w:tc>
          <w:tcPr>
            <w:tcW w:w="2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63,496</w:t>
            </w:r>
          </w:p>
        </w:tc>
        <w:tc>
          <w:tcPr>
            <w:tcW w:w="3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0.38</w:t>
            </w:r>
          </w:p>
        </w:tc>
        <w:tc>
          <w:tcPr>
            <w:tcW w:w="62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1"/>
              <w:spacing w:after="0"/>
              <w:rPr>
                <w:sz w:val="20"/>
                <w:szCs w:val="20"/>
                <w:color w:val="auto"/>
              </w:rPr>
            </w:pPr>
            <w:r>
              <w:rPr>
                <w:rFonts w:ascii="Arial" w:cs="Arial" w:eastAsia="Arial" w:hAnsi="Arial"/>
                <w:sz w:val="20"/>
                <w:szCs w:val="20"/>
                <w:color w:val="auto"/>
              </w:rPr>
              <w:t>0.37</w:t>
            </w:r>
          </w:p>
        </w:tc>
        <w:tc>
          <w:tcPr>
            <w:tcW w:w="0" w:type="dxa"/>
            <w:vAlign w:val="bottom"/>
          </w:tcPr>
          <w:p>
            <w:pPr>
              <w:spacing w:after="0"/>
              <w:rPr>
                <w:sz w:val="1"/>
                <w:szCs w:val="1"/>
                <w:color w:val="auto"/>
              </w:rPr>
            </w:pPr>
          </w:p>
        </w:tc>
      </w:tr>
    </w:tbl>
    <w:p>
      <w:pPr>
        <w:sectPr>
          <w:pgSz w:w="11900" w:h="16888" w:orient="portrait"/>
          <w:cols w:equalWidth="0" w:num="1">
            <w:col w:w="11420"/>
          </w:cols>
          <w:pgMar w:left="240" w:top="122" w:right="239"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460" w:type="dxa"/>
            <w:vAlign w:val="bottom"/>
          </w:tcPr>
          <w:p>
            <w:pPr>
              <w:ind w:left="340"/>
              <w:spacing w:after="0"/>
              <w:rPr>
                <w:sz w:val="20"/>
                <w:szCs w:val="20"/>
                <w:color w:val="auto"/>
              </w:rPr>
            </w:pPr>
            <w:r>
              <w:rPr>
                <w:rFonts w:ascii="Arial" w:cs="Arial" w:eastAsia="Arial" w:hAnsi="Arial"/>
                <w:sz w:val="20"/>
                <w:szCs w:val="20"/>
                <w:color w:val="auto"/>
              </w:rPr>
              <w:t>June 30, 2013</w:t>
            </w:r>
          </w:p>
        </w:tc>
        <w:tc>
          <w:tcPr>
            <w:tcW w:w="42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630,934</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336,262</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106,873</w:t>
            </w:r>
          </w:p>
        </w:tc>
        <w:tc>
          <w:tcPr>
            <w:tcW w:w="7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0.64</w:t>
            </w:r>
          </w:p>
        </w:tc>
        <w:tc>
          <w:tcPr>
            <w:tcW w:w="5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0.62</w:t>
            </w: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20"/>
                <w:szCs w:val="20"/>
                <w:color w:val="auto"/>
              </w:rPr>
              <w:t>September 30, 2013</w:t>
            </w:r>
          </w:p>
        </w:tc>
        <w:tc>
          <w:tcPr>
            <w:tcW w:w="4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590,422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307,470</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92,187</w:t>
            </w:r>
          </w:p>
        </w:tc>
        <w:tc>
          <w:tcPr>
            <w:tcW w:w="7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0.55</w:t>
            </w:r>
          </w:p>
        </w:tc>
        <w:tc>
          <w:tcPr>
            <w:tcW w:w="5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0.53</w:t>
            </w:r>
          </w:p>
        </w:tc>
        <w:tc>
          <w:tcPr>
            <w:tcW w:w="0" w:type="dxa"/>
            <w:vAlign w:val="bottom"/>
          </w:tcPr>
          <w:p>
            <w:pPr>
              <w:spacing w:after="0"/>
              <w:rPr>
                <w:sz w:val="1"/>
                <w:szCs w:val="1"/>
                <w:color w:val="auto"/>
              </w:rPr>
            </w:pPr>
          </w:p>
        </w:tc>
      </w:tr>
      <w:tr>
        <w:trPr>
          <w:trHeight w:val="246"/>
        </w:trPr>
        <w:tc>
          <w:tcPr>
            <w:tcW w:w="3460" w:type="dxa"/>
            <w:vAlign w:val="bottom"/>
          </w:tcPr>
          <w:p>
            <w:pPr>
              <w:ind w:left="340"/>
              <w:spacing w:after="0"/>
              <w:rPr>
                <w:sz w:val="20"/>
                <w:szCs w:val="20"/>
                <w:color w:val="auto"/>
              </w:rPr>
            </w:pPr>
            <w:r>
              <w:rPr>
                <w:rFonts w:ascii="Arial" w:cs="Arial" w:eastAsia="Arial" w:hAnsi="Arial"/>
                <w:sz w:val="20"/>
                <w:szCs w:val="20"/>
                <w:color w:val="auto"/>
              </w:rPr>
              <w:t>December 31, 2013</w:t>
            </w: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540,849</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277,160</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76,105</w:t>
            </w:r>
          </w:p>
        </w:tc>
        <w:tc>
          <w:tcPr>
            <w:tcW w:w="7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0.46</w:t>
            </w:r>
          </w:p>
        </w:tc>
        <w:tc>
          <w:tcPr>
            <w:tcW w:w="5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0.44</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2,246,428</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1,172,931</w:t>
            </w:r>
          </w:p>
        </w:tc>
        <w:tc>
          <w:tcPr>
            <w:tcW w:w="280" w:type="dxa"/>
            <w:vAlign w:val="bottom"/>
          </w:tcPr>
          <w:p>
            <w:pPr>
              <w:spacing w:after="0"/>
              <w:rPr>
                <w:sz w:val="19"/>
                <w:szCs w:val="19"/>
                <w:color w:val="auto"/>
              </w:rPr>
            </w:pPr>
          </w:p>
        </w:tc>
        <w:tc>
          <w:tcPr>
            <w:tcW w:w="48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338,661</w:t>
            </w: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20"/>
                <w:szCs w:val="20"/>
                <w:color w:val="auto"/>
              </w:rPr>
              <w:t>Quarter ended:</w:t>
            </w: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4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20"/>
                <w:szCs w:val="20"/>
                <w:color w:val="auto"/>
              </w:rPr>
              <w:t>March 31, 2012</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454,605</w:t>
            </w:r>
          </w:p>
        </w:tc>
        <w:tc>
          <w:tcPr>
            <w:tcW w:w="280" w:type="dxa"/>
            <w:vAlign w:val="bottom"/>
          </w:tcPr>
          <w:p>
            <w:pPr>
              <w:spacing w:after="0"/>
              <w:rPr>
                <w:sz w:val="19"/>
                <w:szCs w:val="19"/>
                <w:color w:val="auto"/>
              </w:rPr>
            </w:pPr>
          </w:p>
        </w:tc>
        <w:tc>
          <w:tcPr>
            <w:tcW w:w="4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241,169</w:t>
            </w:r>
          </w:p>
        </w:tc>
        <w:tc>
          <w:tcPr>
            <w:tcW w:w="280" w:type="dxa"/>
            <w:vAlign w:val="bottom"/>
          </w:tcPr>
          <w:p>
            <w:pPr>
              <w:spacing w:after="0"/>
              <w:rPr>
                <w:sz w:val="19"/>
                <w:szCs w:val="19"/>
                <w:color w:val="auto"/>
              </w:rPr>
            </w:pPr>
          </w:p>
        </w:tc>
        <w:tc>
          <w:tcPr>
            <w:tcW w:w="4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76,099</w:t>
            </w:r>
          </w:p>
        </w:tc>
        <w:tc>
          <w:tcPr>
            <w:tcW w:w="7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0.44</w:t>
            </w:r>
          </w:p>
        </w:tc>
        <w:tc>
          <w:tcPr>
            <w:tcW w:w="5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0.41</w:t>
            </w: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20"/>
                <w:szCs w:val="20"/>
                <w:color w:val="auto"/>
              </w:rPr>
              <w:t>June 30, 2012</w:t>
            </w:r>
          </w:p>
        </w:tc>
        <w:tc>
          <w:tcPr>
            <w:tcW w:w="4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592,640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307,008</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109,795</w:t>
            </w:r>
          </w:p>
        </w:tc>
        <w:tc>
          <w:tcPr>
            <w:tcW w:w="7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0.62</w:t>
            </w:r>
          </w:p>
        </w:tc>
        <w:tc>
          <w:tcPr>
            <w:tcW w:w="5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0.59</w:t>
            </w:r>
          </w:p>
        </w:tc>
        <w:tc>
          <w:tcPr>
            <w:tcW w:w="0" w:type="dxa"/>
            <w:vAlign w:val="bottom"/>
          </w:tcPr>
          <w:p>
            <w:pPr>
              <w:spacing w:after="0"/>
              <w:rPr>
                <w:sz w:val="1"/>
                <w:szCs w:val="1"/>
                <w:color w:val="auto"/>
              </w:rPr>
            </w:pPr>
          </w:p>
        </w:tc>
      </w:tr>
      <w:tr>
        <w:trPr>
          <w:trHeight w:val="230"/>
        </w:trPr>
        <w:tc>
          <w:tcPr>
            <w:tcW w:w="3460" w:type="dxa"/>
            <w:vAlign w:val="bottom"/>
          </w:tcPr>
          <w:p>
            <w:pPr>
              <w:ind w:left="340"/>
              <w:spacing w:after="0"/>
              <w:rPr>
                <w:sz w:val="20"/>
                <w:szCs w:val="20"/>
                <w:color w:val="auto"/>
              </w:rPr>
            </w:pPr>
            <w:r>
              <w:rPr>
                <w:rFonts w:ascii="Arial" w:cs="Arial" w:eastAsia="Arial" w:hAnsi="Arial"/>
                <w:sz w:val="20"/>
                <w:szCs w:val="20"/>
                <w:color w:val="auto"/>
              </w:rPr>
              <w:t>September 30, 2012</w:t>
            </w:r>
          </w:p>
        </w:tc>
        <w:tc>
          <w:tcPr>
            <w:tcW w:w="4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541,940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273,592</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86,142</w:t>
            </w:r>
          </w:p>
        </w:tc>
        <w:tc>
          <w:tcPr>
            <w:tcW w:w="7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0.49</w:t>
            </w:r>
          </w:p>
        </w:tc>
        <w:tc>
          <w:tcPr>
            <w:tcW w:w="5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0.47</w:t>
            </w:r>
          </w:p>
        </w:tc>
        <w:tc>
          <w:tcPr>
            <w:tcW w:w="0" w:type="dxa"/>
            <w:vAlign w:val="bottom"/>
          </w:tcPr>
          <w:p>
            <w:pPr>
              <w:spacing w:after="0"/>
              <w:rPr>
                <w:sz w:val="1"/>
                <w:szCs w:val="1"/>
                <w:color w:val="auto"/>
              </w:rPr>
            </w:pPr>
          </w:p>
        </w:tc>
      </w:tr>
      <w:tr>
        <w:trPr>
          <w:trHeight w:val="246"/>
        </w:trPr>
        <w:tc>
          <w:tcPr>
            <w:tcW w:w="3460" w:type="dxa"/>
            <w:vAlign w:val="bottom"/>
          </w:tcPr>
          <w:p>
            <w:pPr>
              <w:ind w:left="340"/>
              <w:spacing w:after="0"/>
              <w:rPr>
                <w:sz w:val="20"/>
                <w:szCs w:val="20"/>
                <w:color w:val="auto"/>
              </w:rPr>
            </w:pPr>
            <w:r>
              <w:rPr>
                <w:rFonts w:ascii="Arial" w:cs="Arial" w:eastAsia="Arial" w:hAnsi="Arial"/>
                <w:sz w:val="20"/>
                <w:szCs w:val="20"/>
                <w:color w:val="auto"/>
              </w:rPr>
              <w:t>December 31, 2012</w:t>
            </w: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471,517</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243,887</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67,984</w:t>
            </w:r>
          </w:p>
        </w:tc>
        <w:tc>
          <w:tcPr>
            <w:tcW w:w="7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0.40</w:t>
            </w:r>
          </w:p>
        </w:tc>
        <w:tc>
          <w:tcPr>
            <w:tcW w:w="5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0.39</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2,060,702</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1,065,656</w:t>
            </w:r>
          </w:p>
        </w:tc>
        <w:tc>
          <w:tcPr>
            <w:tcW w:w="280" w:type="dxa"/>
            <w:vAlign w:val="bottom"/>
          </w:tcPr>
          <w:p>
            <w:pPr>
              <w:spacing w:after="0"/>
              <w:rPr>
                <w:sz w:val="19"/>
                <w:szCs w:val="19"/>
                <w:color w:val="auto"/>
              </w:rPr>
            </w:pPr>
          </w:p>
        </w:tc>
        <w:tc>
          <w:tcPr>
            <w:tcW w:w="48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340,020</w:t>
            </w: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Certain of the figures reported above may differ from previously reported figures for individual quarters due to rounding.</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II – VALUATION AND QUALIFYING ACCOUNTS</w:t>
      </w:r>
    </w:p>
    <w:p>
      <w:pPr>
        <w:spacing w:after="0"/>
        <w:rPr>
          <w:sz w:val="20"/>
          <w:szCs w:val="20"/>
          <w:color w:val="auto"/>
        </w:rPr>
      </w:pPr>
      <w:r>
        <w:rPr>
          <w:rFonts w:ascii="Arial" w:cs="Arial" w:eastAsia="Arial" w:hAnsi="Arial"/>
          <w:sz w:val="22"/>
          <w:szCs w:val="22"/>
          <w:b w:val="1"/>
          <w:bCs w:val="1"/>
          <w:color w:val="auto"/>
        </w:rPr>
        <w:t>FOR THE YEARS ENDED DECEMBER 31, 2013, 2012 AND 2011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9"/>
                <w:szCs w:val="19"/>
                <w:color w:val="auto"/>
                <w:w w:val="89"/>
              </w:rPr>
              <w:t>Balance at</w:t>
            </w:r>
          </w:p>
        </w:tc>
        <w:tc>
          <w:tcPr>
            <w:tcW w:w="1860" w:type="dxa"/>
            <w:vAlign w:val="bottom"/>
            <w:gridSpan w:val="2"/>
          </w:tcPr>
          <w:p>
            <w:pPr>
              <w:jc w:val="center"/>
              <w:ind w:right="280"/>
              <w:spacing w:after="0"/>
              <w:rPr>
                <w:sz w:val="20"/>
                <w:szCs w:val="20"/>
                <w:color w:val="auto"/>
              </w:rPr>
            </w:pPr>
            <w:r>
              <w:rPr>
                <w:rFonts w:ascii="Arial" w:cs="Arial" w:eastAsia="Arial" w:hAnsi="Arial"/>
                <w:sz w:val="19"/>
                <w:szCs w:val="19"/>
                <w:color w:val="auto"/>
                <w:w w:val="87"/>
              </w:rPr>
              <w:t>Charged to</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9"/>
                <w:szCs w:val="19"/>
                <w:color w:val="auto"/>
                <w:w w:val="89"/>
              </w:rPr>
              <w:t>Balance at</w:t>
            </w:r>
          </w:p>
        </w:tc>
      </w:tr>
      <w:tr>
        <w:trPr>
          <w:trHeight w:val="216"/>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center"/>
              <w:ind w:right="320"/>
              <w:spacing w:after="0" w:line="216" w:lineRule="exact"/>
              <w:rPr>
                <w:sz w:val="20"/>
                <w:szCs w:val="20"/>
                <w:color w:val="auto"/>
              </w:rPr>
            </w:pPr>
            <w:r>
              <w:rPr>
                <w:rFonts w:ascii="Arial" w:cs="Arial" w:eastAsia="Arial" w:hAnsi="Arial"/>
                <w:sz w:val="19"/>
                <w:szCs w:val="19"/>
                <w:color w:val="auto"/>
                <w:w w:val="92"/>
              </w:rPr>
              <w:t>beginning</w:t>
            </w:r>
          </w:p>
        </w:tc>
        <w:tc>
          <w:tcPr>
            <w:tcW w:w="1860" w:type="dxa"/>
            <w:vAlign w:val="bottom"/>
            <w:gridSpan w:val="2"/>
          </w:tcPr>
          <w:p>
            <w:pPr>
              <w:jc w:val="center"/>
              <w:ind w:right="280"/>
              <w:spacing w:after="0" w:line="216" w:lineRule="exact"/>
              <w:rPr>
                <w:sz w:val="20"/>
                <w:szCs w:val="20"/>
                <w:color w:val="auto"/>
              </w:rPr>
            </w:pPr>
            <w:r>
              <w:rPr>
                <w:rFonts w:ascii="Arial" w:cs="Arial" w:eastAsia="Arial" w:hAnsi="Arial"/>
                <w:sz w:val="19"/>
                <w:szCs w:val="19"/>
                <w:color w:val="auto"/>
                <w:w w:val="86"/>
              </w:rPr>
              <w:t>cost and</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center"/>
              <w:spacing w:after="0" w:line="216" w:lineRule="exact"/>
              <w:rPr>
                <w:sz w:val="20"/>
                <w:szCs w:val="20"/>
                <w:color w:val="auto"/>
              </w:rPr>
            </w:pPr>
            <w:r>
              <w:rPr>
                <w:rFonts w:ascii="Arial" w:cs="Arial" w:eastAsia="Arial" w:hAnsi="Arial"/>
                <w:sz w:val="19"/>
                <w:szCs w:val="19"/>
                <w:color w:val="auto"/>
                <w:w w:val="90"/>
              </w:rPr>
              <w:t>end of</w:t>
            </w:r>
          </w:p>
        </w:tc>
      </w:tr>
      <w:tr>
        <w:trPr>
          <w:trHeight w:val="238"/>
        </w:trPr>
        <w:tc>
          <w:tcPr>
            <w:tcW w:w="3780" w:type="dxa"/>
            <w:vAlign w:val="bottom"/>
            <w:tcBorders>
              <w:bottom w:val="single" w:sz="8" w:color="auto"/>
            </w:tcBorders>
          </w:tcPr>
          <w:p>
            <w:pPr>
              <w:ind w:left="1460"/>
              <w:spacing w:after="0"/>
              <w:rPr>
                <w:sz w:val="20"/>
                <w:szCs w:val="20"/>
                <w:color w:val="auto"/>
              </w:rPr>
            </w:pPr>
            <w:r>
              <w:rPr>
                <w:rFonts w:ascii="Arial" w:cs="Arial" w:eastAsia="Arial" w:hAnsi="Arial"/>
                <w:sz w:val="19"/>
                <w:szCs w:val="19"/>
                <w:color w:val="auto"/>
              </w:rPr>
              <w:t>Description</w:t>
            </w:r>
          </w:p>
        </w:tc>
        <w:tc>
          <w:tcPr>
            <w:tcW w:w="30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1"/>
              </w:rPr>
              <w:t>of period</w:t>
            </w:r>
          </w:p>
        </w:tc>
        <w:tc>
          <w:tcPr>
            <w:tcW w:w="3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3"/>
              </w:rPr>
              <w:t>expenses</w:t>
            </w:r>
          </w:p>
        </w:tc>
        <w:tc>
          <w:tcPr>
            <w:tcW w:w="280" w:type="dxa"/>
            <w:vAlign w:val="bottom"/>
          </w:tcPr>
          <w:p>
            <w:pPr>
              <w:spacing w:after="0"/>
              <w:rPr>
                <w:sz w:val="20"/>
                <w:szCs w:val="20"/>
                <w:color w:val="auto"/>
              </w:rPr>
            </w:pPr>
          </w:p>
        </w:tc>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9"/>
                <w:szCs w:val="19"/>
                <w:color w:val="auto"/>
              </w:rPr>
              <w:t>Deductions</w:t>
            </w:r>
          </w:p>
        </w:tc>
        <w:tc>
          <w:tcPr>
            <w:tcW w:w="3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period</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Allowance for doubtful accounts, sales returns and cash discounts: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Pr>
          <w:p>
            <w:pPr>
              <w:spacing w:after="0"/>
              <w:rPr>
                <w:sz w:val="20"/>
                <w:szCs w:val="20"/>
                <w:color w:val="auto"/>
              </w:rPr>
            </w:pPr>
            <w:r>
              <w:rPr>
                <w:rFonts w:ascii="Arial" w:cs="Arial" w:eastAsia="Arial" w:hAnsi="Arial"/>
                <w:sz w:val="19"/>
                <w:szCs w:val="19"/>
                <w:color w:val="auto"/>
              </w:rPr>
              <w:t>2013</w:t>
            </w:r>
          </w:p>
        </w:tc>
        <w:tc>
          <w:tcPr>
            <w:tcW w:w="2440" w:type="dxa"/>
            <w:vAlign w:val="bottom"/>
          </w:tcPr>
          <w:p>
            <w:pPr>
              <w:jc w:val="right"/>
              <w:ind w:right="325"/>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185"/>
              <w:spacing w:after="0"/>
              <w:rPr>
                <w:sz w:val="20"/>
                <w:szCs w:val="20"/>
                <w:color w:val="auto"/>
              </w:rPr>
            </w:pPr>
            <w:r>
              <w:rPr>
                <w:rFonts w:ascii="Arial" w:cs="Arial" w:eastAsia="Arial" w:hAnsi="Arial"/>
                <w:sz w:val="19"/>
                <w:szCs w:val="19"/>
                <w:color w:val="auto"/>
              </w:rPr>
              <w:t>1,430</w:t>
            </w:r>
          </w:p>
        </w:tc>
        <w:tc>
          <w:tcPr>
            <w:tcW w:w="780" w:type="dxa"/>
            <w:vAlign w:val="bottom"/>
          </w:tcPr>
          <w:p>
            <w:pPr>
              <w:jc w:val="right"/>
              <w:ind w:right="285"/>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205"/>
              <w:spacing w:after="0"/>
              <w:rPr>
                <w:sz w:val="20"/>
                <w:szCs w:val="20"/>
                <w:color w:val="auto"/>
              </w:rPr>
            </w:pPr>
            <w:r>
              <w:rPr>
                <w:rFonts w:ascii="Arial" w:cs="Arial" w:eastAsia="Arial" w:hAnsi="Arial"/>
                <w:sz w:val="19"/>
                <w:szCs w:val="19"/>
                <w:color w:val="auto"/>
              </w:rPr>
              <w:t>4,894</w:t>
            </w:r>
          </w:p>
        </w:tc>
        <w:tc>
          <w:tcPr>
            <w:tcW w:w="70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1180" w:type="dxa"/>
            <w:vAlign w:val="bottom"/>
          </w:tcPr>
          <w:p>
            <w:pPr>
              <w:jc w:val="right"/>
              <w:ind w:right="205"/>
              <w:spacing w:after="0"/>
              <w:rPr>
                <w:sz w:val="20"/>
                <w:szCs w:val="20"/>
                <w:color w:val="auto"/>
              </w:rPr>
            </w:pPr>
            <w:r>
              <w:rPr>
                <w:rFonts w:ascii="Arial" w:cs="Arial" w:eastAsia="Arial" w:hAnsi="Arial"/>
                <w:sz w:val="19"/>
                <w:szCs w:val="19"/>
                <w:color w:val="auto"/>
              </w:rPr>
              <w:t>(3,398)</w:t>
            </w:r>
          </w:p>
        </w:tc>
        <w:tc>
          <w:tcPr>
            <w:tcW w:w="760" w:type="dxa"/>
            <w:vAlign w:val="bottom"/>
          </w:tcPr>
          <w:p>
            <w:pPr>
              <w:jc w:val="right"/>
              <w:ind w:right="285"/>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2,926</w:t>
            </w:r>
          </w:p>
        </w:tc>
      </w:tr>
      <w:tr>
        <w:trPr>
          <w:trHeight w:val="216"/>
        </w:trPr>
        <w:tc>
          <w:tcPr>
            <w:tcW w:w="2320" w:type="dxa"/>
            <w:vAlign w:val="bottom"/>
          </w:tcPr>
          <w:p>
            <w:pPr>
              <w:spacing w:after="0" w:line="216" w:lineRule="exact"/>
              <w:rPr>
                <w:sz w:val="20"/>
                <w:szCs w:val="20"/>
                <w:color w:val="auto"/>
              </w:rPr>
            </w:pPr>
            <w:r>
              <w:rPr>
                <w:rFonts w:ascii="Arial" w:cs="Arial" w:eastAsia="Arial" w:hAnsi="Arial"/>
                <w:sz w:val="19"/>
                <w:szCs w:val="19"/>
                <w:color w:val="auto"/>
              </w:rPr>
              <w:t>2012</w:t>
            </w:r>
          </w:p>
        </w:tc>
        <w:tc>
          <w:tcPr>
            <w:tcW w:w="2440" w:type="dxa"/>
            <w:vAlign w:val="bottom"/>
          </w:tcPr>
          <w:p>
            <w:pPr>
              <w:jc w:val="right"/>
              <w:ind w:right="325"/>
              <w:spacing w:after="0" w:line="216" w:lineRule="exact"/>
              <w:rPr>
                <w:sz w:val="20"/>
                <w:szCs w:val="20"/>
                <w:color w:val="auto"/>
              </w:rPr>
            </w:pPr>
            <w:r>
              <w:rPr>
                <w:rFonts w:ascii="Arial" w:cs="Arial" w:eastAsia="Arial" w:hAnsi="Arial"/>
                <w:sz w:val="19"/>
                <w:szCs w:val="19"/>
                <w:color w:val="auto"/>
              </w:rPr>
              <w:t>$</w:t>
            </w:r>
          </w:p>
        </w:tc>
        <w:tc>
          <w:tcPr>
            <w:tcW w:w="112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1,893</w:t>
            </w:r>
          </w:p>
        </w:tc>
        <w:tc>
          <w:tcPr>
            <w:tcW w:w="780" w:type="dxa"/>
            <w:vAlign w:val="bottom"/>
          </w:tcPr>
          <w:p>
            <w:pPr>
              <w:jc w:val="right"/>
              <w:ind w:right="285"/>
              <w:spacing w:after="0" w:line="216" w:lineRule="exact"/>
              <w:rPr>
                <w:sz w:val="20"/>
                <w:szCs w:val="20"/>
                <w:color w:val="auto"/>
              </w:rPr>
            </w:pPr>
            <w:r>
              <w:rPr>
                <w:rFonts w:ascii="Arial" w:cs="Arial" w:eastAsia="Arial" w:hAnsi="Arial"/>
                <w:sz w:val="19"/>
                <w:szCs w:val="19"/>
                <w:color w:val="auto"/>
              </w:rPr>
              <w:t>$</w:t>
            </w:r>
          </w:p>
        </w:tc>
        <w:tc>
          <w:tcPr>
            <w:tcW w:w="112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9,148</w:t>
            </w:r>
          </w:p>
        </w:tc>
        <w:tc>
          <w:tcPr>
            <w:tcW w:w="700" w:type="dxa"/>
            <w:vAlign w:val="bottom"/>
          </w:tcPr>
          <w:p>
            <w:pPr>
              <w:jc w:val="right"/>
              <w:ind w:right="225"/>
              <w:spacing w:after="0" w:line="216" w:lineRule="exact"/>
              <w:rPr>
                <w:sz w:val="20"/>
                <w:szCs w:val="20"/>
                <w:color w:val="auto"/>
              </w:rPr>
            </w:pPr>
            <w:r>
              <w:rPr>
                <w:rFonts w:ascii="Arial" w:cs="Arial" w:eastAsia="Arial" w:hAnsi="Arial"/>
                <w:sz w:val="19"/>
                <w:szCs w:val="19"/>
                <w:color w:val="auto"/>
              </w:rPr>
              <w:t>$</w:t>
            </w:r>
          </w:p>
        </w:tc>
        <w:tc>
          <w:tcPr>
            <w:tcW w:w="118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(9,611)</w:t>
            </w:r>
          </w:p>
        </w:tc>
        <w:tc>
          <w:tcPr>
            <w:tcW w:w="760" w:type="dxa"/>
            <w:vAlign w:val="bottom"/>
          </w:tcPr>
          <w:p>
            <w:pPr>
              <w:jc w:val="right"/>
              <w:ind w:right="285"/>
              <w:spacing w:after="0" w:line="216" w:lineRule="exact"/>
              <w:rPr>
                <w:sz w:val="20"/>
                <w:szCs w:val="20"/>
                <w:color w:val="auto"/>
              </w:rPr>
            </w:pPr>
            <w:r>
              <w:rPr>
                <w:rFonts w:ascii="Arial" w:cs="Arial" w:eastAsia="Arial" w:hAnsi="Arial"/>
                <w:sz w:val="19"/>
                <w:szCs w:val="19"/>
                <w:color w:val="auto"/>
              </w:rPr>
              <w:t>$</w:t>
            </w:r>
          </w:p>
        </w:tc>
        <w:tc>
          <w:tcPr>
            <w:tcW w:w="780" w:type="dxa"/>
            <w:vAlign w:val="bottom"/>
          </w:tcPr>
          <w:p>
            <w:pPr>
              <w:jc w:val="right"/>
              <w:spacing w:after="0" w:line="216" w:lineRule="exact"/>
              <w:rPr>
                <w:sz w:val="20"/>
                <w:szCs w:val="20"/>
                <w:color w:val="auto"/>
              </w:rPr>
            </w:pPr>
            <w:r>
              <w:rPr>
                <w:rFonts w:ascii="Arial" w:cs="Arial" w:eastAsia="Arial" w:hAnsi="Arial"/>
                <w:sz w:val="19"/>
                <w:szCs w:val="19"/>
                <w:color w:val="auto"/>
              </w:rPr>
              <w:t>1,430</w:t>
            </w:r>
          </w:p>
        </w:tc>
      </w:tr>
      <w:tr>
        <w:trPr>
          <w:trHeight w:val="240"/>
        </w:trPr>
        <w:tc>
          <w:tcPr>
            <w:tcW w:w="2320" w:type="dxa"/>
            <w:vAlign w:val="bottom"/>
          </w:tcPr>
          <w:p>
            <w:pPr>
              <w:spacing w:after="0"/>
              <w:rPr>
                <w:sz w:val="20"/>
                <w:szCs w:val="20"/>
                <w:color w:val="auto"/>
              </w:rPr>
            </w:pPr>
            <w:r>
              <w:rPr>
                <w:rFonts w:ascii="Arial" w:cs="Arial" w:eastAsia="Arial" w:hAnsi="Arial"/>
                <w:sz w:val="19"/>
                <w:szCs w:val="19"/>
                <w:color w:val="auto"/>
              </w:rPr>
              <w:t>2011</w:t>
            </w:r>
          </w:p>
        </w:tc>
        <w:tc>
          <w:tcPr>
            <w:tcW w:w="2440" w:type="dxa"/>
            <w:vAlign w:val="bottom"/>
          </w:tcPr>
          <w:p>
            <w:pPr>
              <w:jc w:val="right"/>
              <w:ind w:right="325"/>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185"/>
              <w:spacing w:after="0"/>
              <w:rPr>
                <w:sz w:val="20"/>
                <w:szCs w:val="20"/>
                <w:color w:val="auto"/>
              </w:rPr>
            </w:pPr>
            <w:r>
              <w:rPr>
                <w:rFonts w:ascii="Arial" w:cs="Arial" w:eastAsia="Arial" w:hAnsi="Arial"/>
                <w:sz w:val="19"/>
                <w:szCs w:val="19"/>
                <w:color w:val="auto"/>
              </w:rPr>
              <w:t>1,870</w:t>
            </w:r>
          </w:p>
        </w:tc>
        <w:tc>
          <w:tcPr>
            <w:tcW w:w="780" w:type="dxa"/>
            <w:vAlign w:val="bottom"/>
          </w:tcPr>
          <w:p>
            <w:pPr>
              <w:jc w:val="right"/>
              <w:ind w:right="285"/>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205"/>
              <w:spacing w:after="0"/>
              <w:rPr>
                <w:sz w:val="20"/>
                <w:szCs w:val="20"/>
                <w:color w:val="auto"/>
              </w:rPr>
            </w:pPr>
            <w:r>
              <w:rPr>
                <w:rFonts w:ascii="Arial" w:cs="Arial" w:eastAsia="Arial" w:hAnsi="Arial"/>
                <w:sz w:val="19"/>
                <w:szCs w:val="19"/>
                <w:color w:val="auto"/>
              </w:rPr>
              <w:t>8,368</w:t>
            </w:r>
          </w:p>
        </w:tc>
        <w:tc>
          <w:tcPr>
            <w:tcW w:w="70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1180" w:type="dxa"/>
            <w:vAlign w:val="bottom"/>
          </w:tcPr>
          <w:p>
            <w:pPr>
              <w:jc w:val="right"/>
              <w:ind w:right="205"/>
              <w:spacing w:after="0"/>
              <w:rPr>
                <w:sz w:val="20"/>
                <w:szCs w:val="20"/>
                <w:color w:val="auto"/>
              </w:rPr>
            </w:pPr>
            <w:r>
              <w:rPr>
                <w:rFonts w:ascii="Arial" w:cs="Arial" w:eastAsia="Arial" w:hAnsi="Arial"/>
                <w:sz w:val="19"/>
                <w:szCs w:val="19"/>
                <w:color w:val="auto"/>
              </w:rPr>
              <w:t>(8,345)</w:t>
            </w:r>
          </w:p>
        </w:tc>
        <w:tc>
          <w:tcPr>
            <w:tcW w:w="760" w:type="dxa"/>
            <w:vAlign w:val="bottom"/>
          </w:tcPr>
          <w:p>
            <w:pPr>
              <w:jc w:val="right"/>
              <w:ind w:right="285"/>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1,893</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Allowance on Deferred Tax Assets and Unrecognized Tax Benefits: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Pr>
          <w:p>
            <w:pPr>
              <w:spacing w:after="0"/>
              <w:rPr>
                <w:sz w:val="20"/>
                <w:szCs w:val="20"/>
                <w:color w:val="auto"/>
              </w:rPr>
            </w:pPr>
            <w:r>
              <w:rPr>
                <w:rFonts w:ascii="Arial" w:cs="Arial" w:eastAsia="Arial" w:hAnsi="Arial"/>
                <w:sz w:val="19"/>
                <w:szCs w:val="19"/>
                <w:color w:val="auto"/>
              </w:rPr>
              <w:t>2013</w:t>
            </w:r>
          </w:p>
        </w:tc>
        <w:tc>
          <w:tcPr>
            <w:tcW w:w="2380" w:type="dxa"/>
            <w:vAlign w:val="bottom"/>
          </w:tcPr>
          <w:p>
            <w:pPr>
              <w:jc w:val="right"/>
              <w:ind w:right="265"/>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12,579</w:t>
            </w:r>
          </w:p>
        </w:tc>
        <w:tc>
          <w:tcPr>
            <w:tcW w:w="1020" w:type="dxa"/>
            <w:vAlign w:val="bottom"/>
          </w:tcPr>
          <w:p>
            <w:pPr>
              <w:jc w:val="right"/>
              <w:ind w:right="249"/>
              <w:spacing w:after="0"/>
              <w:rPr>
                <w:sz w:val="20"/>
                <w:szCs w:val="20"/>
                <w:color w:val="auto"/>
              </w:rPr>
            </w:pPr>
            <w:r>
              <w:rPr>
                <w:rFonts w:ascii="Arial" w:cs="Arial" w:eastAsia="Arial" w:hAnsi="Arial"/>
                <w:sz w:val="19"/>
                <w:szCs w:val="19"/>
                <w:color w:val="auto"/>
              </w:rPr>
              <w:t>$</w:t>
            </w:r>
          </w:p>
        </w:tc>
        <w:tc>
          <w:tcPr>
            <w:tcW w:w="1160" w:type="dxa"/>
            <w:vAlign w:val="bottom"/>
          </w:tcPr>
          <w:p>
            <w:pPr>
              <w:jc w:val="right"/>
              <w:ind w:right="205"/>
              <w:spacing w:after="0"/>
              <w:rPr>
                <w:sz w:val="20"/>
                <w:szCs w:val="20"/>
                <w:color w:val="auto"/>
              </w:rPr>
            </w:pPr>
            <w:r>
              <w:rPr>
                <w:rFonts w:ascii="Arial" w:cs="Arial" w:eastAsia="Arial" w:hAnsi="Arial"/>
                <w:sz w:val="19"/>
                <w:szCs w:val="19"/>
                <w:color w:val="auto"/>
              </w:rPr>
              <w:t>11,551</w:t>
            </w:r>
          </w:p>
        </w:tc>
        <w:tc>
          <w:tcPr>
            <w:tcW w:w="70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1180" w:type="dxa"/>
            <w:vAlign w:val="bottom"/>
          </w:tcPr>
          <w:p>
            <w:pPr>
              <w:jc w:val="center"/>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1100" w:type="dxa"/>
            <w:vAlign w:val="bottom"/>
          </w:tcPr>
          <w:p>
            <w:pPr>
              <w:jc w:val="right"/>
              <w:ind w:right="165"/>
              <w:spacing w:after="0"/>
              <w:rPr>
                <w:sz w:val="20"/>
                <w:szCs w:val="20"/>
                <w:color w:val="auto"/>
              </w:rPr>
            </w:pPr>
            <w:r>
              <w:rPr>
                <w:rFonts w:ascii="Arial" w:cs="Arial" w:eastAsia="Arial" w:hAnsi="Arial"/>
                <w:sz w:val="19"/>
                <w:szCs w:val="19"/>
                <w:color w:val="auto"/>
              </w:rPr>
              <w:t>24,130</w:t>
            </w:r>
          </w:p>
        </w:tc>
      </w:tr>
      <w:tr>
        <w:trPr>
          <w:trHeight w:val="216"/>
        </w:trPr>
        <w:tc>
          <w:tcPr>
            <w:tcW w:w="2320" w:type="dxa"/>
            <w:vAlign w:val="bottom"/>
          </w:tcPr>
          <w:p>
            <w:pPr>
              <w:spacing w:after="0" w:line="216" w:lineRule="exact"/>
              <w:rPr>
                <w:sz w:val="20"/>
                <w:szCs w:val="20"/>
                <w:color w:val="auto"/>
              </w:rPr>
            </w:pPr>
            <w:r>
              <w:rPr>
                <w:rFonts w:ascii="Arial" w:cs="Arial" w:eastAsia="Arial" w:hAnsi="Arial"/>
                <w:sz w:val="19"/>
                <w:szCs w:val="19"/>
                <w:color w:val="auto"/>
              </w:rPr>
              <w:t>2012</w:t>
            </w:r>
          </w:p>
        </w:tc>
        <w:tc>
          <w:tcPr>
            <w:tcW w:w="2380" w:type="dxa"/>
            <w:vAlign w:val="bottom"/>
          </w:tcPr>
          <w:p>
            <w:pPr>
              <w:jc w:val="right"/>
              <w:ind w:right="265"/>
              <w:spacing w:after="0" w:line="216" w:lineRule="exact"/>
              <w:rPr>
                <w:sz w:val="20"/>
                <w:szCs w:val="20"/>
                <w:color w:val="auto"/>
              </w:rPr>
            </w:pPr>
            <w:r>
              <w:rPr>
                <w:rFonts w:ascii="Arial" w:cs="Arial" w:eastAsia="Arial" w:hAnsi="Arial"/>
                <w:sz w:val="19"/>
                <w:szCs w:val="19"/>
                <w:color w:val="auto"/>
              </w:rPr>
              <w:t>$</w:t>
            </w:r>
          </w:p>
        </w:tc>
        <w:tc>
          <w:tcPr>
            <w:tcW w:w="900" w:type="dxa"/>
            <w:vAlign w:val="bottom"/>
          </w:tcPr>
          <w:p>
            <w:pPr>
              <w:jc w:val="right"/>
              <w:spacing w:after="0" w:line="216" w:lineRule="exact"/>
              <w:rPr>
                <w:sz w:val="20"/>
                <w:szCs w:val="20"/>
                <w:color w:val="auto"/>
              </w:rPr>
            </w:pPr>
            <w:r>
              <w:rPr>
                <w:rFonts w:ascii="Arial" w:cs="Arial" w:eastAsia="Arial" w:hAnsi="Arial"/>
                <w:sz w:val="19"/>
                <w:szCs w:val="19"/>
                <w:color w:val="auto"/>
              </w:rPr>
              <w:t>7,592</w:t>
            </w:r>
          </w:p>
        </w:tc>
        <w:tc>
          <w:tcPr>
            <w:tcW w:w="1020" w:type="dxa"/>
            <w:vAlign w:val="bottom"/>
          </w:tcPr>
          <w:p>
            <w:pPr>
              <w:jc w:val="right"/>
              <w:ind w:right="249"/>
              <w:spacing w:after="0" w:line="216" w:lineRule="exact"/>
              <w:rPr>
                <w:sz w:val="20"/>
                <w:szCs w:val="20"/>
                <w:color w:val="auto"/>
              </w:rPr>
            </w:pPr>
            <w:r>
              <w:rPr>
                <w:rFonts w:ascii="Arial" w:cs="Arial" w:eastAsia="Arial" w:hAnsi="Arial"/>
                <w:sz w:val="19"/>
                <w:szCs w:val="19"/>
                <w:color w:val="auto"/>
              </w:rPr>
              <w:t>$</w:t>
            </w:r>
          </w:p>
        </w:tc>
        <w:tc>
          <w:tcPr>
            <w:tcW w:w="116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6,142</w:t>
            </w:r>
          </w:p>
        </w:tc>
        <w:tc>
          <w:tcPr>
            <w:tcW w:w="700" w:type="dxa"/>
            <w:vAlign w:val="bottom"/>
          </w:tcPr>
          <w:p>
            <w:pPr>
              <w:jc w:val="right"/>
              <w:ind w:right="225"/>
              <w:spacing w:after="0" w:line="216" w:lineRule="exact"/>
              <w:rPr>
                <w:sz w:val="20"/>
                <w:szCs w:val="20"/>
                <w:color w:val="auto"/>
              </w:rPr>
            </w:pPr>
            <w:r>
              <w:rPr>
                <w:rFonts w:ascii="Arial" w:cs="Arial" w:eastAsia="Arial" w:hAnsi="Arial"/>
                <w:sz w:val="19"/>
                <w:szCs w:val="19"/>
                <w:color w:val="auto"/>
              </w:rPr>
              <w:t>$</w:t>
            </w:r>
          </w:p>
        </w:tc>
        <w:tc>
          <w:tcPr>
            <w:tcW w:w="1180" w:type="dxa"/>
            <w:vAlign w:val="bottom"/>
          </w:tcPr>
          <w:p>
            <w:pPr>
              <w:jc w:val="center"/>
              <w:spacing w:after="0" w:line="216" w:lineRule="exact"/>
              <w:rPr>
                <w:sz w:val="20"/>
                <w:szCs w:val="20"/>
                <w:color w:val="auto"/>
              </w:rPr>
            </w:pPr>
            <w:r>
              <w:rPr>
                <w:rFonts w:ascii="Arial" w:cs="Arial" w:eastAsia="Arial" w:hAnsi="Arial"/>
                <w:sz w:val="19"/>
                <w:szCs w:val="19"/>
                <w:color w:val="auto"/>
                <w:w w:val="89"/>
              </w:rPr>
              <w:t>(1,155)</w:t>
            </w:r>
          </w:p>
        </w:tc>
        <w:tc>
          <w:tcPr>
            <w:tcW w:w="700" w:type="dxa"/>
            <w:vAlign w:val="bottom"/>
          </w:tcPr>
          <w:p>
            <w:pPr>
              <w:jc w:val="right"/>
              <w:ind w:right="225"/>
              <w:spacing w:after="0" w:line="216" w:lineRule="exact"/>
              <w:rPr>
                <w:sz w:val="20"/>
                <w:szCs w:val="20"/>
                <w:color w:val="auto"/>
              </w:rPr>
            </w:pPr>
            <w:r>
              <w:rPr>
                <w:rFonts w:ascii="Arial" w:cs="Arial" w:eastAsia="Arial" w:hAnsi="Arial"/>
                <w:sz w:val="19"/>
                <w:szCs w:val="19"/>
                <w:color w:val="auto"/>
              </w:rPr>
              <w:t>$</w:t>
            </w:r>
          </w:p>
        </w:tc>
        <w:tc>
          <w:tcPr>
            <w:tcW w:w="1100" w:type="dxa"/>
            <w:vAlign w:val="bottom"/>
          </w:tcPr>
          <w:p>
            <w:pPr>
              <w:jc w:val="right"/>
              <w:ind w:right="165"/>
              <w:spacing w:after="0" w:line="216" w:lineRule="exact"/>
              <w:rPr>
                <w:sz w:val="20"/>
                <w:szCs w:val="20"/>
                <w:color w:val="auto"/>
              </w:rPr>
            </w:pPr>
            <w:r>
              <w:rPr>
                <w:rFonts w:ascii="Arial" w:cs="Arial" w:eastAsia="Arial" w:hAnsi="Arial"/>
                <w:sz w:val="19"/>
                <w:szCs w:val="19"/>
                <w:color w:val="auto"/>
              </w:rPr>
              <w:t>12,579</w:t>
            </w:r>
          </w:p>
        </w:tc>
      </w:tr>
      <w:tr>
        <w:trPr>
          <w:trHeight w:val="240"/>
        </w:trPr>
        <w:tc>
          <w:tcPr>
            <w:tcW w:w="2320" w:type="dxa"/>
            <w:vAlign w:val="bottom"/>
          </w:tcPr>
          <w:p>
            <w:pPr>
              <w:spacing w:after="0"/>
              <w:rPr>
                <w:sz w:val="20"/>
                <w:szCs w:val="20"/>
                <w:color w:val="auto"/>
              </w:rPr>
            </w:pPr>
            <w:r>
              <w:rPr>
                <w:rFonts w:ascii="Arial" w:cs="Arial" w:eastAsia="Arial" w:hAnsi="Arial"/>
                <w:sz w:val="19"/>
                <w:szCs w:val="19"/>
                <w:color w:val="auto"/>
              </w:rPr>
              <w:t>2011</w:t>
            </w:r>
          </w:p>
        </w:tc>
        <w:tc>
          <w:tcPr>
            <w:tcW w:w="2380" w:type="dxa"/>
            <w:vAlign w:val="bottom"/>
          </w:tcPr>
          <w:p>
            <w:pPr>
              <w:jc w:val="right"/>
              <w:ind w:right="265"/>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4,003</w:t>
            </w:r>
          </w:p>
        </w:tc>
        <w:tc>
          <w:tcPr>
            <w:tcW w:w="1020" w:type="dxa"/>
            <w:vAlign w:val="bottom"/>
          </w:tcPr>
          <w:p>
            <w:pPr>
              <w:jc w:val="right"/>
              <w:ind w:right="249"/>
              <w:spacing w:after="0"/>
              <w:rPr>
                <w:sz w:val="20"/>
                <w:szCs w:val="20"/>
                <w:color w:val="auto"/>
              </w:rPr>
            </w:pPr>
            <w:r>
              <w:rPr>
                <w:rFonts w:ascii="Arial" w:cs="Arial" w:eastAsia="Arial" w:hAnsi="Arial"/>
                <w:sz w:val="19"/>
                <w:szCs w:val="19"/>
                <w:color w:val="auto"/>
              </w:rPr>
              <w:t>$</w:t>
            </w:r>
          </w:p>
        </w:tc>
        <w:tc>
          <w:tcPr>
            <w:tcW w:w="1160" w:type="dxa"/>
            <w:vAlign w:val="bottom"/>
          </w:tcPr>
          <w:p>
            <w:pPr>
              <w:jc w:val="right"/>
              <w:ind w:right="205"/>
              <w:spacing w:after="0"/>
              <w:rPr>
                <w:sz w:val="20"/>
                <w:szCs w:val="20"/>
                <w:color w:val="auto"/>
              </w:rPr>
            </w:pPr>
            <w:r>
              <w:rPr>
                <w:rFonts w:ascii="Arial" w:cs="Arial" w:eastAsia="Arial" w:hAnsi="Arial"/>
                <w:sz w:val="19"/>
                <w:szCs w:val="19"/>
                <w:color w:val="auto"/>
              </w:rPr>
              <w:t>3,589</w:t>
            </w:r>
          </w:p>
        </w:tc>
        <w:tc>
          <w:tcPr>
            <w:tcW w:w="70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1180" w:type="dxa"/>
            <w:vAlign w:val="bottom"/>
          </w:tcPr>
          <w:p>
            <w:pPr>
              <w:jc w:val="center"/>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1100" w:type="dxa"/>
            <w:vAlign w:val="bottom"/>
          </w:tcPr>
          <w:p>
            <w:pPr>
              <w:jc w:val="right"/>
              <w:ind w:right="165"/>
              <w:spacing w:after="0"/>
              <w:rPr>
                <w:sz w:val="20"/>
                <w:szCs w:val="20"/>
                <w:color w:val="auto"/>
              </w:rPr>
            </w:pPr>
            <w:r>
              <w:rPr>
                <w:rFonts w:ascii="Arial" w:cs="Arial" w:eastAsia="Arial" w:hAnsi="Arial"/>
                <w:sz w:val="19"/>
                <w:szCs w:val="19"/>
                <w:color w:val="auto"/>
              </w:rPr>
              <w:t>7,592</w:t>
            </w:r>
          </w:p>
        </w:tc>
      </w:tr>
      <w:tr>
        <w:trPr>
          <w:trHeight w:val="424"/>
        </w:trPr>
        <w:tc>
          <w:tcPr>
            <w:tcW w:w="2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jc w:val="right"/>
              <w:ind w:right="689"/>
              <w:spacing w:after="0"/>
              <w:rPr>
                <w:sz w:val="20"/>
                <w:szCs w:val="20"/>
                <w:color w:val="auto"/>
              </w:rPr>
            </w:pPr>
            <w:r>
              <w:rPr>
                <w:rFonts w:ascii="Arial" w:cs="Arial" w:eastAsia="Arial" w:hAnsi="Arial"/>
                <w:sz w:val="16"/>
                <w:szCs w:val="16"/>
                <w:color w:val="auto"/>
                <w:w w:val="82"/>
              </w:rPr>
              <w:t>106</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8"/>
        </w:trPr>
        <w:tc>
          <w:tcPr>
            <w:tcW w:w="232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2" w:right="19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10.52</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(“Agreement”) is entered into as of October 28, 2013 by and between Monster Energy Company (the “Company”)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Mark J. Hall (“Mark”), who agree as follows: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  </w:t>
      </w:r>
      <w:r>
        <w:rPr>
          <w:rFonts w:ascii="Arial" w:cs="Arial" w:eastAsia="Arial" w:hAnsi="Arial"/>
          <w:sz w:val="20"/>
          <w:szCs w:val="20"/>
          <w:u w:val="single" w:color="auto"/>
          <w:color w:val="auto"/>
        </w:rPr>
        <w:t>Recitals</w:t>
      </w:r>
      <w:r>
        <w:rPr>
          <w:rFonts w:ascii="Arial" w:cs="Arial" w:eastAsia="Arial" w:hAnsi="Arial"/>
          <w:sz w:val="20"/>
          <w:szCs w:val="20"/>
          <w:color w:val="auto"/>
        </w:rPr>
        <w:t>. This Agreement is made with reference to the following recital of essential facts:</w:t>
      </w:r>
    </w:p>
    <w:p>
      <w:pPr>
        <w:spacing w:after="0" w:line="229"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1.1. Mark commenced employment with the Company on or about January 21, 1997 and has served as a senior officer of the Company in accordance with (a) the employment offer letter dated January 21, 1997 and (b) the Employee Confidentiality Agreement dated December 20, 2005 (collectively, the “Existing Employment Terms”).</w:t>
      </w:r>
    </w:p>
    <w:p>
      <w:pPr>
        <w:spacing w:after="0" w:line="200"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1.2. Mark has requested, and the Company has agreed, subject to certain terms and conditions set forth in this Agreement, that Mark be permitted to take a sabbatical and leave of absence until December 31, 2013 (the “Sabbatical”).</w:t>
      </w:r>
    </w:p>
    <w:p>
      <w:pPr>
        <w:spacing w:after="0" w:line="19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Mark and the Company have agreed to memorialize their agreement on the terms and conditions set forth below.</w:t>
      </w:r>
    </w:p>
    <w:p>
      <w:pPr>
        <w:spacing w:after="0" w:line="229" w:lineRule="exact"/>
        <w:rPr>
          <w:sz w:val="20"/>
          <w:szCs w:val="20"/>
          <w:color w:val="auto"/>
        </w:rPr>
      </w:pPr>
    </w:p>
    <w:p>
      <w:pPr>
        <w:jc w:val="both"/>
        <w:ind w:firstLine="656"/>
        <w:spacing w:after="0" w:line="259" w:lineRule="auto"/>
        <w:tabs>
          <w:tab w:leader="none" w:pos="95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Sabbatical</w:t>
      </w:r>
      <w:r>
        <w:rPr>
          <w:rFonts w:ascii="Arial" w:cs="Arial" w:eastAsia="Arial" w:hAnsi="Arial"/>
          <w:sz w:val="19"/>
          <w:szCs w:val="19"/>
          <w:color w:val="auto"/>
        </w:rPr>
        <w:t>. Subject to the terms and conditions set forth in this Agreement, the Company agrees that Mark shall take a Sabbatical until December 31, 2013. During the Sabbatical, Mark shall continue to receive all his employment benefits in accordance with the Existing Employment Terms and prevailing Company policies and procedures, but shall not be required to perform any services for, or to be present at, the business of the Company, except as provided in this Agreement. Mark may be required, from time to time, to provide information relating to matters uniquely within Mark’s knowledge and purview. Although Mark is not required to be present at the Company’s office during the Sabbatical, he may, if he desires, come to the office from time to time if he desires.</w:t>
      </w:r>
    </w:p>
    <w:p>
      <w:pPr>
        <w:spacing w:after="0" w:line="192" w:lineRule="exact"/>
        <w:rPr>
          <w:rFonts w:ascii="Arial" w:cs="Arial" w:eastAsia="Arial" w:hAnsi="Arial"/>
          <w:sz w:val="19"/>
          <w:szCs w:val="19"/>
          <w:color w:val="auto"/>
        </w:rPr>
      </w:pPr>
    </w:p>
    <w:p>
      <w:pPr>
        <w:jc w:val="both"/>
        <w:ind w:firstLine="656"/>
        <w:spacing w:after="0" w:line="276" w:lineRule="auto"/>
        <w:tabs>
          <w:tab w:leader="none" w:pos="102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Stock Rights and Options</w:t>
      </w:r>
      <w:r>
        <w:rPr>
          <w:rFonts w:ascii="Arial" w:cs="Arial" w:eastAsia="Arial" w:hAnsi="Arial"/>
          <w:sz w:val="18"/>
          <w:szCs w:val="18"/>
          <w:color w:val="auto"/>
        </w:rPr>
        <w:t>. During the Sabbatical and Mark’s continued employment pursuant to this Agreement, Mark shall continue to be entitled to the benefits of his employment with the Company in accordance with the Existing Employment Terms. Such rights shall include, without limitation, the right to exercise options and to acquire and sell stock pursuant to any Stock Option Agreements, and to receive and sell stock pursuant to any Restricted Stock Agreement and any Restricted Stock Unit Agreement and amendments thereto, if any, as specified in attached Exhibit A (collectively, the “Stock Related Agreements”). Nothing contained in this Section 3 shall be deemed to permit trading of stock during any period that trading is prohibited under applicable securities law or Company policies.</w:t>
      </w:r>
    </w:p>
    <w:p>
      <w:pPr>
        <w:spacing w:after="0" w:line="178" w:lineRule="exact"/>
        <w:rPr>
          <w:rFonts w:ascii="Arial" w:cs="Arial" w:eastAsia="Arial" w:hAnsi="Arial"/>
          <w:sz w:val="18"/>
          <w:szCs w:val="18"/>
          <w:color w:val="auto"/>
        </w:rPr>
      </w:pPr>
    </w:p>
    <w:p>
      <w:pPr>
        <w:ind w:left="960" w:hanging="304"/>
        <w:spacing w:after="0"/>
        <w:tabs>
          <w:tab w:leader="none" w:pos="96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Title, Employment Description and Board Membership</w:t>
      </w:r>
      <w:r>
        <w:rPr>
          <w:rFonts w:ascii="Arial" w:cs="Arial" w:eastAsia="Arial" w:hAnsi="Arial"/>
          <w:sz w:val="20"/>
          <w:szCs w:val="20"/>
          <w:color w:val="auto"/>
        </w:rPr>
        <w:t>.</w:t>
      </w:r>
    </w:p>
    <w:p>
      <w:pPr>
        <w:spacing w:after="0" w:line="22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4.1. With effect from January 1, 2014, Mark will resign as the President of the Company’s Monster Beverage Division and shall assume the title and role of Chief Brand Officer and Mark’s compensation shall be reduced to $250,000 per year payable bi-monthly in accordance with the Existing Employment Terms and the Company’s prevailing policies and procedures. Mark shall receive the annual bonus for 2013 that he would ordinarily have been entitled to receive but reduced prorata for the period of the Sabbatical.</w:t>
      </w:r>
    </w:p>
    <w:p>
      <w:pPr>
        <w:spacing w:after="0" w:line="190"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4.2. Mark’s employment shall be at-will and shall be terminable by Mark or the Company at any time, for any reason, or for no reason, with or without cause or notice at any time after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1953"/>
        <w:spacing w:after="0" w:line="267" w:lineRule="auto"/>
        <w:tabs>
          <w:tab w:leader="none" w:pos="25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Until December 31, 2014, the Company may terminate Mark’s employment only “for cause”. For purposes of this Agreement, “for cause” means the following: (i) Mark’s failure to substantially perform his duties thirty (30) days after the Company provides him with a written demand for such performance and specifying in detail the areas in which Mark is not performing; (ii) Mark is convicted for committing a felony involving moral turpitude or any other crime that impairs Mark’s ability to perform his duties or has the potential to negatively affect the operations or reputation of the Company; (iii) Mark engages in any act of dishonesty towards the Company which, with Mark’s intent, results in material monetary or other gain or personal enrichment to Mark, Mark’s friends, family or associates, at the expense of the Company; (iv) any material violation of Sections 5.1, 6 or 7 below, after the Company provides 30 days’ notice of the violation and an opportunity to cure (to the extent the violation can be cured); (v) any other willful act or gross misconduct by Mark that is materially harmful to the business interests of the Company, after the Company provides 30 days’ notice of the misconduct and an opportunity to cure (to the extent the misconduct can be cured). No act or omission of Mark shall be considered “willful” if undertaken by Mark in good faith and in the reasonable belief that such act or omission was undertaken in the best interests of the Company and/or was required by law; or</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death of Mark.</w:t>
      </w:r>
    </w:p>
    <w:p>
      <w:pPr>
        <w:spacing w:after="0" w:line="213" w:lineRule="exact"/>
        <w:rPr>
          <w:rFonts w:ascii="Arial" w:cs="Arial" w:eastAsia="Arial" w:hAnsi="Arial"/>
          <w:sz w:val="20"/>
          <w:szCs w:val="20"/>
          <w:color w:val="auto"/>
        </w:rPr>
      </w:pPr>
    </w:p>
    <w:p>
      <w:pPr>
        <w:jc w:val="both"/>
        <w:ind w:firstLine="1953"/>
        <w:spacing w:after="0" w:line="260" w:lineRule="auto"/>
        <w:tabs>
          <w:tab w:leader="none" w:pos="2649" w:val="left"/>
        </w:tabs>
        <w:numPr>
          <w:ilvl w:val="1"/>
          <w:numId w:val="57"/>
        </w:numPr>
        <w:rPr>
          <w:rFonts w:ascii="Arial" w:cs="Arial" w:eastAsia="Arial" w:hAnsi="Arial"/>
          <w:sz w:val="19"/>
          <w:szCs w:val="19"/>
          <w:color w:val="auto"/>
        </w:rPr>
      </w:pPr>
      <w:r>
        <w:rPr>
          <w:rFonts w:ascii="Arial" w:cs="Arial" w:eastAsia="Arial" w:hAnsi="Arial"/>
          <w:sz w:val="19"/>
          <w:szCs w:val="19"/>
          <w:color w:val="auto"/>
        </w:rPr>
        <w:t>Until December 31, 2014, Mark may only terminate his employment “for good reason.” For the purposes of this Agreement, “for good reason” means any of the following: (a) the Company’s material breach of this Agreement after Mark provides the Company with thirty (30) days’ written notice of the breach and an opportunity to cure (to the extent the breach can be cured), (b) a material adverse change, without Mark’s consent, to Mark’s position, responsibilities or duties, other than as described in this Agreement, which is not cured within thirty (30) days of Mark’s written notice of his objection to such change.</w:t>
      </w:r>
    </w:p>
    <w:p>
      <w:pPr>
        <w:spacing w:after="0" w:line="194"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4.3. Subject to compliance with the Company’s policies and procedures, Mark agrees to serve as a member of the Board of Directors of Monster Beverage Corporation (“MBC”) with effect from January 1, 2014 and continuing for at least one year.</w:t>
      </w:r>
    </w:p>
    <w:p>
      <w:pPr>
        <w:spacing w:after="0" w:line="166"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4.4. Notwithstanding anything contained in this Agreement, Mark shall not be required to work from the Company’s place of business and may render substantially all of his services from a location of his choosing but shall be available to attend telephonic and video conferences at such times as may reasonably be required by the Company. Mark shall use his best efforts to attend, either in person or</w:t>
      </w:r>
    </w:p>
    <w:p>
      <w:pPr>
        <w:sectPr>
          <w:pgSz w:w="11900" w:h="16838" w:orient="portrait"/>
          <w:cols w:equalWidth="0" w:num="1">
            <w:col w:w="11420"/>
          </w:cols>
          <w:pgMar w:left="240" w:top="112" w:right="239" w:bottom="0" w:gutter="0" w:footer="0" w:header="0"/>
        </w:sectPr>
      </w:pPr>
    </w:p>
    <w:bookmarkStart w:id="70" w:name="page71"/>
    <w:bookmarkEnd w:id="70"/>
    <w:p>
      <w:pPr>
        <w:jc w:val="both"/>
        <w:ind w:right="20"/>
        <w:spacing w:after="0" w:line="250" w:lineRule="auto"/>
        <w:rPr>
          <w:sz w:val="20"/>
          <w:szCs w:val="20"/>
          <w:color w:val="auto"/>
        </w:rPr>
      </w:pPr>
      <w:r>
        <w:rPr>
          <w:rFonts w:ascii="Arial" w:cs="Arial" w:eastAsia="Arial" w:hAnsi="Arial"/>
          <w:sz w:val="20"/>
          <w:szCs w:val="20"/>
          <w:color w:val="auto"/>
        </w:rPr>
        <w:t>telephonically, all duly noticed Board meetings. Although Mark shall not be required to work from the Company’s place of business, the Company shall provide him with an office in its place of business that is suitable and commensurate with his status, for occasions when Mark desires to work in the office on the Company’s business.</w:t>
      </w:r>
    </w:p>
    <w:p>
      <w:pPr>
        <w:spacing w:after="0" w:line="201" w:lineRule="exact"/>
        <w:rPr>
          <w:sz w:val="20"/>
          <w:szCs w:val="20"/>
          <w:color w:val="auto"/>
        </w:rPr>
      </w:pPr>
    </w:p>
    <w:p>
      <w:pPr>
        <w:ind w:left="960" w:hanging="304"/>
        <w:spacing w:after="0"/>
        <w:tabs>
          <w:tab w:leader="none" w:pos="96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Mark’s Covenants</w:t>
      </w:r>
      <w:r>
        <w:rPr>
          <w:rFonts w:ascii="Arial" w:cs="Arial" w:eastAsia="Arial" w:hAnsi="Arial"/>
          <w:sz w:val="20"/>
          <w:szCs w:val="20"/>
          <w:color w:val="auto"/>
        </w:rPr>
        <w:t>.</w:t>
      </w:r>
    </w:p>
    <w:p>
      <w:pPr>
        <w:spacing w:after="0" w:line="22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5.1. During the term of his employment, and for a period of two (2) years after termination of employment or service as a Board member, whichever occurs last, Mark covenants and agrees that he shall not, directly or indirectly (a) reveal or use any Confidential Material (as defined in Section 6) or Proprietary Information (as defined in Section 7.1) except for the benefit of the Company, (b) own an interest in, operate or participate in, or be connected as an officer, director, employee, agent, independent contractor, partner, shareholder, or principal of any business entity or person producing, designing, providing, soliciting orders for, selling, distributing, or marketing non-alcoholic beverages including those which are similar to, or compete with, the products of the Company or any Affiliate (as defined below), (c) entice, induce or attempt to induce any customer, supplier, vendor, licensor, licensee or other business affiliates of the Company or any Affiliate to reduce or diminish the business it does with the Company or any Affiliate or do business with any competitor or potential competitor of the Company or any Affiliate, (d) induce or attempt to induce any employee or independent contractor of the Company or any Affiliate to terminate his, her or its employment, contract or other relationship with the Company or any Affiliate, including, without limitation, by soliciting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that employee or independent contractor to do business with Mark or any affiliate or employer of Mark, or (e) undertake any employment or activity competitive with the Company’s business including, without limitation, the inducement or solicitation of the Company’s customers, if the duties or work of, in connection with, or related to such competitive employment or activity would or might cause Mark to reveal or use any Confidential Material or Proprietary Information. For the purposes of this Agreement, “Affiliate” shall mean any partner, employee, director, shareholder, or officer of the Company or any person or entity controlled by, controlling, or under common control with, directly or indirectly, the Company or its successor in title and interest.</w:t>
      </w:r>
    </w:p>
    <w:p>
      <w:pPr>
        <w:spacing w:after="0" w:line="21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5.2. Notwithstanding anything to the contrary contained in Section 5.1 (b) or (e) above, Mark shall be entitled to be a shareholder, member, employee, director, partner, and/or consultant of an entity that is engaged in producing, marketing and selling alcoholic beverages, providing such entity does not directly or indirectly compete with the Company. Such entity shall not be regarded as competing with the Company merely because it has a business relationship with distributors with whom the Company has or has had a business relationship. Moreover, such entity shall not be regarding as competing with the Company merely because the alcoholic beverages may be marketed and sold to the same consumers who purchase the Company’s non-alcoholic products.</w:t>
      </w:r>
    </w:p>
    <w:p>
      <w:pPr>
        <w:spacing w:after="0" w:line="192" w:lineRule="exact"/>
        <w:rPr>
          <w:sz w:val="20"/>
          <w:szCs w:val="20"/>
          <w:color w:val="auto"/>
        </w:rPr>
      </w:pPr>
    </w:p>
    <w:p>
      <w:pPr>
        <w:jc w:val="both"/>
        <w:ind w:firstLine="1297"/>
        <w:spacing w:after="0" w:line="310" w:lineRule="auto"/>
        <w:rPr>
          <w:sz w:val="20"/>
          <w:szCs w:val="20"/>
          <w:color w:val="auto"/>
        </w:rPr>
      </w:pPr>
      <w:r>
        <w:rPr>
          <w:rFonts w:ascii="Arial" w:cs="Arial" w:eastAsia="Arial" w:hAnsi="Arial"/>
          <w:sz w:val="16"/>
          <w:szCs w:val="16"/>
          <w:color w:val="auto"/>
        </w:rPr>
        <w:t>5.3. The restrictions in Section 5.1 above shall apply to any region in which the Company does business, or produces, distributes, markets or sells its products. Mark agrees that these covenants are reasonable with respect to their duration, geographical area, and scope. Notwithstanding any restriction in Section 5.1, (a) Mark may purchase or otherwise acquire up to (but not more than) one percent (1%) of any class of securities of any enterprise (but without otherwise participating in the activities of such enterprise) if such securities are listed on any national or regional securities exchange or have been registered under Section 12(g) of the Securities Exchange Act of 1934 and (b) Mark may enter into a business relationship with an entity which produces alcoholic beverages and does not directly or indirectly compete with the Company but which may sell its products to entities that do business with the Company. If a court or arbitrator of competent jurisdiction holds that the obligations of Mark pursuant to Section 5.1 above are unenforceable due to the duration, geographical areas or scope of this such, then such duration, geographical area or scope of this covenant shall be reduced to the least degree necessary to render this covenant enforceable.</w:t>
      </w:r>
    </w:p>
    <w:p>
      <w:pPr>
        <w:spacing w:after="0" w:line="15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8"/>
          <w:szCs w:val="18"/>
          <w:color w:val="auto"/>
        </w:rPr>
        <w:t>5.4. In the event of a breach by Mark of any covenant set forth in Section 5.1 above, the term of such covenant will be extended by the period of the duration of such breach, provided however that such extension shall be limited to two (2) years. Mark acknowledges that the injury that would be suffered by the Company as a result of the breach of the provisions of Sections 5, 6 and/or 7 of this Agreement would be irreparable and that an award of monetary damages to the Company for such breach would be an inadequate remedy. Consequently, the Company will have the right, in addition to any other rights it may have under this Agreement or applicable law, to obtain injunctive relief to restrain any breach or threatened breach or otherwise to specifically enforce any provisions of this Agreement, and the Company will not be obligated to post bond or other security in seeking such relief. The rights, remedies and relief provided in this Section 5.4 shall be in addition and without prejudice to the Company’s rights, remedies and relief pursuant to Section 5.6 below.</w:t>
      </w:r>
    </w:p>
    <w:p>
      <w:pPr>
        <w:spacing w:after="0" w:line="183"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5.5. Before initiating any legal action under Sections 5.1, 6, and/or 7 of this Agreement, the Company agrees to give Mark 30 days’ written notice and a detailed explanation of why the Company believes he is breach of the Agreement. Notwithstanding anything to the contrary contained under Sections 4.2 and 5.6 of this Agreement, neither the Company nor Mark shall not be entitled to more than one</w:t>
      </w:r>
    </w:p>
    <w:p>
      <w:pPr>
        <w:spacing w:after="0" w:line="1"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notice and opportunity to cure a true breach/default during any 12 month period.</w:t>
      </w:r>
    </w:p>
    <w:p>
      <w:pPr>
        <w:spacing w:after="0" w:line="208" w:lineRule="exact"/>
        <w:rPr>
          <w:rFonts w:ascii="Arial" w:cs="Arial" w:eastAsia="Arial" w:hAnsi="Arial"/>
          <w:sz w:val="20"/>
          <w:szCs w:val="20"/>
          <w:color w:val="auto"/>
        </w:rPr>
      </w:pPr>
    </w:p>
    <w:p>
      <w:pPr>
        <w:ind w:left="5660"/>
        <w:spacing w:after="0"/>
        <w:rPr>
          <w:rFonts w:ascii="Arial" w:cs="Arial" w:eastAsia="Arial" w:hAnsi="Arial"/>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8"/>
          <w:szCs w:val="18"/>
          <w:color w:val="auto"/>
        </w:rPr>
        <w:t>5.6. Mark and the Company agree that if Mark materially breaches his obligations under Sections 5.1, 6, and/or 7 of this Agreement (the “Confidentiality and Non-Compete Provisions”), damages will be sustained by the Company that are not reasonably ascertainable, and Mark and the Company have reasonably estimated a fair compensation for the losses that will be suffered by the Company as a result of such breach/es but which does not constitute compensation for all damage, harm and/or prejudice the Company will suffer (the “Liquidated Damages”). Notwithstanding that the Liquidated Damages will not fully compensate the Company or remedy all the damage, harm and/or prejudice that will be suffered by the Company as a consequence of Mark’s breach/es of the Confidentiality and Non-Compete Provisions, and without prejudice to the Company’s rights and remedies under Section 5.4 above, the Company and Mark agree that (i) Liquidated Damages in the sum of $1,500,000 for any material breach of the Confidentiality and Non-Compete Provisions occurring within</w:t>
      </w:r>
    </w:p>
    <w:p>
      <w:pPr>
        <w:sectPr>
          <w:pgSz w:w="11900" w:h="16838" w:orient="portrait"/>
          <w:cols w:equalWidth="0" w:num="1">
            <w:col w:w="11420"/>
          </w:cols>
          <w:pgMar w:left="240" w:top="122" w:right="239" w:bottom="0" w:gutter="0" w:footer="0" w:header="0"/>
        </w:sectPr>
      </w:pPr>
    </w:p>
    <w:bookmarkStart w:id="71" w:name="page72"/>
    <w:bookmarkEnd w:id="71"/>
    <w:p>
      <w:pPr>
        <w:jc w:val="both"/>
        <w:spacing w:after="0" w:line="270" w:lineRule="auto"/>
        <w:rPr>
          <w:sz w:val="20"/>
          <w:szCs w:val="20"/>
          <w:color w:val="auto"/>
        </w:rPr>
      </w:pPr>
      <w:r>
        <w:rPr>
          <w:rFonts w:ascii="Arial" w:cs="Arial" w:eastAsia="Arial" w:hAnsi="Arial"/>
          <w:sz w:val="18"/>
          <w:szCs w:val="18"/>
          <w:color w:val="auto"/>
        </w:rPr>
        <w:t>one (1) year of Mark’s termination of employment with the Company and $1,000,000 for any such material breach occurring after the 1</w:t>
      </w:r>
      <w:r>
        <w:rPr>
          <w:rFonts w:ascii="Arial" w:cs="Arial" w:eastAsia="Arial" w:hAnsi="Arial"/>
          <w:sz w:val="11"/>
          <w:szCs w:val="11"/>
          <w:color w:val="auto"/>
        </w:rPr>
        <w:t>st</w:t>
      </w:r>
      <w:r>
        <w:rPr>
          <w:rFonts w:ascii="Arial" w:cs="Arial" w:eastAsia="Arial" w:hAnsi="Arial"/>
          <w:sz w:val="18"/>
          <w:szCs w:val="18"/>
          <w:color w:val="auto"/>
        </w:rPr>
        <w:t xml:space="preserve"> anniversary of Mark’s termination of employment with the Company are and will be reasonable, (ii) if Mark materially breaches any of the obligations under Section 5.1 above or 6 or 7 below, then without prejudice to the Company’s rights and remedies under Section 5.4 above, the Company shall be entitled to a payment of Liquidated Damages of $1,500,000 for any material breach occurring within one (1) year of Mark’s termination of employment with the Company, and payment of Liquidated Damages of $1,000,000 for any material breach occurring after the 1</w:t>
      </w:r>
      <w:r>
        <w:rPr>
          <w:rFonts w:ascii="Arial" w:cs="Arial" w:eastAsia="Arial" w:hAnsi="Arial"/>
          <w:sz w:val="11"/>
          <w:szCs w:val="11"/>
          <w:color w:val="auto"/>
        </w:rPr>
        <w:t>st</w:t>
      </w:r>
      <w:r>
        <w:rPr>
          <w:rFonts w:ascii="Arial" w:cs="Arial" w:eastAsia="Arial" w:hAnsi="Arial"/>
          <w:sz w:val="18"/>
          <w:szCs w:val="18"/>
          <w:color w:val="auto"/>
        </w:rPr>
        <w:t xml:space="preserve"> anniversary of Mark’s termination of employment with the Company, and (iii) in consideration of the payment of such Liquidated Damages, the parties to this Agreement shall be deemed to have waived all other claims for a breach of the Confidentiality and Non-Compete Provisions except for the Company’s rights under Section 5.4. The Parties agree that the Company’s aggregate recovery for all alleged violations of Sections 5.1, 6, and 7 is the $1,500,000 or $1,000,000 caps referenced in the preceding sentence, and that no stacking of liquidated damages amounts will occur. The Company and Mark expressly agree that the payment of Liquidated Damages pursuant to this Section 5.6 will not fully compensate the Company or remedy all the damage, harm and/or prejudice that will be suffered by the Company as a consequence of Mark’s breach of the Confidentiality and Non-Compete Provisions and therefore shall not impair any right of the Company to seek or obtain injunctive relief pursuant to Section 5.4 above. Mark further hereby waives the right to, and agrees that he shall not, assert that the payment of Liquidated Damages affects or impairs the Company’s right to claim injunctive relief pursuant to Section 5.4 above.</w:t>
      </w:r>
    </w:p>
    <w:p>
      <w:pPr>
        <w:spacing w:after="0" w:line="185" w:lineRule="exact"/>
        <w:rPr>
          <w:sz w:val="20"/>
          <w:szCs w:val="20"/>
          <w:color w:val="auto"/>
        </w:rPr>
      </w:pPr>
    </w:p>
    <w:p>
      <w:pPr>
        <w:jc w:val="both"/>
        <w:ind w:firstLine="656"/>
        <w:spacing w:after="0" w:line="255" w:lineRule="auto"/>
        <w:tabs>
          <w:tab w:leader="none" w:pos="102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Mark acknowledges that the Company has made and may in the future make available to Mark its customer identification, lists and contact information, customer preferences, plans and strategic information, product design information, software data and code, performance standards, marketing plans and information, independent contractor identification and terms of compensation, supplier and vendor information, compensation arrangements, strategic plans and information, and other confidential and/or proprietary information of the Company or any Affiliate or their respective customers including without limitation trade secrets and copyrighted materials, and confidential information provided to the Company by the Company’s customers (collectively, all of the items listed above are the “Confidential Material”). All data, lists and compilations assembled or developed by Mark relating to the Company’s business are also deemed to be the “Confidential Material” of the Company for all purposes, and Mark hereby assigns all of Mark’s right, title and interest to such Confidential Material (now existing or later developed) to the Company. Except as essential to Mark’s obligations to the Company, Mark will not make any disclosure, use or duplication of any of the Confidential Material. Immediately upon request from the Company, Mark will return to the Company all Confidential Material in all forms and formats. For the purposes of this Section, Confidential Material will not include publicly available information in the same form as maintained by the Company.</w:t>
      </w:r>
    </w:p>
    <w:p>
      <w:pPr>
        <w:spacing w:after="0" w:line="198" w:lineRule="exact"/>
        <w:rPr>
          <w:rFonts w:ascii="Arial" w:cs="Arial" w:eastAsia="Arial" w:hAnsi="Arial"/>
          <w:sz w:val="19"/>
          <w:szCs w:val="19"/>
          <w:color w:val="auto"/>
        </w:rPr>
      </w:pPr>
    </w:p>
    <w:p>
      <w:pPr>
        <w:ind w:left="960" w:hanging="304"/>
        <w:spacing w:after="0"/>
        <w:tabs>
          <w:tab w:leader="none" w:pos="96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Proprietary Information</w:t>
      </w:r>
    </w:p>
    <w:p>
      <w:pPr>
        <w:spacing w:after="0" w:line="229"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Defined</w:t>
      </w:r>
      <w:r>
        <w:rPr>
          <w:rFonts w:ascii="Arial" w:cs="Arial" w:eastAsia="Arial" w:hAnsi="Arial"/>
          <w:sz w:val="18"/>
          <w:szCs w:val="18"/>
          <w:color w:val="auto"/>
        </w:rPr>
        <w:t>. For purposes of this Agreement, “Proprietary Information” means all information, observations, data, code, written materials, records, documents, computer programs, software, firmware, inventions, discoveries, improvements, developments, tools, machines, apparatus, appliances, designs, promotional ideas, customer and supplier lists, practices, processes, formulae, methods, techniques, know-how, trade secrets, products and/or research related to the actual or anticipated products, services, business or finances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Ownership</w:t>
      </w:r>
      <w:r>
        <w:rPr>
          <w:rFonts w:ascii="Arial" w:cs="Arial" w:eastAsia="Arial" w:hAnsi="Arial"/>
          <w:sz w:val="18"/>
          <w:szCs w:val="18"/>
          <w:color w:val="auto"/>
        </w:rPr>
        <w:t>. All right, title and interest of every kind and nature in and to the Proprietary Information made, discussed, developed, secured, obtained or learned by Mark during the term of his employment with the Company is and will be the sole and exclusive property of the Company for all purposes and uses and is a “work made for hire” within the meaning of 17 USC 101, to the extent applicable to the Proprietary Information. The covenants set forth in the preceding sentence will apply regardless of whether any Proprietary Information is made, discovered, developed, secured, obtained or learned (a) solely or jointly with others, (b) during the usual hours of work or otherwise,</w:t>
      </w:r>
    </w:p>
    <w:p>
      <w:pPr>
        <w:spacing w:after="0" w:line="4" w:lineRule="exact"/>
        <w:rPr>
          <w:sz w:val="20"/>
          <w:szCs w:val="20"/>
          <w:color w:val="auto"/>
        </w:rPr>
      </w:pPr>
    </w:p>
    <w:p>
      <w:pPr>
        <w:jc w:val="both"/>
        <w:ind w:right="20" w:firstLine="8"/>
        <w:spacing w:after="0" w:line="258" w:lineRule="auto"/>
        <w:tabs>
          <w:tab w:leader="none" w:pos="292" w:val="left"/>
        </w:tabs>
        <w:numPr>
          <w:ilvl w:val="0"/>
          <w:numId w:val="61"/>
        </w:numPr>
        <w:rPr>
          <w:rFonts w:ascii="Arial" w:cs="Arial" w:eastAsia="Arial" w:hAnsi="Arial"/>
          <w:sz w:val="19"/>
          <w:szCs w:val="19"/>
          <w:color w:val="auto"/>
        </w:rPr>
      </w:pPr>
      <w:r>
        <w:rPr>
          <w:rFonts w:ascii="Arial" w:cs="Arial" w:eastAsia="Arial" w:hAnsi="Arial"/>
          <w:sz w:val="19"/>
          <w:szCs w:val="19"/>
          <w:color w:val="auto"/>
        </w:rPr>
        <w:t>at the request and upon the suggestion of the Company or otherwise, or (d) with the Company’s materials, tools, instruments or on the Company’s premises or otherwise. All Proprietary Information developed, created, invented, devised, conceived or discovered by Mark that is subject to copyright protection is explicitly considered by Mark and the Company to be works made for hire to the extent permitted by law. Mark hereby assigns to the Company all of Mark’s right, title and interest in and to all Proprietary Information.</w:t>
      </w:r>
    </w:p>
    <w:p>
      <w:pPr>
        <w:spacing w:after="0" w:line="192" w:lineRule="exact"/>
        <w:rPr>
          <w:sz w:val="20"/>
          <w:szCs w:val="20"/>
          <w:color w:val="auto"/>
        </w:rPr>
      </w:pPr>
    </w:p>
    <w:p>
      <w:pPr>
        <w:ind w:left="960" w:hanging="304"/>
        <w:spacing w:after="0"/>
        <w:tabs>
          <w:tab w:leader="none" w:pos="96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Miscellaneous Provisions</w:t>
      </w:r>
      <w:r>
        <w:rPr>
          <w:rFonts w:ascii="Arial" w:cs="Arial" w:eastAsia="Arial" w:hAnsi="Arial"/>
          <w:sz w:val="20"/>
          <w:szCs w:val="20"/>
          <w:color w:val="auto"/>
        </w:rPr>
        <w:t>.</w:t>
      </w:r>
    </w:p>
    <w:p>
      <w:pPr>
        <w:spacing w:after="0" w:line="229" w:lineRule="exact"/>
        <w:rPr>
          <w:sz w:val="20"/>
          <w:szCs w:val="20"/>
          <w:color w:val="auto"/>
        </w:rPr>
      </w:pPr>
    </w:p>
    <w:p>
      <w:pPr>
        <w:ind w:left="1300"/>
        <w:spacing w:after="0"/>
        <w:tabs>
          <w:tab w:leader="none" w:pos="2020" w:val="left"/>
          <w:tab w:leader="none" w:pos="350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u w:val="single" w:color="auto"/>
          <w:color w:val="auto"/>
        </w:rPr>
        <w:t>Governing Law</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This Agreement will be governed by and construed in accordance with the laws of the State of</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21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Further Assurances</w:t>
      </w:r>
      <w:r>
        <w:rPr>
          <w:rFonts w:ascii="Arial" w:cs="Arial" w:eastAsia="Arial" w:hAnsi="Arial"/>
          <w:sz w:val="20"/>
          <w:szCs w:val="20"/>
          <w:color w:val="auto"/>
        </w:rPr>
        <w:t>. Each party to this Agreement will execute all instruments and documents and take all actions as may be reasonably required to effectuate this Agreement.</w:t>
      </w:r>
    </w:p>
    <w:p>
      <w:pPr>
        <w:spacing w:after="0" w:line="19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will be deemed an original and all of which together will constitute one document.</w:t>
      </w:r>
    </w:p>
    <w:p>
      <w:pPr>
        <w:spacing w:after="0" w:line="190"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Attorneys’ Fees</w:t>
      </w:r>
      <w:r>
        <w:rPr>
          <w:rFonts w:ascii="Arial" w:cs="Arial" w:eastAsia="Arial" w:hAnsi="Arial"/>
          <w:sz w:val="20"/>
          <w:szCs w:val="20"/>
          <w:color w:val="auto"/>
        </w:rPr>
        <w:t>. In the event any litigation, arbitration, or other proceeding (“Proceeding”) is initiated by any party against any other party to enforce, interpret or otherwise obtain judicial or quasi-judicial relief in connection with this Agreement, the prevailing party in such Proceeding will be entitled to recover from the unsuccessful party all costs, expenses, actual attorneys’ and expert witness fees, relating to or arising out of: (a) such Proceeding (whether or not such Proceeding proceeds to judgment); and (b) any post-judgment or post-award proceeding, including without limitation, one to enforce any judgment or award resulting from any such Proceeding. Any such judgment or award will contain a specific provision for the recovery of all such subsequently incurred costs, expenses, actual attorneys’ and expert witness fees.</w:t>
      </w:r>
    </w:p>
    <w:p>
      <w:pPr>
        <w:spacing w:after="0" w:line="20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Modification</w:t>
      </w:r>
      <w:r>
        <w:rPr>
          <w:rFonts w:ascii="Arial" w:cs="Arial" w:eastAsia="Arial" w:hAnsi="Arial"/>
          <w:sz w:val="20"/>
          <w:szCs w:val="20"/>
          <w:color w:val="auto"/>
        </w:rPr>
        <w:t>. This Agreement may be modified only by a contract in writing executed by the party to this Agreement against whom enforcement of such modification is sought.</w:t>
      </w:r>
    </w:p>
    <w:p>
      <w:pPr>
        <w:sectPr>
          <w:pgSz w:w="11900" w:h="16838" w:orient="portrait"/>
          <w:cols w:equalWidth="0" w:num="1">
            <w:col w:w="11420"/>
          </w:cols>
          <w:pgMar w:left="240" w:top="122" w:right="239" w:bottom="0" w:gutter="0" w:footer="0" w:header="0"/>
        </w:sectPr>
      </w:pPr>
    </w:p>
    <w:bookmarkStart w:id="72" w:name="page73"/>
    <w:bookmarkEnd w:id="72"/>
    <w:p>
      <w:pPr>
        <w:jc w:val="both"/>
        <w:ind w:right="40" w:firstLine="1297"/>
        <w:spacing w:after="0" w:line="27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Prior Understandings</w:t>
      </w:r>
      <w:r>
        <w:rPr>
          <w:rFonts w:ascii="Arial" w:cs="Arial" w:eastAsia="Arial" w:hAnsi="Arial"/>
          <w:sz w:val="18"/>
          <w:szCs w:val="18"/>
          <w:color w:val="auto"/>
        </w:rPr>
        <w:t>. This Agreement, the Existing Employment Agreements and the Stock Related Agreements contain the entire agreement between the parties to this Agreement with respect to the subject matter of this Agreement, are intended as a final expression of such parties’ agreement with respect to such terms as are included in this Agreement, are intended as a complete and exclusive statement of the terms of such agreement, and supersede all negotiations, stipulations, understandings, agreements, representations and warranties, if any, with respect to such subject matter, which precede or accompany the execution of this Agreement.</w:t>
      </w:r>
    </w:p>
    <w:p>
      <w:pPr>
        <w:spacing w:after="0" w:line="176" w:lineRule="exact"/>
        <w:rPr>
          <w:sz w:val="20"/>
          <w:szCs w:val="20"/>
          <w:color w:val="auto"/>
        </w:rPr>
      </w:pPr>
    </w:p>
    <w:p>
      <w:pPr>
        <w:jc w:val="both"/>
        <w:ind w:right="40" w:firstLine="1297"/>
        <w:spacing w:after="0" w:line="244"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Partial Invalidity</w:t>
      </w:r>
      <w:r>
        <w:rPr>
          <w:rFonts w:ascii="Arial" w:cs="Arial" w:eastAsia="Arial" w:hAnsi="Arial"/>
          <w:sz w:val="20"/>
          <w:szCs w:val="20"/>
          <w:color w:val="auto"/>
        </w:rPr>
        <w:t>. Each provision of this Agreement will be valid and enforceable to the fullest extent permitted by law. If any provision of this Agreement or the application of such provision to any person or circumstance will, to any extent, be invalid or unenforceable, the remainder of this Agreement, or the application of such provision to persons or circumstances other than those as to which it is held invalid or unenforceable, will not be affected by such invalidity or unenforceability, unless such provision or such application of such provision is essential to this Agreement.</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40" w:firstLine="1297"/>
        <w:spacing w:after="0" w:line="250"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Drafting Ambiguities</w:t>
      </w:r>
      <w:r>
        <w:rPr>
          <w:rFonts w:ascii="Arial" w:cs="Arial" w:eastAsia="Arial" w:hAnsi="Arial"/>
          <w:sz w:val="20"/>
          <w:szCs w:val="20"/>
          <w:color w:val="auto"/>
        </w:rPr>
        <w:t>. Each party to this Agreement and its legal counsel have reviewed and revised this Agreement. The rule of construction that any ambiguities are to be resolved against the drafting party will not be employed in the interpretation of this Agreement or of any amendments or exhibits to this Agreement.</w:t>
      </w:r>
    </w:p>
    <w:p>
      <w:pPr>
        <w:spacing w:after="0" w:line="20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8.9.</w:t>
      </w:r>
      <w:r>
        <w:rPr>
          <w:sz w:val="20"/>
          <w:szCs w:val="20"/>
          <w:color w:val="auto"/>
        </w:rPr>
        <w:tab/>
      </w:r>
      <w:r>
        <w:rPr>
          <w:rFonts w:ascii="Arial" w:cs="Arial" w:eastAsia="Arial" w:hAnsi="Arial"/>
          <w:sz w:val="18"/>
          <w:szCs w:val="18"/>
          <w:u w:val="single" w:color="auto"/>
          <w:color w:val="auto"/>
        </w:rPr>
        <w:t>Effectiveness</w:t>
      </w:r>
      <w:r>
        <w:rPr>
          <w:rFonts w:ascii="Arial" w:cs="Arial" w:eastAsia="Arial" w:hAnsi="Arial"/>
          <w:sz w:val="18"/>
          <w:szCs w:val="18"/>
          <w:color w:val="auto"/>
        </w:rPr>
        <w:t>. This Agreement will become effective when it has been executed by all of the parties to this Agreement.</w:t>
      </w:r>
    </w:p>
    <w:p>
      <w:pPr>
        <w:spacing w:after="0" w:line="229" w:lineRule="exact"/>
        <w:rPr>
          <w:sz w:val="20"/>
          <w:szCs w:val="20"/>
          <w:color w:val="auto"/>
        </w:rPr>
      </w:pPr>
    </w:p>
    <w:p>
      <w:pPr>
        <w:jc w:val="both"/>
        <w:ind w:right="40" w:firstLine="1297"/>
        <w:spacing w:after="0" w:line="260" w:lineRule="auto"/>
        <w:rPr>
          <w:sz w:val="20"/>
          <w:szCs w:val="20"/>
          <w:color w:val="auto"/>
        </w:rPr>
      </w:pPr>
      <w:r>
        <w:rPr>
          <w:rFonts w:ascii="Arial" w:cs="Arial" w:eastAsia="Arial" w:hAnsi="Arial"/>
          <w:sz w:val="20"/>
          <w:szCs w:val="20"/>
          <w:color w:val="auto"/>
        </w:rPr>
        <w:t xml:space="preserve">8.10. </w:t>
      </w:r>
      <w:r>
        <w:rPr>
          <w:rFonts w:ascii="Arial" w:cs="Arial" w:eastAsia="Arial" w:hAnsi="Arial"/>
          <w:sz w:val="20"/>
          <w:szCs w:val="20"/>
          <w:u w:val="single" w:color="auto"/>
          <w:color w:val="auto"/>
        </w:rPr>
        <w:t>Successors-in-Interest and Assigns</w:t>
      </w:r>
      <w:r>
        <w:rPr>
          <w:rFonts w:ascii="Arial" w:cs="Arial" w:eastAsia="Arial" w:hAnsi="Arial"/>
          <w:sz w:val="20"/>
          <w:szCs w:val="20"/>
          <w:color w:val="auto"/>
        </w:rPr>
        <w:t>. This Agreement is binding upon and inures to the benefit of the successors-in-interest and assigns of each party to this Agreement.</w:t>
      </w:r>
    </w:p>
    <w:p>
      <w:pPr>
        <w:spacing w:after="0" w:line="190" w:lineRule="exact"/>
        <w:rPr>
          <w:sz w:val="20"/>
          <w:szCs w:val="20"/>
          <w:color w:val="auto"/>
        </w:rPr>
      </w:pPr>
    </w:p>
    <w:p>
      <w:pPr>
        <w:ind w:left="960" w:hanging="304"/>
        <w:spacing w:after="0"/>
        <w:tabs>
          <w:tab w:leader="none" w:pos="96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Arbitration of Disputes</w:t>
      </w:r>
    </w:p>
    <w:p>
      <w:pPr>
        <w:spacing w:after="0" w:line="229" w:lineRule="exact"/>
        <w:rPr>
          <w:sz w:val="20"/>
          <w:szCs w:val="20"/>
          <w:color w:val="auto"/>
        </w:rPr>
      </w:pPr>
    </w:p>
    <w:p>
      <w:pPr>
        <w:jc w:val="both"/>
        <w:ind w:right="40" w:firstLine="1297"/>
        <w:spacing w:after="0" w:line="243" w:lineRule="auto"/>
        <w:rPr>
          <w:sz w:val="20"/>
          <w:szCs w:val="20"/>
          <w:color w:val="auto"/>
        </w:rPr>
      </w:pPr>
      <w:r>
        <w:rPr>
          <w:rFonts w:ascii="Arial" w:cs="Arial" w:eastAsia="Arial" w:hAnsi="Arial"/>
          <w:sz w:val="20"/>
          <w:szCs w:val="20"/>
          <w:color w:val="auto"/>
        </w:rPr>
        <w:t>9.1. Any controversy or claim relating to or arising out of this Agreement or Mark’s employment shall be settled in Orange County, California by arbitration in accordance with JAMS arbitration rules applicable to employment disputes (which may be viewed on line at “http://www.jamsadr.com/rules-employment-arbitration”) (the “JAMS Rules”). Judgment upon the award rendered by the arbitrator(s) may be entered in any court having jurisdiction. Nothing in this Agreement, however, prevents Mark from initially submitting a dispute to the California Labor Commissioner, Department of Fair Employment and Housing, the EEOC, or the National Labor Relations Board, as may be required under applicable law.</w:t>
      </w:r>
    </w:p>
    <w:p>
      <w:pPr>
        <w:spacing w:after="0" w:line="210" w:lineRule="exact"/>
        <w:rPr>
          <w:sz w:val="20"/>
          <w:szCs w:val="20"/>
          <w:color w:val="auto"/>
        </w:rPr>
      </w:pPr>
    </w:p>
    <w:p>
      <w:pPr>
        <w:jc w:val="both"/>
        <w:ind w:right="40" w:firstLine="1297"/>
        <w:spacing w:after="0" w:line="259" w:lineRule="auto"/>
        <w:rPr>
          <w:sz w:val="20"/>
          <w:szCs w:val="20"/>
          <w:color w:val="auto"/>
        </w:rPr>
      </w:pPr>
      <w:r>
        <w:rPr>
          <w:rFonts w:ascii="Arial" w:cs="Arial" w:eastAsia="Arial" w:hAnsi="Arial"/>
          <w:sz w:val="19"/>
          <w:szCs w:val="19"/>
          <w:color w:val="auto"/>
        </w:rPr>
        <w:t>9.2. For any claims relating to or arising out of any state or federal statute or public policy (“public policy claims”): (a) the substantive and remedial provisions of the statute(s) applicable to the public policy claims shall be available to any party required to arbitrate under this agreement if those provisions would be otherwise available in court; (b) if the JAMS Rules do not already so provide, an employee submitting a public policy claim to arbitration shall be entitled to the full range of discovery provided under California Code of Civil Procedure 1283.05; (c) no employee shall be required to pay costs unique to the arbitration proceeding; and (d) the arbitrator must issue a written award setting forth the essential findings and conclusions on which the award is based.</w:t>
      </w:r>
    </w:p>
    <w:p>
      <w:pPr>
        <w:spacing w:after="0" w:line="192" w:lineRule="exact"/>
        <w:rPr>
          <w:sz w:val="20"/>
          <w:szCs w:val="20"/>
          <w:color w:val="auto"/>
        </w:rPr>
      </w:pPr>
    </w:p>
    <w:p>
      <w:pPr>
        <w:jc w:val="both"/>
        <w:ind w:right="60" w:firstLine="1297"/>
        <w:spacing w:after="0" w:line="260" w:lineRule="auto"/>
        <w:rPr>
          <w:sz w:val="20"/>
          <w:szCs w:val="20"/>
          <w:color w:val="auto"/>
        </w:rPr>
      </w:pPr>
      <w:r>
        <w:rPr>
          <w:rFonts w:ascii="Arial" w:cs="Arial" w:eastAsia="Arial" w:hAnsi="Arial"/>
          <w:sz w:val="20"/>
          <w:szCs w:val="20"/>
          <w:color w:val="auto"/>
        </w:rPr>
        <w:t>9.3. The parties recognize and agree that due to the nature of the Company’s business and its affect on interstate commerce, this agreement is governed by the Federal Arbitration Act as well as any applicable state or local law.</w:t>
      </w:r>
    </w:p>
    <w:p>
      <w:pPr>
        <w:spacing w:after="0" w:line="190" w:lineRule="exact"/>
        <w:rPr>
          <w:sz w:val="20"/>
          <w:szCs w:val="20"/>
          <w:color w:val="auto"/>
        </w:rPr>
      </w:pPr>
    </w:p>
    <w:p>
      <w:pPr>
        <w:jc w:val="both"/>
        <w:ind w:right="40" w:firstLine="1297"/>
        <w:spacing w:after="0" w:line="244" w:lineRule="auto"/>
        <w:rPr>
          <w:sz w:val="20"/>
          <w:szCs w:val="20"/>
          <w:color w:val="auto"/>
        </w:rPr>
      </w:pPr>
      <w:r>
        <w:rPr>
          <w:rFonts w:ascii="Arial" w:cs="Arial" w:eastAsia="Arial" w:hAnsi="Arial"/>
          <w:sz w:val="20"/>
          <w:szCs w:val="20"/>
          <w:color w:val="auto"/>
        </w:rPr>
        <w:t>9.4. By signing this Agreement, the parties agree to have any dispute arising out of this Agreement decided by neutral arbitration as provided by California law and understand that they are giving up any rights he or it might possess to have the dispute litigated in a court or jury trial. By signing this Agreement, the parties are giving up their judicial rights to appeal. If a party refuses to submit to arbitration after agreeing to this provision, he or it may be compelled to arbitrate under the authority of the California Code of Civil Procedure. The parties’ agreement to this arbitration provision is voluntary.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860" w:type="dxa"/>
            <w:vAlign w:val="bottom"/>
          </w:tcPr>
          <w:p>
            <w:pPr>
              <w:ind w:left="320"/>
              <w:spacing w:after="0"/>
              <w:rPr>
                <w:sz w:val="20"/>
                <w:szCs w:val="20"/>
                <w:color w:val="auto"/>
              </w:rPr>
            </w:pPr>
            <w:r>
              <w:rPr>
                <w:rFonts w:ascii="Arial" w:cs="Arial" w:eastAsia="Arial" w:hAnsi="Arial"/>
                <w:sz w:val="22"/>
                <w:szCs w:val="22"/>
                <w:color w:val="auto"/>
              </w:rPr>
              <w:t>6</w:t>
            </w:r>
          </w:p>
        </w:tc>
        <w:tc>
          <w:tcPr>
            <w:tcW w:w="16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520" w:type="dxa"/>
            <w:vAlign w:val="bottom"/>
            <w:tcBorders>
              <w:bottom w:val="single" w:sz="8" w:color="010101"/>
            </w:tcBorders>
          </w:tcPr>
          <w:p>
            <w:pPr>
              <w:spacing w:after="0"/>
              <w:rPr>
                <w:sz w:val="10"/>
                <w:szCs w:val="10"/>
                <w:color w:val="auto"/>
              </w:rPr>
            </w:pPr>
          </w:p>
        </w:tc>
        <w:tc>
          <w:tcPr>
            <w:tcW w:w="4820" w:type="dxa"/>
            <w:vAlign w:val="bottom"/>
            <w:tcBorders>
              <w:bottom w:val="single" w:sz="8" w:color="010101"/>
            </w:tcBorders>
          </w:tcPr>
          <w:p>
            <w:pPr>
              <w:spacing w:after="0"/>
              <w:rPr>
                <w:sz w:val="10"/>
                <w:szCs w:val="10"/>
                <w:color w:val="auto"/>
              </w:rPr>
            </w:pPr>
          </w:p>
        </w:tc>
        <w:tc>
          <w:tcPr>
            <w:tcW w:w="860" w:type="dxa"/>
            <w:vAlign w:val="bottom"/>
            <w:tcBorders>
              <w:bottom w:val="single" w:sz="8" w:color="010101"/>
            </w:tcBorders>
          </w:tcPr>
          <w:p>
            <w:pPr>
              <w:spacing w:after="0"/>
              <w:rPr>
                <w:sz w:val="10"/>
                <w:szCs w:val="10"/>
                <w:color w:val="auto"/>
              </w:rPr>
            </w:pPr>
          </w:p>
        </w:tc>
        <w:tc>
          <w:tcPr>
            <w:tcW w:w="160" w:type="dxa"/>
            <w:vAlign w:val="bottom"/>
            <w:tcBorders>
              <w:bottom w:val="single" w:sz="8" w:color="010101"/>
            </w:tcBorders>
          </w:tcPr>
          <w:p>
            <w:pPr>
              <w:spacing w:after="0"/>
              <w:rPr>
                <w:sz w:val="10"/>
                <w:szCs w:val="10"/>
                <w:color w:val="auto"/>
              </w:rPr>
            </w:pPr>
          </w:p>
        </w:tc>
        <w:tc>
          <w:tcPr>
            <w:tcW w:w="2960" w:type="dxa"/>
            <w:vAlign w:val="bottom"/>
            <w:tcBorders>
              <w:bottom w:val="single" w:sz="8" w:color="010101"/>
            </w:tcBorders>
          </w:tcPr>
          <w:p>
            <w:pPr>
              <w:spacing w:after="0"/>
              <w:rPr>
                <w:sz w:val="10"/>
                <w:szCs w:val="10"/>
                <w:color w:val="auto"/>
              </w:rPr>
            </w:pPr>
          </w:p>
        </w:tc>
        <w:tc>
          <w:tcPr>
            <w:tcW w:w="21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811"/>
        </w:trPr>
        <w:tc>
          <w:tcPr>
            <w:tcW w:w="5340" w:type="dxa"/>
            <w:vAlign w:val="bottom"/>
            <w:gridSpan w:val="2"/>
          </w:tcPr>
          <w:p>
            <w:pPr>
              <w:spacing w:after="0"/>
              <w:rPr>
                <w:sz w:val="20"/>
                <w:szCs w:val="20"/>
                <w:color w:val="auto"/>
              </w:rPr>
            </w:pPr>
            <w:r>
              <w:rPr>
                <w:rFonts w:ascii="Arial" w:cs="Arial" w:eastAsia="Arial" w:hAnsi="Arial"/>
                <w:sz w:val="20"/>
                <w:szCs w:val="20"/>
                <w:color w:val="auto"/>
              </w:rPr>
              <w:t>Dated: 10/28/13</w:t>
            </w:r>
          </w:p>
        </w:tc>
        <w:tc>
          <w:tcPr>
            <w:tcW w:w="6120" w:type="dxa"/>
            <w:vAlign w:val="bottom"/>
            <w:gridSpan w:val="4"/>
          </w:tcPr>
          <w:p>
            <w:pPr>
              <w:ind w:left="400"/>
              <w:spacing w:after="0"/>
              <w:rPr>
                <w:sz w:val="20"/>
                <w:szCs w:val="20"/>
                <w:color w:val="auto"/>
              </w:rPr>
            </w:pPr>
            <w:r>
              <w:rPr>
                <w:rFonts w:ascii="Arial" w:cs="Arial" w:eastAsia="Arial" w:hAnsi="Arial"/>
                <w:sz w:val="20"/>
                <w:szCs w:val="20"/>
                <w:color w:val="auto"/>
              </w:rPr>
              <w:t>Dated: 10/28/13</w:t>
            </w:r>
          </w:p>
        </w:tc>
        <w:tc>
          <w:tcPr>
            <w:tcW w:w="0" w:type="dxa"/>
            <w:vAlign w:val="bottom"/>
          </w:tcPr>
          <w:p>
            <w:pPr>
              <w:spacing w:after="0"/>
              <w:rPr>
                <w:sz w:val="1"/>
                <w:szCs w:val="1"/>
                <w:color w:val="auto"/>
              </w:rPr>
            </w:pPr>
          </w:p>
        </w:tc>
      </w:tr>
      <w:tr>
        <w:trPr>
          <w:trHeight w:val="438"/>
        </w:trPr>
        <w:tc>
          <w:tcPr>
            <w:tcW w:w="5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120" w:type="dxa"/>
            <w:vAlign w:val="bottom"/>
            <w:gridSpan w:val="4"/>
          </w:tcPr>
          <w:p>
            <w:pPr>
              <w:ind w:left="400"/>
              <w:spacing w:after="0"/>
              <w:rPr>
                <w:sz w:val="20"/>
                <w:szCs w:val="20"/>
                <w:color w:val="auto"/>
              </w:rPr>
            </w:pPr>
            <w:r>
              <w:rPr>
                <w:rFonts w:ascii="Arial" w:cs="Arial" w:eastAsia="Arial" w:hAnsi="Arial"/>
                <w:sz w:val="20"/>
                <w:szCs w:val="20"/>
                <w:color w:val="auto"/>
              </w:rPr>
              <w:t>MONSTER ENERGY COMPANY,</w:t>
            </w:r>
          </w:p>
        </w:tc>
        <w:tc>
          <w:tcPr>
            <w:tcW w:w="0" w:type="dxa"/>
            <w:vAlign w:val="bottom"/>
          </w:tcPr>
          <w:p>
            <w:pPr>
              <w:spacing w:after="0"/>
              <w:rPr>
                <w:sz w:val="1"/>
                <w:szCs w:val="1"/>
                <w:color w:val="auto"/>
              </w:rPr>
            </w:pPr>
          </w:p>
        </w:tc>
      </w:tr>
      <w:tr>
        <w:trPr>
          <w:trHeight w:val="250"/>
        </w:trPr>
        <w:tc>
          <w:tcPr>
            <w:tcW w:w="5340" w:type="dxa"/>
            <w:vAlign w:val="bottom"/>
            <w:gridSpan w:val="2"/>
            <w:vMerge w:val="restart"/>
          </w:tcPr>
          <w:p>
            <w:pPr>
              <w:spacing w:after="0"/>
              <w:rPr>
                <w:sz w:val="20"/>
                <w:szCs w:val="20"/>
                <w:color w:val="auto"/>
              </w:rPr>
            </w:pPr>
            <w:r>
              <w:rPr>
                <w:rFonts w:ascii="Arial" w:cs="Arial" w:eastAsia="Arial" w:hAnsi="Arial"/>
                <w:sz w:val="20"/>
                <w:szCs w:val="20"/>
                <w:color w:val="auto"/>
              </w:rPr>
              <w:t>By:   /s/ Mark. J. Hall</w:t>
            </w:r>
          </w:p>
        </w:tc>
        <w:tc>
          <w:tcPr>
            <w:tcW w:w="6120" w:type="dxa"/>
            <w:vAlign w:val="bottom"/>
            <w:gridSpan w:val="4"/>
          </w:tcPr>
          <w:p>
            <w:pPr>
              <w:ind w:left="400"/>
              <w:spacing w:after="0"/>
              <w:rPr>
                <w:sz w:val="20"/>
                <w:szCs w:val="20"/>
                <w:color w:val="auto"/>
              </w:rPr>
            </w:pPr>
            <w:r>
              <w:rPr>
                <w:rFonts w:ascii="Arial" w:cs="Arial" w:eastAsia="Arial" w:hAnsi="Arial"/>
                <w:sz w:val="20"/>
                <w:szCs w:val="20"/>
                <w:color w:val="auto"/>
              </w:rPr>
              <w:t>a Delaware corporation</w:t>
            </w:r>
          </w:p>
        </w:tc>
        <w:tc>
          <w:tcPr>
            <w:tcW w:w="0" w:type="dxa"/>
            <w:vAlign w:val="bottom"/>
          </w:tcPr>
          <w:p>
            <w:pPr>
              <w:spacing w:after="0"/>
              <w:rPr>
                <w:sz w:val="1"/>
                <w:szCs w:val="1"/>
                <w:color w:val="auto"/>
              </w:rPr>
            </w:pPr>
          </w:p>
        </w:tc>
      </w:tr>
      <w:tr>
        <w:trPr>
          <w:trHeight w:val="219"/>
        </w:trPr>
        <w:tc>
          <w:tcPr>
            <w:tcW w:w="534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line="199" w:lineRule="exact"/>
              <w:rPr>
                <w:sz w:val="20"/>
                <w:szCs w:val="20"/>
                <w:color w:val="auto"/>
              </w:rPr>
            </w:pPr>
            <w:r>
              <w:rPr>
                <w:rFonts w:ascii="Arial" w:cs="Arial" w:eastAsia="Arial" w:hAnsi="Arial"/>
                <w:sz w:val="20"/>
                <w:szCs w:val="20"/>
                <w:color w:val="auto"/>
                <w:w w:val="84"/>
              </w:rPr>
              <w:t>Name:</w:t>
            </w:r>
          </w:p>
        </w:tc>
        <w:tc>
          <w:tcPr>
            <w:tcW w:w="4820" w:type="dxa"/>
            <w:vAlign w:val="bottom"/>
            <w:tcBorders>
              <w:top w:val="single" w:sz="8" w:color="auto"/>
            </w:tcBorders>
          </w:tcPr>
          <w:p>
            <w:pPr>
              <w:ind w:left="60"/>
              <w:spacing w:after="0" w:line="199" w:lineRule="exact"/>
              <w:rPr>
                <w:sz w:val="20"/>
                <w:szCs w:val="20"/>
                <w:color w:val="auto"/>
              </w:rPr>
            </w:pPr>
            <w:r>
              <w:rPr>
                <w:rFonts w:ascii="Arial" w:cs="Arial" w:eastAsia="Arial" w:hAnsi="Arial"/>
                <w:sz w:val="20"/>
                <w:szCs w:val="20"/>
                <w:color w:val="auto"/>
              </w:rPr>
              <w:t>Mark J. Hall</w:t>
            </w:r>
          </w:p>
        </w:tc>
        <w:tc>
          <w:tcPr>
            <w:tcW w:w="6120" w:type="dxa"/>
            <w:vAlign w:val="bottom"/>
            <w:gridSpan w:val="4"/>
          </w:tcPr>
          <w:p>
            <w:pPr>
              <w:ind w:left="400"/>
              <w:spacing w:after="0" w:line="199" w:lineRule="exact"/>
              <w:rPr>
                <w:sz w:val="20"/>
                <w:szCs w:val="20"/>
                <w:color w:val="auto"/>
              </w:rPr>
            </w:pPr>
            <w:r>
              <w:rPr>
                <w:rFonts w:ascii="Arial" w:cs="Arial" w:eastAsia="Arial" w:hAnsi="Arial"/>
                <w:sz w:val="20"/>
                <w:szCs w:val="20"/>
                <w:color w:val="auto"/>
              </w:rPr>
              <w:t>By:  /s/ Hilton H. Schlosberg</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860" w:type="dxa"/>
            <w:vAlign w:val="bottom"/>
          </w:tcPr>
          <w:p>
            <w:pPr>
              <w:ind w:left="400"/>
              <w:spacing w:after="0" w:line="213" w:lineRule="exact"/>
              <w:rPr>
                <w:sz w:val="20"/>
                <w:szCs w:val="20"/>
                <w:color w:val="auto"/>
              </w:rPr>
            </w:pPr>
            <w:r>
              <w:rPr>
                <w:rFonts w:ascii="Arial" w:cs="Arial" w:eastAsia="Arial" w:hAnsi="Arial"/>
                <w:sz w:val="20"/>
                <w:szCs w:val="20"/>
                <w:color w:val="auto"/>
                <w:w w:val="74"/>
              </w:rPr>
              <w:t>Name:</w:t>
            </w:r>
          </w:p>
        </w:tc>
        <w:tc>
          <w:tcPr>
            <w:tcW w:w="160" w:type="dxa"/>
            <w:vAlign w:val="bottom"/>
            <w:tcBorders>
              <w:top w:val="single" w:sz="8" w:color="auto"/>
            </w:tcBorders>
          </w:tcPr>
          <w:p>
            <w:pPr>
              <w:spacing w:after="0"/>
              <w:rPr>
                <w:sz w:val="19"/>
                <w:szCs w:val="19"/>
                <w:color w:val="auto"/>
              </w:rPr>
            </w:pPr>
          </w:p>
        </w:tc>
        <w:tc>
          <w:tcPr>
            <w:tcW w:w="2960" w:type="dxa"/>
            <w:vAlign w:val="bottom"/>
            <w:tcBorders>
              <w:top w:val="single" w:sz="8" w:color="auto"/>
              <w:bottom w:val="single" w:sz="8" w:color="auto"/>
            </w:tcBorders>
          </w:tcPr>
          <w:p>
            <w:pPr>
              <w:ind w:left="60"/>
              <w:spacing w:after="0" w:line="213" w:lineRule="exact"/>
              <w:rPr>
                <w:sz w:val="20"/>
                <w:szCs w:val="20"/>
                <w:color w:val="auto"/>
              </w:rPr>
            </w:pPr>
            <w:r>
              <w:rPr>
                <w:rFonts w:ascii="Arial" w:cs="Arial" w:eastAsia="Arial" w:hAnsi="Arial"/>
                <w:sz w:val="20"/>
                <w:szCs w:val="20"/>
                <w:color w:val="auto"/>
              </w:rPr>
              <w:t>Hilton H. Schlosberg</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20" w:type="dxa"/>
            <w:vAlign w:val="bottom"/>
            <w:gridSpan w:val="2"/>
          </w:tcPr>
          <w:p>
            <w:pPr>
              <w:ind w:left="400"/>
              <w:spacing w:after="0" w:line="220" w:lineRule="exact"/>
              <w:rPr>
                <w:sz w:val="20"/>
                <w:szCs w:val="20"/>
                <w:color w:val="auto"/>
              </w:rPr>
            </w:pPr>
            <w:r>
              <w:rPr>
                <w:rFonts w:ascii="Arial" w:cs="Arial" w:eastAsia="Arial" w:hAnsi="Arial"/>
                <w:sz w:val="20"/>
                <w:szCs w:val="20"/>
                <w:color w:val="auto"/>
              </w:rPr>
              <w:t>Title:</w:t>
            </w:r>
          </w:p>
        </w:tc>
        <w:tc>
          <w:tcPr>
            <w:tcW w:w="2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Vice Chairman</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6"/>
        </w:trPr>
        <w:tc>
          <w:tcPr>
            <w:tcW w:w="5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22"/>
                <w:szCs w:val="22"/>
                <w:color w:val="auto"/>
              </w:rPr>
              <w:t>7</w:t>
            </w:r>
          </w:p>
        </w:tc>
        <w:tc>
          <w:tcPr>
            <w:tcW w:w="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20" w:type="dxa"/>
            <w:vAlign w:val="bottom"/>
            <w:tcBorders>
              <w:bottom w:val="single" w:sz="8" w:color="010101"/>
            </w:tcBorders>
          </w:tcPr>
          <w:p>
            <w:pPr>
              <w:spacing w:after="0"/>
              <w:rPr>
                <w:sz w:val="10"/>
                <w:szCs w:val="10"/>
                <w:color w:val="auto"/>
              </w:rPr>
            </w:pPr>
          </w:p>
        </w:tc>
        <w:tc>
          <w:tcPr>
            <w:tcW w:w="4820" w:type="dxa"/>
            <w:vAlign w:val="bottom"/>
            <w:tcBorders>
              <w:bottom w:val="single" w:sz="8" w:color="010101"/>
            </w:tcBorders>
          </w:tcPr>
          <w:p>
            <w:pPr>
              <w:spacing w:after="0"/>
              <w:rPr>
                <w:sz w:val="10"/>
                <w:szCs w:val="10"/>
                <w:color w:val="auto"/>
              </w:rPr>
            </w:pPr>
          </w:p>
        </w:tc>
        <w:tc>
          <w:tcPr>
            <w:tcW w:w="860" w:type="dxa"/>
            <w:vAlign w:val="bottom"/>
            <w:tcBorders>
              <w:bottom w:val="single" w:sz="8" w:color="010101"/>
            </w:tcBorders>
          </w:tcPr>
          <w:p>
            <w:pPr>
              <w:spacing w:after="0"/>
              <w:rPr>
                <w:sz w:val="10"/>
                <w:szCs w:val="10"/>
                <w:color w:val="auto"/>
              </w:rPr>
            </w:pPr>
          </w:p>
        </w:tc>
        <w:tc>
          <w:tcPr>
            <w:tcW w:w="160" w:type="dxa"/>
            <w:vAlign w:val="bottom"/>
            <w:tcBorders>
              <w:bottom w:val="single" w:sz="8" w:color="010101"/>
            </w:tcBorders>
          </w:tcPr>
          <w:p>
            <w:pPr>
              <w:spacing w:after="0"/>
              <w:rPr>
                <w:sz w:val="10"/>
                <w:szCs w:val="10"/>
                <w:color w:val="auto"/>
              </w:rPr>
            </w:pPr>
          </w:p>
        </w:tc>
        <w:tc>
          <w:tcPr>
            <w:tcW w:w="2960" w:type="dxa"/>
            <w:vAlign w:val="bottom"/>
            <w:tcBorders>
              <w:bottom w:val="single" w:sz="8" w:color="010101"/>
            </w:tcBorders>
          </w:tcPr>
          <w:p>
            <w:pPr>
              <w:spacing w:after="0"/>
              <w:rPr>
                <w:sz w:val="10"/>
                <w:szCs w:val="10"/>
                <w:color w:val="auto"/>
              </w:rPr>
            </w:pPr>
          </w:p>
        </w:tc>
        <w:tc>
          <w:tcPr>
            <w:tcW w:w="21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-1984375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-1984375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EXHIBIT A</w:t>
      </w:r>
    </w:p>
    <w:p>
      <w:pPr>
        <w:sectPr>
          <w:pgSz w:w="11900" w:h="16838" w:orient="portrait"/>
          <w:cols w:equalWidth="0" w:num="1">
            <w:col w:w="11460"/>
          </w:cols>
          <w:pgMar w:left="240" w:top="122" w:right="199" w:bottom="342" w:gutter="0" w:footer="0" w:header="0"/>
        </w:sectPr>
      </w:pPr>
    </w:p>
    <w:bookmarkStart w:id="73" w:name="page74"/>
    <w:bookmarkEnd w:id="73"/>
    <w:p>
      <w:pPr>
        <w:ind w:left="4140"/>
        <w:spacing w:after="0"/>
        <w:rPr>
          <w:sz w:val="20"/>
          <w:szCs w:val="20"/>
          <w:color w:val="auto"/>
        </w:rPr>
      </w:pPr>
      <w:r>
        <w:rPr>
          <w:rFonts w:ascii="Arial" w:cs="Arial" w:eastAsia="Arial" w:hAnsi="Arial"/>
          <w:sz w:val="20"/>
          <w:szCs w:val="20"/>
          <w:b w:val="1"/>
          <w:bCs w:val="1"/>
          <w:color w:val="auto"/>
        </w:rPr>
        <w:t>STOCK RELATED AGREEMENTS</w:t>
      </w: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Stock Related Agreements between Mark and the Company and/or HNC remain in effect:</w:t>
      </w:r>
      <w:r>
        <w:rPr>
          <w:rFonts w:ascii="Arial" w:cs="Arial" w:eastAsia="Arial" w:hAnsi="Arial"/>
          <w:sz w:val="25"/>
          <w:szCs w:val="25"/>
          <w:color w:val="auto"/>
          <w:vertAlign w:val="superscript"/>
        </w:rPr>
        <w:t>*</w:t>
      </w:r>
    </w:p>
    <w:p>
      <w:pPr>
        <w:spacing w:after="0" w:line="199" w:lineRule="exact"/>
        <w:rPr>
          <w:sz w:val="20"/>
          <w:szCs w:val="20"/>
          <w:color w:val="auto"/>
        </w:rPr>
      </w:pPr>
    </w:p>
    <w:p>
      <w:pPr>
        <w:ind w:left="1300" w:hanging="320"/>
        <w:spacing w:after="0"/>
        <w:tabs>
          <w:tab w:leader="none" w:pos="13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Stock Option Agreement dated December 1, 2009;</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Stock Option Agreement dated December 1, 2010;</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Stock Option Agreement dated March 14, 2014;</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Restricted Stock Agreement dated June 1, 2011;</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Restricted Stock Agreement dated September 1, 2011; and</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Restricted Stock Unit Agreement dated as of September 1, 2011.</w:t>
      </w:r>
    </w:p>
    <w:p>
      <w:pPr>
        <w:spacing w:after="0" w:line="200" w:lineRule="exact"/>
        <w:rPr>
          <w:rFonts w:ascii="Arial" w:cs="Arial" w:eastAsia="Arial" w:hAnsi="Arial"/>
          <w:sz w:val="22"/>
          <w:szCs w:val="22"/>
          <w:color w:val="auto"/>
        </w:rPr>
      </w:pPr>
    </w:p>
    <w:p>
      <w:pPr>
        <w:spacing w:after="0" w:line="26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 xml:space="preserve">     Certain rights and options under the above-mentioned Stock Related Agreements have previously been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8268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74" w:name="page75"/>
    <w:bookmarkEnd w:id="74"/>
    <w:p>
      <w:pPr>
        <w:ind w:left="10320"/>
        <w:spacing w:after="0"/>
        <w:rPr>
          <w:sz w:val="20"/>
          <w:szCs w:val="20"/>
          <w:color w:val="auto"/>
        </w:rPr>
      </w:pPr>
      <w:r>
        <w:rPr>
          <w:rFonts w:ascii="Arial" w:cs="Arial" w:eastAsia="Arial" w:hAnsi="Arial"/>
          <w:sz w:val="20"/>
          <w:szCs w:val="20"/>
          <w:b w:val="1"/>
          <w:bCs w:val="1"/>
          <w:color w:val="auto"/>
        </w:rPr>
        <w:t>EXHIBIT 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jc w:val="center"/>
              <w:ind w:left="4529"/>
              <w:spacing w:after="0"/>
              <w:rPr>
                <w:sz w:val="20"/>
                <w:szCs w:val="20"/>
                <w:color w:val="auto"/>
              </w:rPr>
            </w:pPr>
            <w:r>
              <w:rPr>
                <w:rFonts w:ascii="Arial" w:cs="Arial" w:eastAsia="Arial" w:hAnsi="Arial"/>
                <w:sz w:val="20"/>
                <w:szCs w:val="20"/>
                <w:b w:val="1"/>
                <w:bCs w:val="1"/>
                <w:color w:val="auto"/>
                <w:w w:val="98"/>
              </w:rPr>
              <w:t>SUBSIDIARIES</w:t>
            </w:r>
          </w:p>
        </w:tc>
        <w:tc>
          <w:tcPr>
            <w:tcW w:w="4640" w:type="dxa"/>
            <w:vAlign w:val="bottom"/>
          </w:tcPr>
          <w:p>
            <w:pPr>
              <w:spacing w:after="0"/>
              <w:rPr>
                <w:sz w:val="19"/>
                <w:szCs w:val="19"/>
                <w:color w:val="auto"/>
              </w:rPr>
            </w:pPr>
          </w:p>
        </w:tc>
      </w:tr>
      <w:tr>
        <w:trPr>
          <w:trHeight w:val="230"/>
        </w:trPr>
        <w:tc>
          <w:tcPr>
            <w:tcW w:w="6820" w:type="dxa"/>
            <w:vAlign w:val="bottom"/>
          </w:tcPr>
          <w:p>
            <w:pPr>
              <w:jc w:val="center"/>
              <w:ind w:left="4529"/>
              <w:spacing w:after="0"/>
              <w:rPr>
                <w:sz w:val="20"/>
                <w:szCs w:val="20"/>
                <w:color w:val="auto"/>
              </w:rPr>
            </w:pPr>
            <w:r>
              <w:rPr>
                <w:rFonts w:ascii="Arial" w:cs="Arial" w:eastAsia="Arial" w:hAnsi="Arial"/>
                <w:sz w:val="20"/>
                <w:szCs w:val="20"/>
                <w:b w:val="1"/>
                <w:bCs w:val="1"/>
                <w:color w:val="auto"/>
              </w:rPr>
              <w:t>OF</w:t>
            </w:r>
          </w:p>
        </w:tc>
        <w:tc>
          <w:tcPr>
            <w:tcW w:w="4640" w:type="dxa"/>
            <w:vAlign w:val="bottom"/>
          </w:tcPr>
          <w:p>
            <w:pPr>
              <w:spacing w:after="0"/>
              <w:rPr>
                <w:sz w:val="19"/>
                <w:szCs w:val="19"/>
                <w:color w:val="auto"/>
              </w:rPr>
            </w:pPr>
          </w:p>
        </w:tc>
      </w:tr>
      <w:tr>
        <w:trPr>
          <w:trHeight w:val="256"/>
        </w:trPr>
        <w:tc>
          <w:tcPr>
            <w:tcW w:w="1146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MONSTER BEVERAGE CORPORATION</w:t>
            </w:r>
          </w:p>
        </w:tc>
      </w:tr>
      <w:tr>
        <w:trPr>
          <w:trHeight w:val="644"/>
        </w:trPr>
        <w:tc>
          <w:tcPr>
            <w:tcW w:w="6820" w:type="dxa"/>
            <w:vAlign w:val="bottom"/>
          </w:tcPr>
          <w:p>
            <w:pPr>
              <w:ind w:left="100"/>
              <w:spacing w:after="0"/>
              <w:rPr>
                <w:sz w:val="20"/>
                <w:szCs w:val="20"/>
                <w:color w:val="auto"/>
              </w:rPr>
            </w:pPr>
            <w:r>
              <w:rPr>
                <w:rFonts w:ascii="Arial" w:cs="Arial" w:eastAsia="Arial" w:hAnsi="Arial"/>
                <w:sz w:val="18"/>
                <w:szCs w:val="18"/>
                <w:b w:val="1"/>
                <w:bCs w:val="1"/>
                <w:color w:val="auto"/>
              </w:rPr>
              <w:t>Entity Name</w:t>
            </w:r>
          </w:p>
        </w:tc>
        <w:tc>
          <w:tcPr>
            <w:tcW w:w="4640" w:type="dxa"/>
            <w:vAlign w:val="bottom"/>
          </w:tcPr>
          <w:p>
            <w:pPr>
              <w:ind w:left="400"/>
              <w:spacing w:after="0"/>
              <w:rPr>
                <w:sz w:val="20"/>
                <w:szCs w:val="20"/>
                <w:color w:val="auto"/>
              </w:rPr>
            </w:pPr>
            <w:r>
              <w:rPr>
                <w:rFonts w:ascii="Arial" w:cs="Arial" w:eastAsia="Arial" w:hAnsi="Arial"/>
                <w:sz w:val="18"/>
                <w:szCs w:val="18"/>
                <w:b w:val="1"/>
                <w:bCs w:val="1"/>
                <w:color w:val="auto"/>
              </w:rPr>
              <w:t>Jurisdiction</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Company</w:t>
            </w:r>
          </w:p>
        </w:tc>
        <w:tc>
          <w:tcPr>
            <w:tcW w:w="464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Hansen Beverage Company</w:t>
            </w:r>
          </w:p>
        </w:tc>
        <w:tc>
          <w:tcPr>
            <w:tcW w:w="464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LDA Company</w:t>
            </w:r>
          </w:p>
        </w:tc>
        <w:tc>
          <w:tcPr>
            <w:tcW w:w="464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Hansen Junior Juice Company</w:t>
            </w:r>
          </w:p>
        </w:tc>
        <w:tc>
          <w:tcPr>
            <w:tcW w:w="464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Blue Sky Natural Beverage Co.</w:t>
            </w:r>
          </w:p>
        </w:tc>
        <w:tc>
          <w:tcPr>
            <w:tcW w:w="464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Europe Limited</w:t>
            </w:r>
          </w:p>
        </w:tc>
        <w:tc>
          <w:tcPr>
            <w:tcW w:w="4640" w:type="dxa"/>
            <w:vAlign w:val="bottom"/>
          </w:tcPr>
          <w:p>
            <w:pPr>
              <w:ind w:left="400"/>
              <w:spacing w:after="0"/>
              <w:rPr>
                <w:sz w:val="20"/>
                <w:szCs w:val="20"/>
                <w:color w:val="auto"/>
              </w:rPr>
            </w:pPr>
            <w:r>
              <w:rPr>
                <w:rFonts w:ascii="Arial" w:cs="Arial" w:eastAsia="Arial" w:hAnsi="Arial"/>
                <w:sz w:val="18"/>
                <w:szCs w:val="18"/>
                <w:color w:val="auto"/>
              </w:rPr>
              <w:t>United Kingdom</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Limited</w:t>
            </w:r>
          </w:p>
        </w:tc>
        <w:tc>
          <w:tcPr>
            <w:tcW w:w="4640" w:type="dxa"/>
            <w:vAlign w:val="bottom"/>
          </w:tcPr>
          <w:p>
            <w:pPr>
              <w:ind w:left="400"/>
              <w:spacing w:after="0"/>
              <w:rPr>
                <w:sz w:val="20"/>
                <w:szCs w:val="20"/>
                <w:color w:val="auto"/>
              </w:rPr>
            </w:pPr>
            <w:r>
              <w:rPr>
                <w:rFonts w:ascii="Arial" w:cs="Arial" w:eastAsia="Arial" w:hAnsi="Arial"/>
                <w:sz w:val="18"/>
                <w:szCs w:val="18"/>
                <w:color w:val="auto"/>
              </w:rPr>
              <w:t>Ireland</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Au Pty Limited</w:t>
            </w:r>
          </w:p>
        </w:tc>
        <w:tc>
          <w:tcPr>
            <w:tcW w:w="4640" w:type="dxa"/>
            <w:vAlign w:val="bottom"/>
          </w:tcPr>
          <w:p>
            <w:pPr>
              <w:ind w:left="400"/>
              <w:spacing w:after="0"/>
              <w:rPr>
                <w:sz w:val="20"/>
                <w:szCs w:val="20"/>
                <w:color w:val="auto"/>
              </w:rPr>
            </w:pPr>
            <w:r>
              <w:rPr>
                <w:rFonts w:ascii="Arial" w:cs="Arial" w:eastAsia="Arial" w:hAnsi="Arial"/>
                <w:sz w:val="18"/>
                <w:szCs w:val="18"/>
                <w:color w:val="auto"/>
              </w:rPr>
              <w:t>Australia</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Fastest, LLC</w:t>
            </w:r>
          </w:p>
        </w:tc>
        <w:tc>
          <w:tcPr>
            <w:tcW w:w="464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HBC Corona Summit, LLC</w:t>
            </w:r>
          </w:p>
        </w:tc>
        <w:tc>
          <w:tcPr>
            <w:tcW w:w="4640" w:type="dxa"/>
            <w:vAlign w:val="bottom"/>
          </w:tcPr>
          <w:p>
            <w:pPr>
              <w:ind w:left="400"/>
              <w:spacing w:after="0"/>
              <w:rPr>
                <w:sz w:val="20"/>
                <w:szCs w:val="20"/>
                <w:color w:val="auto"/>
              </w:rPr>
            </w:pPr>
            <w:r>
              <w:rPr>
                <w:rFonts w:ascii="Arial" w:cs="Arial" w:eastAsia="Arial" w:hAnsi="Arial"/>
                <w:sz w:val="18"/>
                <w:szCs w:val="18"/>
                <w:color w:val="auto"/>
              </w:rPr>
              <w:t>California</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Hansen PRE, LLC</w:t>
            </w:r>
          </w:p>
        </w:tc>
        <w:tc>
          <w:tcPr>
            <w:tcW w:w="464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Canada Ltd.</w:t>
            </w:r>
          </w:p>
        </w:tc>
        <w:tc>
          <w:tcPr>
            <w:tcW w:w="4640" w:type="dxa"/>
            <w:vAlign w:val="bottom"/>
          </w:tcPr>
          <w:p>
            <w:pPr>
              <w:ind w:left="400"/>
              <w:spacing w:after="0"/>
              <w:rPr>
                <w:sz w:val="20"/>
                <w:szCs w:val="20"/>
                <w:color w:val="auto"/>
              </w:rPr>
            </w:pPr>
            <w:r>
              <w:rPr>
                <w:rFonts w:ascii="Arial" w:cs="Arial" w:eastAsia="Arial" w:hAnsi="Arial"/>
                <w:sz w:val="18"/>
                <w:szCs w:val="18"/>
                <w:color w:val="auto"/>
              </w:rPr>
              <w:t>Canada</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Racing, Inc.</w:t>
            </w:r>
          </w:p>
        </w:tc>
        <w:tc>
          <w:tcPr>
            <w:tcW w:w="464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Brasil Comércio de Bebidas Ltda</w:t>
            </w:r>
          </w:p>
        </w:tc>
        <w:tc>
          <w:tcPr>
            <w:tcW w:w="4640" w:type="dxa"/>
            <w:vAlign w:val="bottom"/>
          </w:tcPr>
          <w:p>
            <w:pPr>
              <w:ind w:left="400"/>
              <w:spacing w:after="0"/>
              <w:rPr>
                <w:sz w:val="20"/>
                <w:szCs w:val="20"/>
                <w:color w:val="auto"/>
              </w:rPr>
            </w:pPr>
            <w:r>
              <w:rPr>
                <w:rFonts w:ascii="Arial" w:cs="Arial" w:eastAsia="Arial" w:hAnsi="Arial"/>
                <w:sz w:val="18"/>
                <w:szCs w:val="18"/>
                <w:color w:val="auto"/>
              </w:rPr>
              <w:t>Brazil</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Mexico, S. de R.L. de C.V</w:t>
            </w:r>
          </w:p>
        </w:tc>
        <w:tc>
          <w:tcPr>
            <w:tcW w:w="4640" w:type="dxa"/>
            <w:vAlign w:val="bottom"/>
          </w:tcPr>
          <w:p>
            <w:pPr>
              <w:ind w:left="400"/>
              <w:spacing w:after="0"/>
              <w:rPr>
                <w:sz w:val="20"/>
                <w:szCs w:val="20"/>
                <w:color w:val="auto"/>
              </w:rPr>
            </w:pPr>
            <w:r>
              <w:rPr>
                <w:rFonts w:ascii="Arial" w:cs="Arial" w:eastAsia="Arial" w:hAnsi="Arial"/>
                <w:sz w:val="18"/>
                <w:szCs w:val="18"/>
                <w:color w:val="auto"/>
              </w:rPr>
              <w:t>Mexico</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ME Management Services, S. de R.L. de C. V.</w:t>
            </w:r>
          </w:p>
        </w:tc>
        <w:tc>
          <w:tcPr>
            <w:tcW w:w="4640" w:type="dxa"/>
            <w:vAlign w:val="bottom"/>
          </w:tcPr>
          <w:p>
            <w:pPr>
              <w:ind w:left="400"/>
              <w:spacing w:after="0"/>
              <w:rPr>
                <w:sz w:val="20"/>
                <w:szCs w:val="20"/>
                <w:color w:val="auto"/>
              </w:rPr>
            </w:pPr>
            <w:r>
              <w:rPr>
                <w:rFonts w:ascii="Arial" w:cs="Arial" w:eastAsia="Arial" w:hAnsi="Arial"/>
                <w:sz w:val="18"/>
                <w:szCs w:val="18"/>
                <w:color w:val="auto"/>
              </w:rPr>
              <w:t>Mexico</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France SAS</w:t>
            </w:r>
          </w:p>
        </w:tc>
        <w:tc>
          <w:tcPr>
            <w:tcW w:w="4640" w:type="dxa"/>
            <w:vAlign w:val="bottom"/>
          </w:tcPr>
          <w:p>
            <w:pPr>
              <w:ind w:left="400"/>
              <w:spacing w:after="0"/>
              <w:rPr>
                <w:sz w:val="20"/>
                <w:szCs w:val="20"/>
                <w:color w:val="auto"/>
              </w:rPr>
            </w:pPr>
            <w:r>
              <w:rPr>
                <w:rFonts w:ascii="Arial" w:cs="Arial" w:eastAsia="Arial" w:hAnsi="Arial"/>
                <w:sz w:val="18"/>
                <w:szCs w:val="18"/>
                <w:color w:val="auto"/>
              </w:rPr>
              <w:t>France</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Austria GmbH</w:t>
            </w:r>
          </w:p>
        </w:tc>
        <w:tc>
          <w:tcPr>
            <w:tcW w:w="4640" w:type="dxa"/>
            <w:vAlign w:val="bottom"/>
          </w:tcPr>
          <w:p>
            <w:pPr>
              <w:ind w:left="400"/>
              <w:spacing w:after="0"/>
              <w:rPr>
                <w:sz w:val="20"/>
                <w:szCs w:val="20"/>
                <w:color w:val="auto"/>
              </w:rPr>
            </w:pPr>
            <w:r>
              <w:rPr>
                <w:rFonts w:ascii="Arial" w:cs="Arial" w:eastAsia="Arial" w:hAnsi="Arial"/>
                <w:sz w:val="18"/>
                <w:szCs w:val="18"/>
                <w:color w:val="auto"/>
              </w:rPr>
              <w:t>Austria</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Colombia SAS</w:t>
            </w:r>
          </w:p>
        </w:tc>
        <w:tc>
          <w:tcPr>
            <w:tcW w:w="4640" w:type="dxa"/>
            <w:vAlign w:val="bottom"/>
          </w:tcPr>
          <w:p>
            <w:pPr>
              <w:ind w:left="400"/>
              <w:spacing w:after="0"/>
              <w:rPr>
                <w:sz w:val="20"/>
                <w:szCs w:val="20"/>
                <w:color w:val="auto"/>
              </w:rPr>
            </w:pPr>
            <w:r>
              <w:rPr>
                <w:rFonts w:ascii="Arial" w:cs="Arial" w:eastAsia="Arial" w:hAnsi="Arial"/>
                <w:sz w:val="18"/>
                <w:szCs w:val="18"/>
                <w:color w:val="auto"/>
              </w:rPr>
              <w:t>Colombia</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Hong Kong Limited</w:t>
            </w:r>
          </w:p>
        </w:tc>
        <w:tc>
          <w:tcPr>
            <w:tcW w:w="4640" w:type="dxa"/>
            <w:vAlign w:val="bottom"/>
          </w:tcPr>
          <w:p>
            <w:pPr>
              <w:ind w:left="400"/>
              <w:spacing w:after="0"/>
              <w:rPr>
                <w:sz w:val="20"/>
                <w:szCs w:val="20"/>
                <w:color w:val="auto"/>
              </w:rPr>
            </w:pPr>
            <w:r>
              <w:rPr>
                <w:rFonts w:ascii="Arial" w:cs="Arial" w:eastAsia="Arial" w:hAnsi="Arial"/>
                <w:sz w:val="18"/>
                <w:szCs w:val="18"/>
                <w:color w:val="auto"/>
              </w:rPr>
              <w:t>Hong Kong</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Beverage Company of South Africa (Proprietary) Limited</w:t>
            </w:r>
          </w:p>
        </w:tc>
        <w:tc>
          <w:tcPr>
            <w:tcW w:w="4640" w:type="dxa"/>
            <w:vAlign w:val="bottom"/>
          </w:tcPr>
          <w:p>
            <w:pPr>
              <w:ind w:left="400"/>
              <w:spacing w:after="0"/>
              <w:rPr>
                <w:sz w:val="20"/>
                <w:szCs w:val="20"/>
                <w:color w:val="auto"/>
              </w:rPr>
            </w:pPr>
            <w:r>
              <w:rPr>
                <w:rFonts w:ascii="Arial" w:cs="Arial" w:eastAsia="Arial" w:hAnsi="Arial"/>
                <w:sz w:val="18"/>
                <w:szCs w:val="18"/>
                <w:color w:val="auto"/>
              </w:rPr>
              <w:t>South Africa</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Ukraine LLC</w:t>
            </w:r>
          </w:p>
        </w:tc>
        <w:tc>
          <w:tcPr>
            <w:tcW w:w="4640" w:type="dxa"/>
            <w:vAlign w:val="bottom"/>
          </w:tcPr>
          <w:p>
            <w:pPr>
              <w:ind w:left="400"/>
              <w:spacing w:after="0"/>
              <w:rPr>
                <w:sz w:val="20"/>
                <w:szCs w:val="20"/>
                <w:color w:val="auto"/>
              </w:rPr>
            </w:pPr>
            <w:r>
              <w:rPr>
                <w:rFonts w:ascii="Arial" w:cs="Arial" w:eastAsia="Arial" w:hAnsi="Arial"/>
                <w:sz w:val="18"/>
                <w:szCs w:val="18"/>
                <w:color w:val="auto"/>
              </w:rPr>
              <w:t>Ukraine</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Beverage Company Peru, S.R.L</w:t>
            </w:r>
          </w:p>
        </w:tc>
        <w:tc>
          <w:tcPr>
            <w:tcW w:w="4640" w:type="dxa"/>
            <w:vAlign w:val="bottom"/>
          </w:tcPr>
          <w:p>
            <w:pPr>
              <w:ind w:left="400"/>
              <w:spacing w:after="0"/>
              <w:rPr>
                <w:sz w:val="20"/>
                <w:szCs w:val="20"/>
                <w:color w:val="auto"/>
              </w:rPr>
            </w:pPr>
            <w:r>
              <w:rPr>
                <w:rFonts w:ascii="Arial" w:cs="Arial" w:eastAsia="Arial" w:hAnsi="Arial"/>
                <w:sz w:val="18"/>
                <w:szCs w:val="18"/>
                <w:color w:val="auto"/>
              </w:rPr>
              <w:t>Peru</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Bebidas Ecuador Cia. Ltda</w:t>
            </w:r>
          </w:p>
        </w:tc>
        <w:tc>
          <w:tcPr>
            <w:tcW w:w="4640" w:type="dxa"/>
            <w:vAlign w:val="bottom"/>
          </w:tcPr>
          <w:p>
            <w:pPr>
              <w:ind w:left="400"/>
              <w:spacing w:after="0"/>
              <w:rPr>
                <w:sz w:val="20"/>
                <w:szCs w:val="20"/>
                <w:color w:val="auto"/>
              </w:rPr>
            </w:pPr>
            <w:r>
              <w:rPr>
                <w:rFonts w:ascii="Arial" w:cs="Arial" w:eastAsia="Arial" w:hAnsi="Arial"/>
                <w:sz w:val="18"/>
                <w:szCs w:val="18"/>
                <w:color w:val="auto"/>
              </w:rPr>
              <w:t>Ecuador</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Argentina S.A.</w:t>
            </w:r>
          </w:p>
        </w:tc>
        <w:tc>
          <w:tcPr>
            <w:tcW w:w="4640" w:type="dxa"/>
            <w:vAlign w:val="bottom"/>
          </w:tcPr>
          <w:p>
            <w:pPr>
              <w:ind w:left="400"/>
              <w:spacing w:after="0"/>
              <w:rPr>
                <w:sz w:val="20"/>
                <w:szCs w:val="20"/>
                <w:color w:val="auto"/>
              </w:rPr>
            </w:pPr>
            <w:r>
              <w:rPr>
                <w:rFonts w:ascii="Arial" w:cs="Arial" w:eastAsia="Arial" w:hAnsi="Arial"/>
                <w:sz w:val="18"/>
                <w:szCs w:val="18"/>
                <w:color w:val="auto"/>
              </w:rPr>
              <w:t>Argentina</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Peace Tea Beverage Company</w:t>
            </w:r>
          </w:p>
        </w:tc>
        <w:tc>
          <w:tcPr>
            <w:tcW w:w="464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Worx Energy Works</w:t>
            </w:r>
          </w:p>
        </w:tc>
        <w:tc>
          <w:tcPr>
            <w:tcW w:w="4640" w:type="dxa"/>
            <w:vAlign w:val="bottom"/>
          </w:tcPr>
          <w:p>
            <w:pPr>
              <w:ind w:left="400"/>
              <w:spacing w:after="0"/>
              <w:rPr>
                <w:sz w:val="20"/>
                <w:szCs w:val="20"/>
                <w:color w:val="auto"/>
              </w:rPr>
            </w:pPr>
            <w:r>
              <w:rPr>
                <w:rFonts w:ascii="Arial" w:cs="Arial" w:eastAsia="Arial" w:hAnsi="Arial"/>
                <w:sz w:val="18"/>
                <w:szCs w:val="18"/>
                <w:color w:val="auto"/>
              </w:rPr>
              <w:t>California</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Vidration Beverage Company</w:t>
            </w:r>
          </w:p>
        </w:tc>
        <w:tc>
          <w:tcPr>
            <w:tcW w:w="464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Beverage Company</w:t>
            </w:r>
          </w:p>
        </w:tc>
        <w:tc>
          <w:tcPr>
            <w:tcW w:w="4640" w:type="dxa"/>
            <w:vAlign w:val="bottom"/>
          </w:tcPr>
          <w:p>
            <w:pPr>
              <w:ind w:left="400"/>
              <w:spacing w:after="0"/>
              <w:rPr>
                <w:sz w:val="20"/>
                <w:szCs w:val="20"/>
                <w:color w:val="auto"/>
              </w:rPr>
            </w:pPr>
            <w:r>
              <w:rPr>
                <w:rFonts w:ascii="Arial" w:cs="Arial" w:eastAsia="Arial" w:hAnsi="Arial"/>
                <w:sz w:val="18"/>
                <w:szCs w:val="18"/>
                <w:color w:val="auto"/>
              </w:rPr>
              <w:t>Connecticut</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Hansen Natural Corporation</w:t>
            </w:r>
          </w:p>
        </w:tc>
        <w:tc>
          <w:tcPr>
            <w:tcW w:w="464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Singapore Pte. Ltd.</w:t>
            </w:r>
          </w:p>
        </w:tc>
        <w:tc>
          <w:tcPr>
            <w:tcW w:w="4640" w:type="dxa"/>
            <w:vAlign w:val="bottom"/>
          </w:tcPr>
          <w:p>
            <w:pPr>
              <w:ind w:left="400"/>
              <w:spacing w:after="0"/>
              <w:rPr>
                <w:sz w:val="20"/>
                <w:szCs w:val="20"/>
                <w:color w:val="auto"/>
              </w:rPr>
            </w:pPr>
            <w:r>
              <w:rPr>
                <w:rFonts w:ascii="Arial" w:cs="Arial" w:eastAsia="Arial" w:hAnsi="Arial"/>
                <w:sz w:val="18"/>
                <w:szCs w:val="18"/>
                <w:color w:val="auto"/>
              </w:rPr>
              <w:t>Singapore</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Korea, Ltd.</w:t>
            </w:r>
          </w:p>
        </w:tc>
        <w:tc>
          <w:tcPr>
            <w:tcW w:w="4640" w:type="dxa"/>
            <w:vAlign w:val="bottom"/>
          </w:tcPr>
          <w:p>
            <w:pPr>
              <w:ind w:left="400"/>
              <w:spacing w:after="0"/>
              <w:rPr>
                <w:sz w:val="20"/>
                <w:szCs w:val="20"/>
                <w:color w:val="auto"/>
              </w:rPr>
            </w:pPr>
            <w:r>
              <w:rPr>
                <w:rFonts w:ascii="Arial" w:cs="Arial" w:eastAsia="Arial" w:hAnsi="Arial"/>
                <w:sz w:val="18"/>
                <w:szCs w:val="18"/>
                <w:color w:val="auto"/>
              </w:rPr>
              <w:t>Korea, South</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Japan Godo Kaisha</w:t>
            </w:r>
          </w:p>
        </w:tc>
        <w:tc>
          <w:tcPr>
            <w:tcW w:w="4640" w:type="dxa"/>
            <w:vAlign w:val="bottom"/>
          </w:tcPr>
          <w:p>
            <w:pPr>
              <w:ind w:left="400"/>
              <w:spacing w:after="0"/>
              <w:rPr>
                <w:sz w:val="20"/>
                <w:szCs w:val="20"/>
                <w:color w:val="auto"/>
              </w:rPr>
            </w:pPr>
            <w:r>
              <w:rPr>
                <w:rFonts w:ascii="Arial" w:cs="Arial" w:eastAsia="Arial" w:hAnsi="Arial"/>
                <w:sz w:val="18"/>
                <w:szCs w:val="18"/>
                <w:color w:val="auto"/>
              </w:rPr>
              <w:t>Japan</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Company –Chile-Limitada</w:t>
            </w:r>
          </w:p>
        </w:tc>
        <w:tc>
          <w:tcPr>
            <w:tcW w:w="4640" w:type="dxa"/>
            <w:vAlign w:val="bottom"/>
          </w:tcPr>
          <w:p>
            <w:pPr>
              <w:ind w:left="400"/>
              <w:spacing w:after="0"/>
              <w:rPr>
                <w:sz w:val="20"/>
                <w:szCs w:val="20"/>
                <w:color w:val="auto"/>
              </w:rPr>
            </w:pPr>
            <w:r>
              <w:rPr>
                <w:rFonts w:ascii="Arial" w:cs="Arial" w:eastAsia="Arial" w:hAnsi="Arial"/>
                <w:sz w:val="18"/>
                <w:szCs w:val="18"/>
                <w:color w:val="auto"/>
              </w:rPr>
              <w:t>Chile</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Switzerland Holding GmbH</w:t>
            </w:r>
          </w:p>
        </w:tc>
        <w:tc>
          <w:tcPr>
            <w:tcW w:w="4640" w:type="dxa"/>
            <w:vAlign w:val="bottom"/>
          </w:tcPr>
          <w:p>
            <w:pPr>
              <w:ind w:left="400"/>
              <w:spacing w:after="0"/>
              <w:rPr>
                <w:sz w:val="20"/>
                <w:szCs w:val="20"/>
                <w:color w:val="auto"/>
              </w:rPr>
            </w:pPr>
            <w:r>
              <w:rPr>
                <w:rFonts w:ascii="Arial" w:cs="Arial" w:eastAsia="Arial" w:hAnsi="Arial"/>
                <w:sz w:val="18"/>
                <w:szCs w:val="18"/>
                <w:color w:val="auto"/>
              </w:rPr>
              <w:t>Switzerland</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Rus LLC</w:t>
            </w:r>
          </w:p>
        </w:tc>
        <w:tc>
          <w:tcPr>
            <w:tcW w:w="4640" w:type="dxa"/>
            <w:vAlign w:val="bottom"/>
          </w:tcPr>
          <w:p>
            <w:pPr>
              <w:ind w:left="400"/>
              <w:spacing w:after="0"/>
              <w:rPr>
                <w:sz w:val="20"/>
                <w:szCs w:val="20"/>
                <w:color w:val="auto"/>
              </w:rPr>
            </w:pPr>
            <w:r>
              <w:rPr>
                <w:rFonts w:ascii="Arial" w:cs="Arial" w:eastAsia="Arial" w:hAnsi="Arial"/>
                <w:sz w:val="18"/>
                <w:szCs w:val="18"/>
                <w:color w:val="auto"/>
              </w:rPr>
              <w:t>Russia</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Vietnam Company Ltd.</w:t>
            </w:r>
          </w:p>
        </w:tc>
        <w:tc>
          <w:tcPr>
            <w:tcW w:w="4640" w:type="dxa"/>
            <w:vAlign w:val="bottom"/>
          </w:tcPr>
          <w:p>
            <w:pPr>
              <w:ind w:left="400"/>
              <w:spacing w:after="0"/>
              <w:rPr>
                <w:sz w:val="20"/>
                <w:szCs w:val="20"/>
                <w:color w:val="auto"/>
              </w:rPr>
            </w:pPr>
            <w:r>
              <w:rPr>
                <w:rFonts w:ascii="Arial" w:cs="Arial" w:eastAsia="Arial" w:hAnsi="Arial"/>
                <w:sz w:val="18"/>
                <w:szCs w:val="18"/>
                <w:color w:val="auto"/>
              </w:rPr>
              <w:t>Vietnam</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India Private Limited</w:t>
            </w:r>
          </w:p>
        </w:tc>
        <w:tc>
          <w:tcPr>
            <w:tcW w:w="4640" w:type="dxa"/>
            <w:vAlign w:val="bottom"/>
          </w:tcPr>
          <w:p>
            <w:pPr>
              <w:ind w:left="400"/>
              <w:spacing w:after="0"/>
              <w:rPr>
                <w:sz w:val="20"/>
                <w:szCs w:val="20"/>
                <w:color w:val="auto"/>
              </w:rPr>
            </w:pPr>
            <w:r>
              <w:rPr>
                <w:rFonts w:ascii="Arial" w:cs="Arial" w:eastAsia="Arial" w:hAnsi="Arial"/>
                <w:sz w:val="18"/>
                <w:szCs w:val="18"/>
                <w:color w:val="auto"/>
              </w:rPr>
              <w:t>India</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PRC Holdings (HK) Limited</w:t>
            </w:r>
          </w:p>
        </w:tc>
        <w:tc>
          <w:tcPr>
            <w:tcW w:w="4640" w:type="dxa"/>
            <w:vAlign w:val="bottom"/>
          </w:tcPr>
          <w:p>
            <w:pPr>
              <w:ind w:left="400"/>
              <w:spacing w:after="0"/>
              <w:rPr>
                <w:sz w:val="20"/>
                <w:szCs w:val="20"/>
                <w:color w:val="auto"/>
              </w:rPr>
            </w:pPr>
            <w:r>
              <w:rPr>
                <w:rFonts w:ascii="Arial" w:cs="Arial" w:eastAsia="Arial" w:hAnsi="Arial"/>
                <w:sz w:val="18"/>
                <w:szCs w:val="18"/>
                <w:color w:val="auto"/>
              </w:rPr>
              <w:t>Hong Kong</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Company (Taiwan)</w:t>
            </w:r>
          </w:p>
        </w:tc>
        <w:tc>
          <w:tcPr>
            <w:tcW w:w="4640" w:type="dxa"/>
            <w:vAlign w:val="bottom"/>
          </w:tcPr>
          <w:p>
            <w:pPr>
              <w:ind w:left="400"/>
              <w:spacing w:after="0"/>
              <w:rPr>
                <w:sz w:val="20"/>
                <w:szCs w:val="20"/>
                <w:color w:val="auto"/>
              </w:rPr>
            </w:pPr>
            <w:r>
              <w:rPr>
                <w:rFonts w:ascii="Arial" w:cs="Arial" w:eastAsia="Arial" w:hAnsi="Arial"/>
                <w:sz w:val="18"/>
                <w:szCs w:val="18"/>
                <w:color w:val="auto"/>
              </w:rPr>
              <w:t>Taiwan</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İçecek Ticaret Limited Şirketi</w:t>
            </w:r>
          </w:p>
        </w:tc>
        <w:tc>
          <w:tcPr>
            <w:tcW w:w="4640" w:type="dxa"/>
            <w:vAlign w:val="bottom"/>
          </w:tcPr>
          <w:p>
            <w:pPr>
              <w:ind w:left="400"/>
              <w:spacing w:after="0"/>
              <w:rPr>
                <w:sz w:val="20"/>
                <w:szCs w:val="20"/>
                <w:color w:val="auto"/>
              </w:rPr>
            </w:pPr>
            <w:r>
              <w:rPr>
                <w:rFonts w:ascii="Arial" w:cs="Arial" w:eastAsia="Arial" w:hAnsi="Arial"/>
                <w:sz w:val="18"/>
                <w:szCs w:val="18"/>
                <w:color w:val="auto"/>
              </w:rPr>
              <w:t>Turkey</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Nigeria Limited</w:t>
            </w:r>
          </w:p>
        </w:tc>
        <w:tc>
          <w:tcPr>
            <w:tcW w:w="4640" w:type="dxa"/>
            <w:vAlign w:val="bottom"/>
          </w:tcPr>
          <w:p>
            <w:pPr>
              <w:ind w:left="400"/>
              <w:spacing w:after="0"/>
              <w:rPr>
                <w:sz w:val="20"/>
                <w:szCs w:val="20"/>
                <w:color w:val="auto"/>
              </w:rPr>
            </w:pPr>
            <w:r>
              <w:rPr>
                <w:rFonts w:ascii="Arial" w:cs="Arial" w:eastAsia="Arial" w:hAnsi="Arial"/>
                <w:sz w:val="18"/>
                <w:szCs w:val="18"/>
                <w:color w:val="auto"/>
              </w:rPr>
              <w:t>Nigeria</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Monster Energy SER doo Beograd-Vracar</w:t>
            </w:r>
          </w:p>
        </w:tc>
        <w:tc>
          <w:tcPr>
            <w:tcW w:w="4640" w:type="dxa"/>
            <w:vAlign w:val="bottom"/>
          </w:tcPr>
          <w:p>
            <w:pPr>
              <w:ind w:left="400"/>
              <w:spacing w:after="0"/>
              <w:rPr>
                <w:sz w:val="20"/>
                <w:szCs w:val="20"/>
                <w:color w:val="auto"/>
              </w:rPr>
            </w:pPr>
            <w:r>
              <w:rPr>
                <w:rFonts w:ascii="Arial" w:cs="Arial" w:eastAsia="Arial" w:hAnsi="Arial"/>
                <w:sz w:val="18"/>
                <w:szCs w:val="18"/>
                <w:color w:val="auto"/>
              </w:rPr>
              <w:t>Serbia</w:t>
            </w:r>
          </w:p>
        </w:tc>
      </w:tr>
      <w:tr>
        <w:trPr>
          <w:trHeight w:val="243"/>
        </w:trPr>
        <w:tc>
          <w:tcPr>
            <w:tcW w:w="6820" w:type="dxa"/>
            <w:vAlign w:val="bottom"/>
          </w:tcPr>
          <w:p>
            <w:pPr>
              <w:ind w:left="100"/>
              <w:spacing w:after="0"/>
              <w:rPr>
                <w:sz w:val="20"/>
                <w:szCs w:val="20"/>
                <w:color w:val="auto"/>
              </w:rPr>
            </w:pPr>
            <w:r>
              <w:rPr>
                <w:rFonts w:ascii="Arial" w:cs="Arial" w:eastAsia="Arial" w:hAnsi="Arial"/>
                <w:sz w:val="18"/>
                <w:szCs w:val="18"/>
                <w:color w:val="auto"/>
              </w:rPr>
              <w:t>Limited Liability Company M Energy Rus</w:t>
            </w:r>
          </w:p>
        </w:tc>
        <w:tc>
          <w:tcPr>
            <w:tcW w:w="4640" w:type="dxa"/>
            <w:vAlign w:val="bottom"/>
          </w:tcPr>
          <w:p>
            <w:pPr>
              <w:ind w:left="400"/>
              <w:spacing w:after="0"/>
              <w:rPr>
                <w:sz w:val="20"/>
                <w:szCs w:val="20"/>
                <w:color w:val="auto"/>
              </w:rPr>
            </w:pPr>
            <w:r>
              <w:rPr>
                <w:rFonts w:ascii="Arial" w:cs="Arial" w:eastAsia="Arial" w:hAnsi="Arial"/>
                <w:sz w:val="18"/>
                <w:szCs w:val="18"/>
                <w:color w:val="auto"/>
              </w:rPr>
              <w:t>Russia</w:t>
            </w:r>
          </w:p>
        </w:tc>
      </w:tr>
      <w:tr>
        <w:trPr>
          <w:trHeight w:val="375"/>
        </w:trPr>
        <w:tc>
          <w:tcPr>
            <w:tcW w:w="6820" w:type="dxa"/>
            <w:vAlign w:val="bottom"/>
            <w:tcBorders>
              <w:bottom w:val="single" w:sz="8" w:color="010101"/>
            </w:tcBorders>
          </w:tcPr>
          <w:p>
            <w:pPr>
              <w:spacing w:after="0"/>
              <w:rPr>
                <w:sz w:val="24"/>
                <w:szCs w:val="24"/>
                <w:color w:val="auto"/>
              </w:rPr>
            </w:pPr>
          </w:p>
        </w:tc>
        <w:tc>
          <w:tcPr>
            <w:tcW w:w="46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6" w:right="199"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29"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We consent to the incorporation by reference in Registration Statement No. 333-41333, No. 333-89123, No. 333-112482, No. 333-131467, No. 033-92526, No. 333-170713 and No. 333-174614 on Form S-8 of our reports dated March 3, 2014, relating to the consolidated financial statements and financial statement schedule of Monster Beverage Corporation and subsidiaries (the “Company”) and the effectiveness of the Company’s internal control over financial reporting, appearing in this Annual Report on Form 10-K of Monster Beverage Corporation and subsidiaries for the year ended December 31, 2013.</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Costa Mesa</w:t>
      </w:r>
      <w:r>
        <w:rPr>
          <w:rFonts w:ascii="Arial" w:cs="Arial" w:eastAsia="Arial" w:hAnsi="Arial"/>
          <w:sz w:val="20"/>
          <w:szCs w:val="20"/>
          <w:i w:val="1"/>
          <w:iCs w:val="1"/>
          <w:color w:val="auto"/>
        </w:rPr>
        <w:t>,</w:t>
      </w:r>
      <w:r>
        <w:rPr>
          <w:rFonts w:ascii="Arial" w:cs="Arial" w:eastAsia="Arial" w:hAnsi="Arial"/>
          <w:sz w:val="20"/>
          <w:szCs w:val="20"/>
          <w:color w:val="auto"/>
        </w:rPr>
        <w:t xml:space="preserve">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6" w:name="page77"/>
    <w:bookmarkEnd w:id="76"/>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00" w:hanging="292"/>
        <w:spacing w:after="0"/>
        <w:tabs>
          <w:tab w:leader="none" w:pos="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353" w:val="left"/>
        </w:tabs>
        <w:numPr>
          <w:ilvl w:val="0"/>
          <w:numId w:val="6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3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3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07"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691"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1739" w:val="left"/>
        </w:tabs>
        <w:numPr>
          <w:ilvl w:val="1"/>
          <w:numId w:val="6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7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392"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624" w:val="left"/>
        </w:tabs>
        <w:numPr>
          <w:ilvl w:val="1"/>
          <w:numId w:val="6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689" w:val="left"/>
        </w:tabs>
        <w:numPr>
          <w:ilvl w:val="1"/>
          <w:numId w:val="6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Date:</w:t>
            </w:r>
          </w:p>
        </w:tc>
        <w:tc>
          <w:tcPr>
            <w:tcW w:w="5020" w:type="dxa"/>
            <w:vAlign w:val="bottom"/>
          </w:tcPr>
          <w:p>
            <w:pPr>
              <w:ind w:left="340"/>
              <w:spacing w:after="0"/>
              <w:rPr>
                <w:sz w:val="20"/>
                <w:szCs w:val="20"/>
                <w:color w:val="auto"/>
              </w:rPr>
            </w:pPr>
            <w:r>
              <w:rPr>
                <w:rFonts w:ascii="Arial" w:cs="Arial" w:eastAsia="Arial" w:hAnsi="Arial"/>
                <w:sz w:val="20"/>
                <w:szCs w:val="20"/>
                <w:color w:val="auto"/>
              </w:rPr>
              <w:t>March 3, 2014</w:t>
            </w:r>
          </w:p>
        </w:tc>
        <w:tc>
          <w:tcPr>
            <w:tcW w:w="56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7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564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7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4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76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564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76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77" w:name="page78"/>
    <w:bookmarkEnd w:id="77"/>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00" w:hanging="292"/>
        <w:spacing w:after="0"/>
        <w:tabs>
          <w:tab w:leader="none" w:pos="3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353" w:val="left"/>
        </w:tabs>
        <w:numPr>
          <w:ilvl w:val="0"/>
          <w:numId w:val="6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3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3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07"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691"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1739" w:val="left"/>
        </w:tabs>
        <w:numPr>
          <w:ilvl w:val="1"/>
          <w:numId w:val="6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7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392"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624" w:val="left"/>
        </w:tabs>
        <w:numPr>
          <w:ilvl w:val="1"/>
          <w:numId w:val="6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689"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00" w:type="dxa"/>
            <w:vAlign w:val="bottom"/>
          </w:tcPr>
          <w:p>
            <w:pPr>
              <w:spacing w:after="0"/>
              <w:rPr>
                <w:sz w:val="20"/>
                <w:szCs w:val="20"/>
                <w:color w:val="auto"/>
              </w:rPr>
            </w:pPr>
            <w:r>
              <w:rPr>
                <w:rFonts w:ascii="Arial" w:cs="Arial" w:eastAsia="Arial" w:hAnsi="Arial"/>
                <w:sz w:val="20"/>
                <w:szCs w:val="20"/>
                <w:color w:val="auto"/>
              </w:rPr>
              <w:t>Date:</w:t>
            </w:r>
          </w:p>
        </w:tc>
        <w:tc>
          <w:tcPr>
            <w:tcW w:w="5220" w:type="dxa"/>
            <w:vAlign w:val="bottom"/>
          </w:tcPr>
          <w:p>
            <w:pPr>
              <w:ind w:left="360"/>
              <w:spacing w:after="0"/>
              <w:rPr>
                <w:sz w:val="20"/>
                <w:szCs w:val="20"/>
                <w:color w:val="auto"/>
              </w:rPr>
            </w:pPr>
            <w:r>
              <w:rPr>
                <w:rFonts w:ascii="Arial" w:cs="Arial" w:eastAsia="Arial" w:hAnsi="Arial"/>
                <w:sz w:val="20"/>
                <w:szCs w:val="20"/>
                <w:color w:val="auto"/>
              </w:rPr>
              <w:t>March 3, 2014</w:t>
            </w:r>
          </w:p>
        </w:tc>
        <w:tc>
          <w:tcPr>
            <w:tcW w:w="54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540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0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5400" w:type="dxa"/>
            <w:vAlign w:val="bottom"/>
          </w:tcPr>
          <w:p>
            <w:pPr>
              <w:ind w:left="10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800" w:type="dxa"/>
            <w:vAlign w:val="bottom"/>
            <w:tcBorders>
              <w:bottom w:val="single" w:sz="8" w:color="010101"/>
            </w:tcBorders>
          </w:tcPr>
          <w:p>
            <w:pPr>
              <w:spacing w:after="0"/>
              <w:rPr>
                <w:sz w:val="24"/>
                <w:szCs w:val="24"/>
                <w:color w:val="auto"/>
              </w:rPr>
            </w:pPr>
          </w:p>
        </w:tc>
        <w:tc>
          <w:tcPr>
            <w:tcW w:w="5220" w:type="dxa"/>
            <w:vAlign w:val="bottom"/>
            <w:tcBorders>
              <w:bottom w:val="single" w:sz="8" w:color="010101"/>
            </w:tcBorders>
          </w:tcPr>
          <w:p>
            <w:pPr>
              <w:spacing w:after="0"/>
              <w:rPr>
                <w:sz w:val="24"/>
                <w:szCs w:val="24"/>
                <w:color w:val="auto"/>
              </w:rPr>
            </w:pPr>
          </w:p>
        </w:tc>
        <w:tc>
          <w:tcPr>
            <w:tcW w:w="54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78" w:name="page79"/>
    <w:bookmarkEnd w:id="78"/>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annual report of Monster Beverage Corporation (the “Company”) on Form 10-K for the year ended December 31, 2013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60" w:hanging="324"/>
        <w:spacing w:after="0" w:line="260" w:lineRule="auto"/>
        <w:tabs>
          <w:tab w:leader="none" w:pos="953"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Date:</w:t>
            </w:r>
          </w:p>
        </w:tc>
        <w:tc>
          <w:tcPr>
            <w:tcW w:w="4680" w:type="dxa"/>
            <w:vAlign w:val="bottom"/>
          </w:tcPr>
          <w:p>
            <w:pPr>
              <w:ind w:left="480"/>
              <w:spacing w:after="0"/>
              <w:rPr>
                <w:sz w:val="20"/>
                <w:szCs w:val="20"/>
                <w:color w:val="auto"/>
              </w:rPr>
            </w:pPr>
            <w:r>
              <w:rPr>
                <w:rFonts w:ascii="Arial" w:cs="Arial" w:eastAsia="Arial" w:hAnsi="Arial"/>
                <w:sz w:val="20"/>
                <w:szCs w:val="20"/>
                <w:color w:val="auto"/>
              </w:rPr>
              <w:t>March 3, 2014</w:t>
            </w:r>
          </w:p>
        </w:tc>
        <w:tc>
          <w:tcPr>
            <w:tcW w:w="58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9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584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9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84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90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584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900" w:type="dxa"/>
            <w:vAlign w:val="bottom"/>
            <w:tcBorders>
              <w:bottom w:val="single" w:sz="8" w:color="010101"/>
            </w:tcBorders>
          </w:tcPr>
          <w:p>
            <w:pPr>
              <w:spacing w:after="0"/>
              <w:rPr>
                <w:sz w:val="24"/>
                <w:szCs w:val="24"/>
                <w:color w:val="auto"/>
              </w:rPr>
            </w:pPr>
          </w:p>
        </w:tc>
        <w:tc>
          <w:tcPr>
            <w:tcW w:w="4680" w:type="dxa"/>
            <w:vAlign w:val="bottom"/>
            <w:tcBorders>
              <w:bottom w:val="single" w:sz="8" w:color="010101"/>
            </w:tcBorders>
          </w:tcPr>
          <w:p>
            <w:pPr>
              <w:spacing w:after="0"/>
              <w:rPr>
                <w:sz w:val="24"/>
                <w:szCs w:val="24"/>
                <w:color w:val="auto"/>
              </w:rPr>
            </w:pPr>
          </w:p>
        </w:tc>
        <w:tc>
          <w:tcPr>
            <w:tcW w:w="58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79" w:name="page80"/>
    <w:bookmarkEnd w:id="79"/>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annual report of Monster Beverage Corporation (the “Company”) on Form 10-K for the year ended December 31, 2013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60" w:hanging="324"/>
        <w:spacing w:after="0" w:line="260" w:lineRule="auto"/>
        <w:tabs>
          <w:tab w:leader="none" w:pos="953"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Date:</w:t>
            </w:r>
          </w:p>
        </w:tc>
        <w:tc>
          <w:tcPr>
            <w:tcW w:w="4600" w:type="dxa"/>
            <w:vAlign w:val="bottom"/>
          </w:tcPr>
          <w:p>
            <w:pPr>
              <w:ind w:left="460"/>
              <w:spacing w:after="0"/>
              <w:rPr>
                <w:sz w:val="20"/>
                <w:szCs w:val="20"/>
                <w:color w:val="auto"/>
              </w:rPr>
            </w:pPr>
            <w:r>
              <w:rPr>
                <w:rFonts w:ascii="Arial" w:cs="Arial" w:eastAsia="Arial" w:hAnsi="Arial"/>
                <w:sz w:val="20"/>
                <w:szCs w:val="20"/>
                <w:color w:val="auto"/>
              </w:rPr>
              <w:t>March 3, 2014</w:t>
            </w:r>
          </w:p>
        </w:tc>
        <w:tc>
          <w:tcPr>
            <w:tcW w:w="59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594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594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5940" w:type="dxa"/>
            <w:vAlign w:val="bottom"/>
          </w:tcPr>
          <w:p>
            <w:pPr>
              <w:ind w:left="10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5940" w:type="dxa"/>
            <w:vAlign w:val="bottom"/>
          </w:tcPr>
          <w:p>
            <w:pPr>
              <w:ind w:left="10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880" w:type="dxa"/>
            <w:vAlign w:val="bottom"/>
            <w:tcBorders>
              <w:bottom w:val="single" w:sz="8" w:color="010101"/>
            </w:tcBorders>
          </w:tcPr>
          <w:p>
            <w:pPr>
              <w:spacing w:after="0"/>
              <w:rPr>
                <w:sz w:val="24"/>
                <w:szCs w:val="24"/>
                <w:color w:val="auto"/>
              </w:rPr>
            </w:pPr>
          </w:p>
        </w:tc>
        <w:tc>
          <w:tcPr>
            <w:tcW w:w="4600" w:type="dxa"/>
            <w:vAlign w:val="bottom"/>
            <w:tcBorders>
              <w:bottom w:val="single" w:sz="8" w:color="010101"/>
            </w:tcBorders>
          </w:tcPr>
          <w:p>
            <w:pPr>
              <w:spacing w:after="0"/>
              <w:rPr>
                <w:sz w:val="24"/>
                <w:szCs w:val="24"/>
                <w:color w:val="auto"/>
              </w:rPr>
            </w:pPr>
          </w:p>
        </w:tc>
        <w:tc>
          <w:tcPr>
            <w:tcW w:w="5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5"/>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1)"/>
      <w:numFmt w:val="lowerLetter"/>
      <w:start w:val="1"/>
    </w:lvl>
  </w:abstractNum>
  <w:abstractNum w:abstractNumId="5">
    <w:nsid w:val="77465F01"/>
    <w:multiLevelType w:val="hybridMultilevel"/>
    <w:lvl w:ilvl="0">
      <w:lvlJc w:val="left"/>
      <w:lvlText w:val="(%1)"/>
      <w:numFmt w:val="lowerLetter"/>
      <w:start w:val="2"/>
    </w:lvl>
  </w:abstractNum>
  <w:abstractNum w:abstractNumId="6">
    <w:nsid w:val="7724C67E"/>
    <w:multiLevelType w:val="hybridMultilevel"/>
    <w:lvl w:ilvl="0">
      <w:lvlJc w:val="left"/>
      <w:lvlText w:val="(%1)"/>
      <w:numFmt w:val="lowerLetter"/>
      <w:start w:val="5"/>
    </w:lvl>
  </w:abstractNum>
  <w:abstractNum w:abstractNumId="7">
    <w:nsid w:val="5C482A97"/>
    <w:multiLevelType w:val="hybridMultilevel"/>
    <w:lvl w:ilvl="0">
      <w:lvlJc w:val="left"/>
      <w:lvlText w:val="(%1)"/>
      <w:numFmt w:val="decimal"/>
      <w:start w:val="951"/>
    </w:lvl>
  </w:abstractNum>
  <w:abstractNum w:abstractNumId="8">
    <w:nsid w:val="2463B9EA"/>
    <w:multiLevelType w:val="hybridMultilevel"/>
    <w:lvl w:ilvl="0">
      <w:lvlJc w:val="left"/>
      <w:lvlText w:val="(%1)"/>
      <w:numFmt w:val="decimal"/>
      <w:start w:val="800"/>
    </w:lvl>
  </w:abstractNum>
  <w:abstractNum w:abstractNumId="9">
    <w:nsid w:val="5E884ADC"/>
    <w:multiLevelType w:val="hybridMultilevel"/>
    <w:lvl w:ilvl="0">
      <w:lvlJc w:val="left"/>
      <w:lvlText w:val="(%1)"/>
      <w:numFmt w:val="lowerRoman"/>
      <w:start w:val="1"/>
    </w:lvl>
  </w:abstractNum>
  <w:abstractNum w:abstractNumId="10">
    <w:nsid w:val="51EAD36B"/>
    <w:multiLevelType w:val="hybridMultilevel"/>
    <w:lvl w:ilvl="0">
      <w:lvlJc w:val="left"/>
      <w:lvlText w:val="(%1)"/>
      <w:numFmt w:val="lowerLetter"/>
      <w:start w:val="3"/>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lvl w:ilvl="1">
      <w:lvlJc w:val="left"/>
      <w:lvlText w:val="·"/>
      <w:numFmt w:val="bullet"/>
      <w:start w:val="1"/>
    </w:lvl>
  </w:abstractNum>
  <w:abstractNum w:abstractNumId="22">
    <w:nsid w:val="7A6D8D3C"/>
    <w:multiLevelType w:val="hybridMultilevel"/>
    <w:lvl w:ilvl="0">
      <w:lvlJc w:val="left"/>
      <w:lvlText w:val="(%1)"/>
      <w:numFmt w:val="decimal"/>
      <w:start w:val="2"/>
    </w:lvl>
  </w:abstractNum>
  <w:abstractNum w:abstractNumId="23">
    <w:nsid w:val="4B588F54"/>
    <w:multiLevelType w:val="hybridMultilevel"/>
    <w:lvl w:ilvl="0">
      <w:lvlJc w:val="left"/>
      <w:lvlText w:val="(%1)"/>
      <w:numFmt w:val="decimal"/>
      <w:start w:val="951"/>
    </w:lvl>
    <w:lvl w:ilvl="1">
      <w:lvlJc w:val="left"/>
      <w:lvlText w:val="(%2)"/>
      <w:numFmt w:val="decimal"/>
      <w:start w:val="800"/>
    </w:lvl>
  </w:abstractNum>
  <w:abstractNum w:abstractNumId="24">
    <w:nsid w:val="542289EC"/>
    <w:multiLevelType w:val="hybridMultilevel"/>
    <w:lvl w:ilvl="0">
      <w:lvlJc w:val="left"/>
      <w:lvlText w:val="(%1)"/>
      <w:numFmt w:val="lowerLetter"/>
      <w:start w:val="3"/>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1."/>
      <w:numFmt w:val="decimal"/>
      <w:start w:val="2"/>
    </w:lvl>
  </w:abstractNum>
  <w:abstractNum w:abstractNumId="29">
    <w:nsid w:val="684A481A"/>
    <w:multiLevelType w:val="hybridMultilevel"/>
    <w:lvl w:ilvl="0">
      <w:lvlJc w:val="left"/>
      <w:lvlText w:val="%1."/>
      <w:numFmt w:val="decimal"/>
      <w:start w:val="3"/>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1)"/>
      <w:numFmt w:val="lowerRoman"/>
      <w:start w:val="2"/>
    </w:lvl>
  </w:abstractNum>
  <w:abstractNum w:abstractNumId="33">
    <w:nsid w:val="1BA026FA"/>
    <w:multiLevelType w:val="hybridMultilevel"/>
    <w:lvl w:ilvl="0">
      <w:lvlJc w:val="left"/>
      <w:lvlText w:val="(%1)"/>
      <w:numFmt w:val="lowerRoman"/>
      <w:start w:val="2"/>
    </w:lvl>
  </w:abstractNum>
  <w:abstractNum w:abstractNumId="34">
    <w:nsid w:val="79A1DEAA"/>
    <w:multiLevelType w:val="hybridMultilevel"/>
    <w:lvl w:ilvl="0">
      <w:lvlJc w:val="left"/>
      <w:lvlText w:val="(%1)"/>
      <w:numFmt w:val="lowerRoman"/>
      <w:start w:val="4"/>
    </w:lvl>
  </w:abstractNum>
  <w:abstractNum w:abstractNumId="35">
    <w:nsid w:val="75C6C33A"/>
    <w:multiLevelType w:val="hybridMultilevel"/>
    <w:lvl w:ilvl="0">
      <w:lvlJc w:val="left"/>
      <w:lvlText w:val="%1."/>
      <w:numFmt w:val="decimal"/>
      <w:start w:val="4"/>
    </w:lvl>
  </w:abstractNum>
  <w:abstractNum w:abstractNumId="36">
    <w:nsid w:val="12E685FB"/>
    <w:multiLevelType w:val="hybridMultilevel"/>
    <w:lvl w:ilvl="0">
      <w:lvlJc w:val="left"/>
      <w:lvlText w:val="%1."/>
      <w:numFmt w:val="decimal"/>
      <w:start w:val="5"/>
    </w:lvl>
  </w:abstractNum>
  <w:abstractNum w:abstractNumId="37">
    <w:nsid w:val="70C6A529"/>
    <w:multiLevelType w:val="hybridMultilevel"/>
    <w:lvl w:ilvl="0">
      <w:lvlJc w:val="left"/>
      <w:lvlText w:val="%1."/>
      <w:numFmt w:val="decimal"/>
      <w:start w:val="6"/>
    </w:lvl>
  </w:abstractNum>
  <w:abstractNum w:abstractNumId="38">
    <w:nsid w:val="520EEDD1"/>
    <w:multiLevelType w:val="hybridMultilevel"/>
    <w:lvl w:ilvl="0">
      <w:lvlJc w:val="left"/>
      <w:lvlText w:val="%1."/>
      <w:numFmt w:val="decimal"/>
      <w:start w:val="7"/>
    </w:lvl>
  </w:abstractNum>
  <w:abstractNum w:abstractNumId="39">
    <w:nsid w:val="374A3FE6"/>
    <w:multiLevelType w:val="hybridMultilevel"/>
    <w:lvl w:ilvl="0">
      <w:lvlJc w:val="left"/>
      <w:lvlText w:val="%1."/>
      <w:numFmt w:val="decimal"/>
      <w:start w:val="8"/>
    </w:lvl>
  </w:abstractNum>
  <w:abstractNum w:abstractNumId="40">
    <w:nsid w:val="4F4EF005"/>
    <w:multiLevelType w:val="hybridMultilevel"/>
    <w:lvl w:ilvl="0">
      <w:lvlJc w:val="left"/>
      <w:lvlText w:val="%1."/>
      <w:numFmt w:val="decimal"/>
      <w:start w:val="9"/>
    </w:lvl>
  </w:abstractNum>
  <w:abstractNum w:abstractNumId="41">
    <w:nsid w:val="23F9C13C"/>
    <w:multiLevelType w:val="hybridMultilevel"/>
    <w:lvl w:ilvl="0">
      <w:lvlJc w:val="left"/>
      <w:lvlText w:val="(%1)"/>
      <w:numFmt w:val="lowerRoman"/>
      <w:start w:val="1"/>
    </w:lvl>
  </w:abstractNum>
  <w:abstractNum w:abstractNumId="42">
    <w:nsid w:val="649BB77C"/>
    <w:multiLevelType w:val="hybridMultilevel"/>
    <w:lvl w:ilvl="0">
      <w:lvlJc w:val="left"/>
      <w:lvlText w:val="(%1)"/>
      <w:numFmt w:val="lowerLetter"/>
      <w:start w:val="3"/>
    </w:lvl>
  </w:abstractNum>
  <w:abstractNum w:abstractNumId="43">
    <w:nsid w:val="275AC794"/>
    <w:multiLevelType w:val="hybridMultilevel"/>
    <w:lvl w:ilvl="0">
      <w:lvlJc w:val="left"/>
      <w:lvlText w:val="%1."/>
      <w:numFmt w:val="decimal"/>
      <w:start w:val="10"/>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1."/>
      <w:numFmt w:val="decimal"/>
      <w:start w:val="11"/>
    </w:lvl>
  </w:abstractNum>
  <w:abstractNum w:abstractNumId="47">
    <w:nsid w:val="235BA861"/>
    <w:multiLevelType w:val="hybridMultilevel"/>
    <w:lvl w:ilvl="0">
      <w:lvlJc w:val="left"/>
      <w:lvlText w:val="%1."/>
      <w:numFmt w:val="decimal"/>
      <w:start w:val="12"/>
    </w:lvl>
  </w:abstractNum>
  <w:abstractNum w:abstractNumId="48">
    <w:nsid w:val="47398C89"/>
    <w:multiLevelType w:val="hybridMultilevel"/>
    <w:lvl w:ilvl="0">
      <w:lvlJc w:val="left"/>
      <w:lvlText w:val="%1."/>
      <w:numFmt w:val="decimal"/>
      <w:start w:val="13"/>
    </w:lvl>
  </w:abstractNum>
  <w:abstractNum w:abstractNumId="49">
    <w:nsid w:val="354FE9F9"/>
    <w:multiLevelType w:val="hybridMultilevel"/>
    <w:lvl w:ilvl="0">
      <w:lvlJc w:val="left"/>
      <w:lvlText w:val="%1."/>
      <w:numFmt w:val="decimal"/>
      <w:start w:val="14"/>
    </w:lvl>
  </w:abstractNum>
  <w:abstractNum w:abstractNumId="50">
    <w:nsid w:val="15B5AF5C"/>
    <w:multiLevelType w:val="hybridMultilevel"/>
    <w:lvl w:ilvl="0">
      <w:lvlJc w:val="left"/>
      <w:lvlText w:val="%1."/>
      <w:numFmt w:val="decimal"/>
      <w:start w:val="15"/>
    </w:lvl>
  </w:abstractNum>
  <w:abstractNum w:abstractNumId="51">
    <w:nsid w:val="741226BB"/>
    <w:multiLevelType w:val="hybridMultilevel"/>
    <w:lvl w:ilvl="0">
      <w:lvlJc w:val="left"/>
      <w:lvlText w:val="%1."/>
      <w:numFmt w:val="decimal"/>
      <w:start w:val="16"/>
    </w:lvl>
  </w:abstractNum>
  <w:abstractNum w:abstractNumId="52">
    <w:nsid w:val="D34B6A8"/>
    <w:multiLevelType w:val="hybridMultilevel"/>
    <w:lvl w:ilvl="0">
      <w:lvlJc w:val="left"/>
      <w:lvlText w:val="%1."/>
      <w:numFmt w:val="decimal"/>
      <w:start w:val="17"/>
    </w:lvl>
  </w:abstractNum>
  <w:abstractNum w:abstractNumId="53">
    <w:nsid w:val="10233C99"/>
    <w:multiLevelType w:val="hybridMultilevel"/>
    <w:lvl w:ilvl="0">
      <w:lvlJc w:val="left"/>
      <w:lvlText w:val="%1."/>
      <w:numFmt w:val="decimal"/>
      <w:start w:val="18"/>
    </w:lvl>
  </w:abstractNum>
  <w:abstractNum w:abstractNumId="54">
    <w:nsid w:val="3F6AB60F"/>
    <w:multiLevelType w:val="hybridMultilevel"/>
    <w:lvl w:ilvl="0">
      <w:lvlJc w:val="left"/>
      <w:lvlText w:val="%1."/>
      <w:numFmt w:val="decimal"/>
      <w:start w:val="2"/>
    </w:lvl>
  </w:abstractNum>
  <w:abstractNum w:abstractNumId="55">
    <w:nsid w:val="61574095"/>
    <w:multiLevelType w:val="hybridMultilevel"/>
    <w:lvl w:ilvl="0">
      <w:lvlJc w:val="left"/>
      <w:lvlText w:val="%1"/>
      <w:numFmt w:val="lowerRoman"/>
      <w:start w:val="1"/>
    </w:lvl>
    <w:lvl w:ilvl="1">
      <w:lvlJc w:val="left"/>
      <w:lvlText w:val="(%2)"/>
      <w:numFmt w:val="lowerLetter"/>
      <w:start w:val="1"/>
    </w:lvl>
  </w:abstractNum>
  <w:abstractNum w:abstractNumId="56">
    <w:nsid w:val="7E0C57B1"/>
    <w:multiLevelType w:val="hybridMultilevel"/>
    <w:lvl w:ilvl="0">
      <w:lvlJc w:val="left"/>
      <w:lvlText w:val="(%1)"/>
      <w:numFmt w:val="lowerRoman"/>
      <w:start w:val="6"/>
    </w:lvl>
    <w:lvl w:ilvl="1">
      <w:lvlJc w:val="left"/>
      <w:lvlText w:val="(%2)"/>
      <w:numFmt w:val="lowerLetter"/>
      <w:start w:val="2"/>
    </w:lvl>
  </w:abstractNum>
  <w:abstractNum w:abstractNumId="57">
    <w:nsid w:val="77AE35EB"/>
    <w:multiLevelType w:val="hybridMultilevel"/>
    <w:lvl w:ilvl="0">
      <w:lvlJc w:val="left"/>
      <w:lvlText w:val="%1."/>
      <w:numFmt w:val="decimal"/>
      <w:start w:val="5"/>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6"/>
    </w:lvl>
  </w:abstractNum>
  <w:abstractNum w:abstractNumId="60">
    <w:nsid w:val="5FF87E05"/>
    <w:multiLevelType w:val="hybridMultilevel"/>
    <w:lvl w:ilvl="0">
      <w:lvlJc w:val="left"/>
      <w:lvlText w:val="(%1)"/>
      <w:numFmt w:val="lowerLetter"/>
      <w:start w:val="3"/>
    </w:lvl>
  </w:abstractNum>
  <w:abstractNum w:abstractNumId="61">
    <w:nsid w:val="2F305DEF"/>
    <w:multiLevelType w:val="hybridMultilevel"/>
    <w:lvl w:ilvl="0">
      <w:lvlJc w:val="left"/>
      <w:lvlText w:val="%1."/>
      <w:numFmt w:val="decimal"/>
      <w:start w:val="8"/>
    </w:lvl>
  </w:abstractNum>
  <w:abstractNum w:abstractNumId="62">
    <w:nsid w:val="25A70BF7"/>
    <w:multiLevelType w:val="hybridMultilevel"/>
    <w:lvl w:ilvl="0">
      <w:lvlJc w:val="left"/>
      <w:lvlText w:val="%1."/>
      <w:numFmt w:val="decimal"/>
      <w:start w:val="9"/>
    </w:lvl>
  </w:abstractNum>
  <w:abstractNum w:abstractNumId="63">
    <w:nsid w:val="1DBABF00"/>
    <w:multiLevelType w:val="hybridMultilevel"/>
    <w:lvl w:ilvl="0">
      <w:lvlJc w:val="left"/>
      <w:lvlText w:val="*"/>
      <w:numFmt w:val="bullet"/>
      <w:start w:val="1"/>
    </w:lvl>
    <w:lvl w:ilvl="1">
      <w:lvlJc w:val="left"/>
      <w:lvlText w:val="%2."/>
      <w:numFmt w:val="decimal"/>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2019-12-06T03:34:04Z</dcterms:created>
  <dcterms:modified xsi:type="dcterms:W3CDTF">2019-12-06T03:34:04Z</dcterms:modified>
</cp:coreProperties>
</file>