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403225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0" w:lineRule="exact"/>
        <w:rPr>
          <w:sz w:val="24"/>
          <w:szCs w:val="24"/>
          <w:color w:val="auto"/>
        </w:rPr>
      </w:pPr>
    </w:p>
    <w:p>
      <w:pPr>
        <w:spacing w:after="0"/>
        <w:tabs>
          <w:tab w:leader="none" w:pos="6660" w:val="left"/>
        </w:tabs>
        <w:rPr>
          <w:sz w:val="20"/>
          <w:szCs w:val="20"/>
          <w:color w:val="auto"/>
        </w:rPr>
      </w:pPr>
      <w:r>
        <w:rPr>
          <w:rFonts w:ascii="Times New Roman" w:cs="Times New Roman" w:eastAsia="Times New Roman" w:hAnsi="Times New Roman"/>
          <w:sz w:val="18"/>
          <w:szCs w:val="18"/>
          <w:color w:val="auto"/>
        </w:rPr>
        <w:t>For the quarterly period ended September 30, 2020</w:t>
      </w:r>
      <w:r>
        <w:rPr>
          <w:sz w:val="20"/>
          <w:szCs w:val="20"/>
          <w:color w:val="auto"/>
        </w:rPr>
        <w:tab/>
      </w:r>
      <w:r>
        <w:rPr>
          <w:rFonts w:ascii="Times New Roman" w:cs="Times New Roman" w:eastAsia="Times New Roman" w:hAnsi="Times New Roman"/>
          <w:sz w:val="17"/>
          <w:szCs w:val="17"/>
          <w:color w:val="auto"/>
        </w:rPr>
        <w:t>Commission File Number 001-18761</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MONSTER BEVERAGE CORPORATION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36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3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47-1809393</w:t>
            </w:r>
          </w:p>
        </w:tc>
      </w:tr>
      <w:tr>
        <w:trPr>
          <w:trHeight w:val="216"/>
        </w:trPr>
        <w:tc>
          <w:tcPr>
            <w:tcW w:w="2340" w:type="dxa"/>
            <w:vAlign w:val="bottom"/>
          </w:tcPr>
          <w:p>
            <w:pPr>
              <w:spacing w:after="0"/>
              <w:rPr>
                <w:sz w:val="18"/>
                <w:szCs w:val="18"/>
                <w:color w:val="auto"/>
              </w:rPr>
            </w:pPr>
          </w:p>
        </w:tc>
        <w:tc>
          <w:tcPr>
            <w:tcW w:w="36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40" w:type="dxa"/>
            <w:vAlign w:val="bottom"/>
          </w:tcPr>
          <w:p>
            <w:pPr>
              <w:spacing w:after="0"/>
              <w:rPr>
                <w:sz w:val="20"/>
                <w:szCs w:val="20"/>
                <w:color w:val="auto"/>
              </w:rPr>
            </w:pPr>
          </w:p>
        </w:tc>
        <w:tc>
          <w:tcPr>
            <w:tcW w:w="36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Identification No.)</w:t>
            </w:r>
          </w:p>
        </w:tc>
      </w:tr>
      <w:tr>
        <w:trPr>
          <w:trHeight w:val="414"/>
        </w:trPr>
        <w:tc>
          <w:tcPr>
            <w:tcW w:w="2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tcPr>
          <w:p>
            <w:pPr>
              <w:jc w:val="center"/>
              <w:ind w:left="696"/>
              <w:spacing w:after="0"/>
              <w:rPr>
                <w:sz w:val="20"/>
                <w:szCs w:val="20"/>
                <w:color w:val="auto"/>
              </w:rPr>
            </w:pPr>
            <w:r>
              <w:rPr>
                <w:rFonts w:ascii="Times New Roman" w:cs="Times New Roman" w:eastAsia="Times New Roman" w:hAnsi="Times New Roman"/>
                <w:sz w:val="18"/>
                <w:szCs w:val="18"/>
                <w:color w:val="auto"/>
                <w:w w:val="98"/>
              </w:rPr>
              <w:t>1 Monster Way</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12"/>
        </w:trPr>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tcPr>
          <w:p>
            <w:pPr>
              <w:jc w:val="center"/>
              <w:ind w:left="676"/>
              <w:spacing w:after="0"/>
              <w:rPr>
                <w:sz w:val="20"/>
                <w:szCs w:val="20"/>
                <w:color w:val="auto"/>
              </w:rPr>
            </w:pPr>
            <w:r>
              <w:rPr>
                <w:rFonts w:ascii="Times New Roman" w:cs="Times New Roman" w:eastAsia="Times New Roman" w:hAnsi="Times New Roman"/>
                <w:sz w:val="18"/>
                <w:szCs w:val="18"/>
                <w:color w:val="auto"/>
                <w:w w:val="99"/>
              </w:rPr>
              <w:t>Corona, California 92879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188"/>
        </w:trPr>
        <w:tc>
          <w:tcPr>
            <w:tcW w:w="2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740" w:type="dxa"/>
            <w:vAlign w:val="bottom"/>
            <w:gridSpan w:val="4"/>
          </w:tcPr>
          <w:p>
            <w:pPr>
              <w:jc w:val="center"/>
              <w:ind w:right="3090"/>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r>
      <w:tr>
        <w:trPr>
          <w:trHeight w:val="311"/>
        </w:trPr>
        <w:tc>
          <w:tcPr>
            <w:tcW w:w="2340" w:type="dxa"/>
            <w:vAlign w:val="bottom"/>
          </w:tcPr>
          <w:p>
            <w:pPr>
              <w:spacing w:after="0"/>
              <w:rPr>
                <w:sz w:val="24"/>
                <w:szCs w:val="24"/>
                <w:color w:val="auto"/>
              </w:rPr>
            </w:pPr>
          </w:p>
        </w:tc>
        <w:tc>
          <w:tcPr>
            <w:tcW w:w="364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(951) 739 - 6200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188"/>
        </w:trPr>
        <w:tc>
          <w:tcPr>
            <w:tcW w:w="2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740" w:type="dxa"/>
            <w:vAlign w:val="bottom"/>
            <w:gridSpan w:val="4"/>
          </w:tcPr>
          <w:p>
            <w:pPr>
              <w:jc w:val="center"/>
              <w:ind w:right="309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334"/>
        </w:trPr>
        <w:tc>
          <w:tcPr>
            <w:tcW w:w="59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365"/>
        </w:trPr>
        <w:tc>
          <w:tcPr>
            <w:tcW w:w="234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6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tcBorders>
              <w:bottom w:val="single" w:sz="8" w:color="auto"/>
            </w:tcBorders>
          </w:tcPr>
          <w:p>
            <w:pPr>
              <w:jc w:val="center"/>
              <w:ind w:left="76"/>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23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Common Stock</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0" w:type="dxa"/>
            <w:vAlign w:val="bottom"/>
          </w:tcPr>
          <w:p>
            <w:pPr>
              <w:jc w:val="center"/>
              <w:ind w:left="96"/>
              <w:spacing w:after="0"/>
              <w:rPr>
                <w:sz w:val="20"/>
                <w:szCs w:val="20"/>
                <w:color w:val="auto"/>
              </w:rPr>
            </w:pPr>
            <w:r>
              <w:rPr>
                <w:rFonts w:ascii="Times New Roman" w:cs="Times New Roman" w:eastAsia="Times New Roman" w:hAnsi="Times New Roman"/>
                <w:sz w:val="18"/>
                <w:szCs w:val="18"/>
                <w:color w:val="auto"/>
                <w:w w:val="99"/>
              </w:rPr>
              <w:t>MNST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85"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5"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ab/>
        <w:t>No ___</w:t>
      </w:r>
    </w:p>
    <w:p>
      <w:pPr>
        <w:spacing w:after="0" w:line="144"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5"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ab/>
        <w:t>No ___</w:t>
      </w:r>
    </w:p>
    <w:p>
      <w:pPr>
        <w:spacing w:after="0" w:line="144"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97" w:lineRule="exact"/>
        <w:rPr>
          <w:sz w:val="24"/>
          <w:szCs w:val="24"/>
          <w:color w:val="auto"/>
        </w:rPr>
      </w:pPr>
    </w:p>
    <w:p>
      <w:pPr>
        <w:ind w:right="2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7" w:lineRule="exact"/>
        <w:rPr>
          <w:sz w:val="24"/>
          <w:szCs w:val="24"/>
          <w:color w:val="auto"/>
        </w:rPr>
      </w:pPr>
    </w:p>
    <w:p>
      <w:pPr>
        <w:ind w:left="4380" w:right="1080" w:hanging="3731"/>
        <w:spacing w:after="0" w:line="391" w:lineRule="auto"/>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___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-107315</wp:posOffset>
            </wp:positionV>
            <wp:extent cx="1682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275" cy="889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The registrant had 527,916,757 shares of common stock, par value $0.005 per share, outstanding as of October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94615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77470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80" w:type="dxa"/>
            <w:vAlign w:val="bottom"/>
            <w:gridSpan w:val="10"/>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715"/>
        </w:trPr>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80" w:type="dxa"/>
            <w:vAlign w:val="bottom"/>
            <w:gridSpan w:val="7"/>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MONSTER BEVERAGE CORPORATION AND SUBSIDIARIES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780" w:type="dxa"/>
            <w:vAlign w:val="bottom"/>
            <w:tcBorders>
              <w:top w:val="single" w:sz="8" w:color="auto"/>
              <w:bottom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1660" w:type="dxa"/>
            <w:vAlign w:val="bottom"/>
            <w:tcBorders>
              <w:top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2"/>
        </w:trPr>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82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108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Part I.</w:t>
              </w:r>
            </w:hyperlink>
          </w:p>
        </w:tc>
        <w:tc>
          <w:tcPr>
            <w:tcW w:w="8000" w:type="dxa"/>
            <w:vAlign w:val="bottom"/>
            <w:gridSpan w:val="9"/>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FINANCIAL INFORMATION</w:t>
              </w:r>
            </w:hyperlink>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453"/>
        </w:trPr>
        <w:tc>
          <w:tcPr>
            <w:tcW w:w="108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w:t>
              </w:r>
            </w:hyperlink>
          </w:p>
        </w:tc>
        <w:tc>
          <w:tcPr>
            <w:tcW w:w="8000" w:type="dxa"/>
            <w:vAlign w:val="bottom"/>
            <w:gridSpan w:val="9"/>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Financial Statements (Unaudited)</w:t>
              </w:r>
            </w:hyperlink>
          </w:p>
        </w:tc>
        <w:tc>
          <w:tcPr>
            <w:tcW w:w="1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8000" w:type="dxa"/>
            <w:vAlign w:val="bottom"/>
            <w:gridSpan w:val="9"/>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Balance Sheets as of September 30, 2020 and December 31, 2019</w:t>
              </w:r>
            </w:hyperlink>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92"/>
        </w:trPr>
        <w:tc>
          <w:tcPr>
            <w:tcW w:w="1080" w:type="dxa"/>
            <w:vAlign w:val="bottom"/>
          </w:tcPr>
          <w:p>
            <w:pPr>
              <w:spacing w:after="0"/>
              <w:rPr>
                <w:sz w:val="24"/>
                <w:szCs w:val="24"/>
                <w:color w:val="auto"/>
              </w:rPr>
            </w:pPr>
          </w:p>
        </w:tc>
        <w:tc>
          <w:tcPr>
            <w:tcW w:w="80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Income for the Three- and Nine-Months Ended September 30, 2020</w:t>
              </w:r>
            </w:hyperlink>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000" w:type="dxa"/>
            <w:vAlign w:val="bottom"/>
            <w:gridSpan w:val="9"/>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and 2019</w:t>
              </w:r>
            </w:hyperlink>
          </w:p>
        </w:tc>
        <w:tc>
          <w:tcPr>
            <w:tcW w:w="8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0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8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1080" w:type="dxa"/>
            <w:vAlign w:val="bottom"/>
          </w:tcPr>
          <w:p>
            <w:pPr>
              <w:spacing w:after="0"/>
              <w:rPr>
                <w:sz w:val="24"/>
                <w:szCs w:val="24"/>
                <w:color w:val="auto"/>
              </w:rPr>
            </w:pPr>
          </w:p>
        </w:tc>
        <w:tc>
          <w:tcPr>
            <w:tcW w:w="80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Income for the Three- and Nine-Months Ended</w:t>
              </w:r>
            </w:hyperlink>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000" w:type="dxa"/>
            <w:vAlign w:val="bottom"/>
            <w:gridSpan w:val="9"/>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September 30, 2020 and 2019</w:t>
              </w:r>
            </w:hyperlink>
          </w:p>
        </w:tc>
        <w:tc>
          <w:tcPr>
            <w:tcW w:w="8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080" w:type="dxa"/>
            <w:vAlign w:val="bottom"/>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58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1080" w:type="dxa"/>
            <w:vAlign w:val="bottom"/>
          </w:tcPr>
          <w:p>
            <w:pPr>
              <w:spacing w:after="0"/>
              <w:rPr>
                <w:sz w:val="24"/>
                <w:szCs w:val="24"/>
                <w:color w:val="auto"/>
              </w:rPr>
            </w:pPr>
          </w:p>
        </w:tc>
        <w:tc>
          <w:tcPr>
            <w:tcW w:w="80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Stockholders’ Equity for the Three- and Nine-Months Ended</w:t>
              </w:r>
            </w:hyperlink>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000" w:type="dxa"/>
            <w:vAlign w:val="bottom"/>
            <w:gridSpan w:val="9"/>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September 30, 2020 and 2019</w:t>
              </w:r>
            </w:hyperlink>
          </w:p>
        </w:tc>
        <w:tc>
          <w:tcPr>
            <w:tcW w:w="8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080" w:type="dxa"/>
            <w:vAlign w:val="bottom"/>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5860" w:type="dxa"/>
            <w:vAlign w:val="bottom"/>
            <w:gridSpan w:val="6"/>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453"/>
        </w:trPr>
        <w:tc>
          <w:tcPr>
            <w:tcW w:w="1080" w:type="dxa"/>
            <w:vAlign w:val="bottom"/>
          </w:tcPr>
          <w:p>
            <w:pPr>
              <w:spacing w:after="0"/>
              <w:rPr>
                <w:sz w:val="24"/>
                <w:szCs w:val="24"/>
                <w:color w:val="auto"/>
              </w:rPr>
            </w:pPr>
          </w:p>
        </w:tc>
        <w:tc>
          <w:tcPr>
            <w:tcW w:w="8000" w:type="dxa"/>
            <w:vAlign w:val="bottom"/>
            <w:gridSpan w:val="9"/>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Condensed Consolidated Statements of Cash Flows for the Nine-Months Ended September 30, 2020 and 2019</w:t>
              </w:r>
            </w:hyperlink>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1080" w:type="dxa"/>
            <w:vAlign w:val="bottom"/>
          </w:tcPr>
          <w:p>
            <w:pPr>
              <w:spacing w:after="0"/>
              <w:rPr>
                <w:sz w:val="24"/>
                <w:szCs w:val="24"/>
                <w:color w:val="auto"/>
              </w:rPr>
            </w:pPr>
          </w:p>
        </w:tc>
        <w:tc>
          <w:tcPr>
            <w:tcW w:w="8000" w:type="dxa"/>
            <w:vAlign w:val="bottom"/>
            <w:gridSpan w:val="9"/>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Notes to Condensed Consolidated Financial Statements</w:t>
              </w:r>
            </w:hyperlink>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1080" w:type="dxa"/>
            <w:vAlign w:val="bottom"/>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Item 2.</w:t>
              </w:r>
            </w:hyperlink>
          </w:p>
        </w:tc>
        <w:tc>
          <w:tcPr>
            <w:tcW w:w="8000" w:type="dxa"/>
            <w:vAlign w:val="bottom"/>
            <w:gridSpan w:val="9"/>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1080" w:type="dxa"/>
            <w:vAlign w:val="bottom"/>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Item 3.</w:t>
              </w:r>
            </w:hyperlink>
          </w:p>
        </w:tc>
        <w:tc>
          <w:tcPr>
            <w:tcW w:w="8000" w:type="dxa"/>
            <w:vAlign w:val="bottom"/>
            <w:gridSpan w:val="9"/>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Quantitative and Qualitative Disclosures About Market Risk</w:t>
              </w:r>
            </w:hyperlink>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2"/>
        </w:trPr>
        <w:tc>
          <w:tcPr>
            <w:tcW w:w="1080" w:type="dxa"/>
            <w:vAlign w:val="bottom"/>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Item 4.</w:t>
              </w:r>
            </w:hyperlink>
          </w:p>
        </w:tc>
        <w:tc>
          <w:tcPr>
            <w:tcW w:w="8000" w:type="dxa"/>
            <w:vAlign w:val="bottom"/>
            <w:gridSpan w:val="9"/>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Controls and Procedures</w:t>
              </w:r>
            </w:hyperlink>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32"/>
        </w:trPr>
        <w:tc>
          <w:tcPr>
            <w:tcW w:w="108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49">
              <w:r>
                <w:rPr>
                  <w:rFonts w:ascii="Times New Roman" w:cs="Times New Roman" w:eastAsia="Times New Roman" w:hAnsi="Times New Roman"/>
                  <w:sz w:val="18"/>
                  <w:szCs w:val="18"/>
                  <w:b w:val="1"/>
                  <w:bCs w:val="1"/>
                  <w:u w:val="single" w:color="auto"/>
                  <w:color w:val="0000EE"/>
                </w:rPr>
                <w:t>Part II.</w:t>
              </w:r>
            </w:hyperlink>
          </w:p>
        </w:tc>
        <w:tc>
          <w:tcPr>
            <w:tcW w:w="8000" w:type="dxa"/>
            <w:vAlign w:val="bottom"/>
            <w:gridSpan w:val="9"/>
          </w:tcPr>
          <w:p>
            <w:pPr>
              <w:spacing w:after="0"/>
              <w:rPr>
                <w:rFonts w:ascii="Times New Roman" w:cs="Times New Roman" w:eastAsia="Times New Roman" w:hAnsi="Times New Roman"/>
                <w:sz w:val="18"/>
                <w:szCs w:val="18"/>
                <w:b w:val="1"/>
                <w:bCs w:val="1"/>
                <w:u w:val="single" w:color="auto"/>
                <w:color w:val="0000EE"/>
              </w:rPr>
            </w:pPr>
            <w:hyperlink w:anchor="page49">
              <w:r>
                <w:rPr>
                  <w:rFonts w:ascii="Times New Roman" w:cs="Times New Roman" w:eastAsia="Times New Roman" w:hAnsi="Times New Roman"/>
                  <w:sz w:val="18"/>
                  <w:szCs w:val="18"/>
                  <w:b w:val="1"/>
                  <w:bCs w:val="1"/>
                  <w:u w:val="single" w:color="auto"/>
                  <w:color w:val="0000EE"/>
                </w:rPr>
                <w:t>OTHER INFORMATION</w:t>
              </w:r>
            </w:hyperlink>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1080" w:type="dxa"/>
            <w:vAlign w:val="bottom"/>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Item 1.</w:t>
              </w:r>
            </w:hyperlink>
          </w:p>
        </w:tc>
        <w:tc>
          <w:tcPr>
            <w:tcW w:w="8000" w:type="dxa"/>
            <w:vAlign w:val="bottom"/>
            <w:gridSpan w:val="9"/>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Legal Proceedings</w:t>
              </w:r>
            </w:hyperlink>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32"/>
        </w:trPr>
        <w:tc>
          <w:tcPr>
            <w:tcW w:w="1080" w:type="dxa"/>
            <w:vAlign w:val="bottom"/>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u w:val="single" w:color="auto"/>
                  <w:color w:val="0000EE"/>
                </w:rPr>
                <w:t>Item 1A</w:t>
              </w:r>
              <w:r>
                <w:rPr>
                  <w:rFonts w:ascii="Times New Roman" w:cs="Times New Roman" w:eastAsia="Times New Roman" w:hAnsi="Times New Roman"/>
                  <w:sz w:val="18"/>
                  <w:szCs w:val="18"/>
                  <w:color w:val="0000EE"/>
                </w:rPr>
                <w:t>.</w:t>
              </w:r>
            </w:hyperlink>
          </w:p>
        </w:tc>
        <w:tc>
          <w:tcPr>
            <w:tcW w:w="8000" w:type="dxa"/>
            <w:vAlign w:val="bottom"/>
            <w:gridSpan w:val="9"/>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Risk Factors</w:t>
              </w:r>
            </w:hyperlink>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32"/>
        </w:trPr>
        <w:tc>
          <w:tcPr>
            <w:tcW w:w="1080" w:type="dxa"/>
            <w:vAlign w:val="bottom"/>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Item 2.</w:t>
              </w:r>
            </w:hyperlink>
          </w:p>
        </w:tc>
        <w:tc>
          <w:tcPr>
            <w:tcW w:w="8000" w:type="dxa"/>
            <w:vAlign w:val="bottom"/>
            <w:gridSpan w:val="9"/>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Unregistered Sales of Equity Securities and Use of Proceeds</w:t>
              </w:r>
            </w:hyperlink>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32"/>
        </w:trPr>
        <w:tc>
          <w:tcPr>
            <w:tcW w:w="1080" w:type="dxa"/>
            <w:vAlign w:val="bottom"/>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Item 3.</w:t>
              </w:r>
            </w:hyperlink>
          </w:p>
        </w:tc>
        <w:tc>
          <w:tcPr>
            <w:tcW w:w="8000" w:type="dxa"/>
            <w:vAlign w:val="bottom"/>
            <w:gridSpan w:val="9"/>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Defaults Upon Senior Securities</w:t>
              </w:r>
            </w:hyperlink>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32"/>
        </w:trPr>
        <w:tc>
          <w:tcPr>
            <w:tcW w:w="1080" w:type="dxa"/>
            <w:vAlign w:val="bottom"/>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Item 4.</w:t>
              </w:r>
            </w:hyperlink>
          </w:p>
        </w:tc>
        <w:tc>
          <w:tcPr>
            <w:tcW w:w="8000" w:type="dxa"/>
            <w:vAlign w:val="bottom"/>
            <w:gridSpan w:val="9"/>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Mine Safety Disclosures</w:t>
              </w:r>
            </w:hyperlink>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32"/>
        </w:trPr>
        <w:tc>
          <w:tcPr>
            <w:tcW w:w="1080" w:type="dxa"/>
            <w:vAlign w:val="bottom"/>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Item 5.</w:t>
              </w:r>
            </w:hyperlink>
          </w:p>
        </w:tc>
        <w:tc>
          <w:tcPr>
            <w:tcW w:w="8000" w:type="dxa"/>
            <w:vAlign w:val="bottom"/>
            <w:gridSpan w:val="9"/>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Other Information</w:t>
              </w:r>
            </w:hyperlink>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32"/>
        </w:trPr>
        <w:tc>
          <w:tcPr>
            <w:tcW w:w="1080" w:type="dxa"/>
            <w:vAlign w:val="bottom"/>
          </w:tcPr>
          <w:p>
            <w:pPr>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Item 6.</w:t>
              </w:r>
            </w:hyperlink>
          </w:p>
        </w:tc>
        <w:tc>
          <w:tcPr>
            <w:tcW w:w="8000" w:type="dxa"/>
            <w:vAlign w:val="bottom"/>
            <w:gridSpan w:val="9"/>
          </w:tcPr>
          <w:p>
            <w:pPr>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Exhibits</w:t>
              </w:r>
            </w:hyperlink>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32"/>
        </w:trPr>
        <w:tc>
          <w:tcPr>
            <w:tcW w:w="1080" w:type="dxa"/>
            <w:vAlign w:val="bottom"/>
          </w:tcPr>
          <w:p>
            <w:pPr>
              <w:spacing w:after="0"/>
              <w:rPr>
                <w:sz w:val="24"/>
                <w:szCs w:val="24"/>
                <w:color w:val="auto"/>
              </w:rPr>
            </w:pPr>
          </w:p>
        </w:tc>
        <w:tc>
          <w:tcPr>
            <w:tcW w:w="8000" w:type="dxa"/>
            <w:vAlign w:val="bottom"/>
            <w:gridSpan w:val="9"/>
          </w:tcPr>
          <w:p>
            <w:pPr>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Signatures</w:t>
              </w:r>
            </w:hyperlink>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25" w:lineRule="exact"/>
        <w:rPr>
          <w:sz w:val="20"/>
          <w:szCs w:val="20"/>
          <w:color w:val="auto"/>
        </w:rPr>
      </w:pPr>
    </w:p>
    <w:p>
      <w:pPr>
        <w:ind w:right="4800"/>
        <w:spacing w:after="0" w:line="274" w:lineRule="auto"/>
        <w:rPr>
          <w:sz w:val="20"/>
          <w:szCs w:val="20"/>
          <w:color w:val="auto"/>
        </w:rPr>
      </w:pPr>
      <w:r>
        <w:rPr>
          <w:rFonts w:ascii="Times New Roman" w:cs="Times New Roman" w:eastAsia="Times New Roman" w:hAnsi="Times New Roman"/>
          <w:sz w:val="17"/>
          <w:szCs w:val="17"/>
          <w:b w:val="1"/>
          <w:bCs w:val="1"/>
          <w:color w:val="auto"/>
        </w:rPr>
        <w:t>MONSTER BEVERAGE CORPORATION AND SUBSIDIARIES CONDENSED CONSOLIDATED BALANCE SHEETS AS OF SEPTEMBER 30, 2020 AND DECEMBER 31, 2019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5340" w:type="dxa"/>
            <w:vAlign w:val="bottom"/>
            <w:gridSpan w:val="4"/>
            <w:shd w:val="clear" w:color="auto" w:fill="CCEEFF"/>
          </w:tcPr>
          <w:p>
            <w:pPr>
              <w:jc w:val="center"/>
              <w:ind w:right="2200"/>
              <w:spacing w:after="0" w:line="11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Borders>
              <w:top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540" w:type="dxa"/>
            <w:vAlign w:val="bottom"/>
            <w:tcBorders>
              <w:top w:val="single" w:sz="8" w:color="auto"/>
            </w:tcBorders>
          </w:tcPr>
          <w:p>
            <w:pPr>
              <w:spacing w:after="0"/>
              <w:rPr>
                <w:sz w:val="12"/>
                <w:szCs w:val="12"/>
                <w:color w:val="auto"/>
              </w:rPr>
            </w:pPr>
          </w:p>
        </w:tc>
        <w:tc>
          <w:tcPr>
            <w:tcW w:w="3500" w:type="dxa"/>
            <w:vAlign w:val="bottom"/>
            <w:tcBorders>
              <w:top w:val="single" w:sz="8" w:color="CCEEFF"/>
            </w:tcBorders>
            <w:gridSpan w:val="2"/>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1,074,730</w:t>
            </w:r>
          </w:p>
        </w:tc>
        <w:tc>
          <w:tcPr>
            <w:tcW w:w="2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797,957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599,326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533,063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740,813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540,330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318,956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360,731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75,958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54,868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Times New Roman" w:cs="Times New Roman" w:eastAsia="Times New Roman" w:hAnsi="Times New Roman"/>
                <w:sz w:val="14"/>
                <w:szCs w:val="14"/>
                <w:color w:val="auto"/>
              </w:rPr>
              <w:t>Prepaid income taxes</w:t>
            </w: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16,064</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29,360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5"/>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2,825,847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2,316,309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20,571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304,687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298,640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 net</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84,777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84,777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1,331,643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1,331,643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1,059,537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70,621</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53,973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Borders>
              <w:bottom w:val="single" w:sz="8" w:color="CCEEFF"/>
            </w:tcBorders>
            <w:shd w:val="clear" w:color="auto" w:fill="CCEEFF"/>
          </w:tcPr>
          <w:p>
            <w:pPr>
              <w:spacing w:after="0"/>
              <w:rPr>
                <w:sz w:val="12"/>
                <w:szCs w:val="12"/>
                <w:color w:val="auto"/>
              </w:rPr>
            </w:pPr>
          </w:p>
        </w:tc>
        <w:tc>
          <w:tcPr>
            <w:tcW w:w="5340" w:type="dxa"/>
            <w:vAlign w:val="bottom"/>
            <w:tcBorders>
              <w:bottom w:val="single" w:sz="8" w:color="CCEEFF"/>
            </w:tcBorders>
            <w:gridSpan w:val="4"/>
            <w:shd w:val="clear" w:color="auto" w:fill="CCEEFF"/>
          </w:tcPr>
          <w:p>
            <w:pPr>
              <w:jc w:val="center"/>
              <w:ind w:right="220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5,697,683</w:t>
            </w: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5,150,352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tcBorders>
              <w:bottom w:val="single" w:sz="8" w:color="CCEEFF"/>
            </w:tcBorders>
            <w:shd w:val="clear" w:color="auto" w:fill="CCEEFF"/>
          </w:tcPr>
          <w:p>
            <w:pPr>
              <w:spacing w:after="0"/>
              <w:rPr>
                <w:sz w:val="11"/>
                <w:szCs w:val="11"/>
                <w:color w:val="auto"/>
              </w:rPr>
            </w:pPr>
          </w:p>
        </w:tc>
        <w:tc>
          <w:tcPr>
            <w:tcW w:w="3140" w:type="dxa"/>
            <w:vAlign w:val="bottom"/>
            <w:tcBorders>
              <w:bottom w:val="single" w:sz="8" w:color="auto"/>
            </w:tcBorders>
            <w:gridSpan w:val="3"/>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281,522</w:t>
            </w:r>
          </w:p>
        </w:tc>
        <w:tc>
          <w:tcPr>
            <w:tcW w:w="2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274,045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168,398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Accrued promotional allowances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200,668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166,761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45,538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44,237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45,555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32,082</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14,717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5"/>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773,763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661,097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268,281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287,469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26,318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30,505</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 (Note 12)</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20" w:type="dxa"/>
            <w:vAlign w:val="bottom"/>
            <w:gridSpan w:val="5"/>
          </w:tcPr>
          <w:p>
            <w:pPr>
              <w:spacing w:after="0" w:line="126" w:lineRule="exact"/>
              <w:rPr>
                <w:sz w:val="20"/>
                <w:szCs w:val="20"/>
                <w:color w:val="auto"/>
              </w:rPr>
            </w:pPr>
            <w:r>
              <w:rPr>
                <w:rFonts w:ascii="Times New Roman" w:cs="Times New Roman" w:eastAsia="Times New Roman" w:hAnsi="Times New Roman"/>
                <w:sz w:val="14"/>
                <w:szCs w:val="14"/>
                <w:color w:val="auto"/>
              </w:rPr>
              <w:t>Common stock - $0.005 par value; 1,250,000 shares authorized; 638,458 shares issued and 527,893 shares outstanding as</w:t>
            </w: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3,192</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of September 30, 2020; 636,460 shares issued and 536,698 shares outstanding as of December 31, 2019</w:t>
            </w: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4,513,743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4,397,511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5,960,338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5,022,480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(32,529)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(32,387)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20" w:type="dxa"/>
            <w:vAlign w:val="bottom"/>
            <w:gridSpan w:val="5"/>
          </w:tcPr>
          <w:p>
            <w:pPr>
              <w:spacing w:after="0" w:line="126" w:lineRule="exact"/>
              <w:rPr>
                <w:sz w:val="20"/>
                <w:szCs w:val="20"/>
                <w:color w:val="auto"/>
              </w:rPr>
            </w:pPr>
            <w:r>
              <w:rPr>
                <w:rFonts w:ascii="Times New Roman" w:cs="Times New Roman" w:eastAsia="Times New Roman" w:hAnsi="Times New Roman"/>
                <w:sz w:val="14"/>
                <w:szCs w:val="14"/>
                <w:color w:val="auto"/>
              </w:rPr>
              <w:t>Common stock in treasury, at cost; 110,565 shares and 99,762 shares as of September 30, 2020 and December 31, 2019,</w:t>
            </w:r>
          </w:p>
        </w:tc>
        <w:tc>
          <w:tcPr>
            <w:tcW w:w="100" w:type="dxa"/>
            <w:vAlign w:val="bottom"/>
          </w:tcPr>
          <w:p>
            <w:pPr>
              <w:spacing w:after="0"/>
              <w:rPr>
                <w:sz w:val="10"/>
                <w:szCs w:val="10"/>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(5,815,423)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(5,219,505)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top w:val="single" w:sz="8" w:color="CCEEFF"/>
            </w:tcBorders>
            <w:gridSpan w:val="5"/>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4,629,321</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4,171,281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340" w:type="dxa"/>
            <w:vAlign w:val="bottom"/>
            <w:gridSpan w:val="4"/>
          </w:tcPr>
          <w:p>
            <w:pPr>
              <w:jc w:val="center"/>
              <w:ind w:right="220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5,697,683</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5,150,352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800"/>
        <w:spacing w:after="0" w:line="278" w:lineRule="auto"/>
        <w:rPr>
          <w:sz w:val="20"/>
          <w:szCs w:val="20"/>
          <w:color w:val="auto"/>
        </w:rPr>
      </w:pPr>
      <w:r>
        <w:rPr>
          <w:rFonts w:ascii="Times New Roman" w:cs="Times New Roman" w:eastAsia="Times New Roman" w:hAnsi="Times New Roman"/>
          <w:sz w:val="17"/>
          <w:szCs w:val="17"/>
          <w:b w:val="1"/>
          <w:bCs w:val="1"/>
          <w:color w:val="auto"/>
        </w:rPr>
        <w:t>MONSTER BEVERAGE CORPORATION AND SUBSIDIARIES CONDENSED CONSOLIDATED STATEMENTS OF INCOME</w:t>
      </w:r>
    </w:p>
    <w:p>
      <w:pPr>
        <w:spacing w:after="0" w:line="1" w:lineRule="exact"/>
        <w:rPr>
          <w:sz w:val="20"/>
          <w:szCs w:val="20"/>
          <w:color w:val="auto"/>
        </w:rPr>
      </w:pPr>
    </w:p>
    <w:p>
      <w:pPr>
        <w:ind w:right="3240"/>
        <w:spacing w:after="0" w:line="260" w:lineRule="auto"/>
        <w:rPr>
          <w:sz w:val="20"/>
          <w:szCs w:val="20"/>
          <w:color w:val="auto"/>
        </w:rPr>
      </w:pPr>
      <w:r>
        <w:rPr>
          <w:rFonts w:ascii="Times New Roman" w:cs="Times New Roman" w:eastAsia="Times New Roman" w:hAnsi="Times New Roman"/>
          <w:sz w:val="18"/>
          <w:szCs w:val="18"/>
          <w:b w:val="1"/>
          <w:bCs w:val="1"/>
          <w:color w:val="auto"/>
        </w:rPr>
        <w:t>FOR THE THREE- AND NINE-MONTHS ENDED SEPTEMBER 30, 2020 AND 2019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120" w:type="dxa"/>
            <w:vAlign w:val="bottom"/>
          </w:tcPr>
          <w:p>
            <w:pPr>
              <w:spacing w:after="0"/>
              <w:rPr>
                <w:sz w:val="18"/>
                <w:szCs w:val="18"/>
                <w:color w:val="auto"/>
              </w:rPr>
            </w:pPr>
          </w:p>
        </w:tc>
        <w:tc>
          <w:tcPr>
            <w:tcW w:w="186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0"/>
                <w:szCs w:val="20"/>
                <w:color w:val="auto"/>
              </w:rPr>
            </w:pPr>
          </w:p>
        </w:tc>
        <w:tc>
          <w:tcPr>
            <w:tcW w:w="186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1,246,362</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1,133,577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3,402,355</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3,183,613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509,831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460,575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1,369,160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1,275,796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736,531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2,033,195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1,907,817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277,559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802,343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821,923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458,601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1,230,852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1,085,894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INCOME,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(4,568)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454,033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1,225,361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1,094,729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106,379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347,654</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937,858</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top w:val="single" w:sz="8" w:color="CCEEFF"/>
              <w:bottom w:val="single" w:sz="8" w:color="CCEEFF"/>
            </w:tcBorders>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OF COMMON STOCK</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COMMON STOCK EQUIVALENTS:</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527,637</w:t>
            </w:r>
          </w:p>
        </w:tc>
        <w:tc>
          <w:tcPr>
            <w:tcW w:w="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544,469</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530,194</w:t>
            </w: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533,263</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548,422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535,011</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548,387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MONSTER BEVERAGE CORPORATION AND SUBSIDIARIES</w:t>
      </w:r>
    </w:p>
    <w:p>
      <w:pPr>
        <w:spacing w:after="0" w:line="31" w:lineRule="exact"/>
        <w:rPr>
          <w:sz w:val="20"/>
          <w:szCs w:val="20"/>
          <w:color w:val="auto"/>
        </w:rPr>
      </w:pPr>
    </w:p>
    <w:p>
      <w:pPr>
        <w:jc w:val="both"/>
        <w:ind w:right="3240"/>
        <w:spacing w:after="0" w:line="255" w:lineRule="auto"/>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FOR THE THREE- AND NINE-MONTHS ENDED SEPTEMBER 30, 2020 AND 2019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9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Nine-Months Ended</w:t>
            </w:r>
          </w:p>
        </w:tc>
      </w:tr>
      <w:tr>
        <w:trPr>
          <w:trHeight w:val="238"/>
        </w:trPr>
        <w:tc>
          <w:tcPr>
            <w:tcW w:w="6280" w:type="dxa"/>
            <w:vAlign w:val="bottom"/>
          </w:tcPr>
          <w:p>
            <w:pPr>
              <w:spacing w:after="0"/>
              <w:rPr>
                <w:sz w:val="20"/>
                <w:szCs w:val="20"/>
                <w:color w:val="auto"/>
              </w:rPr>
            </w:pPr>
          </w:p>
        </w:tc>
        <w:tc>
          <w:tcPr>
            <w:tcW w:w="196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6280" w:type="dxa"/>
            <w:vAlign w:val="bottom"/>
          </w:tcPr>
          <w:p>
            <w:pPr>
              <w:spacing w:after="0"/>
              <w:rPr>
                <w:sz w:val="18"/>
                <w:szCs w:val="18"/>
                <w:color w:val="auto"/>
              </w:rPr>
            </w:pPr>
          </w:p>
        </w:tc>
        <w:tc>
          <w:tcPr>
            <w:tcW w:w="7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9"/>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$ 347,654</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$ 298,923</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$ 937,858</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$ 852,881</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(14,359)</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w:t>
            </w: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net unrealized gains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adjustment for net gains included in net income</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available-for-sale investments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09"/>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20,909</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(14,327)</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(10,219)</w:t>
            </w:r>
          </w:p>
        </w:tc>
      </w:tr>
      <w:tr>
        <w:trPr>
          <w:trHeight w:val="209"/>
        </w:trPr>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$ 368,563</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$ 284,596</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$ 937,716</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$ 842,662</w:t>
            </w:r>
          </w:p>
        </w:tc>
      </w:tr>
      <w:tr>
        <w:trPr>
          <w:trHeight w:val="20"/>
        </w:trPr>
        <w:tc>
          <w:tcPr>
            <w:tcW w:w="6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MONSTER BEVERAGE CORPORATION AND SUBSIDIARIES</w:t>
      </w:r>
    </w:p>
    <w:p>
      <w:pPr>
        <w:spacing w:after="0" w:line="6" w:lineRule="exact"/>
        <w:rPr>
          <w:sz w:val="20"/>
          <w:szCs w:val="20"/>
          <w:color w:val="auto"/>
        </w:rPr>
      </w:pPr>
    </w:p>
    <w:p>
      <w:pPr>
        <w:ind w:right="3240"/>
        <w:spacing w:after="0" w:line="228"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FOR THE THREE- AND NINE-MONTHS ENDED SEPTEMBER 30, 2020 AND 2019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5"/>
        </w:trPr>
        <w:tc>
          <w:tcPr>
            <w:tcW w:w="2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55"/>
        </w:trPr>
        <w:tc>
          <w:tcPr>
            <w:tcW w:w="2700" w:type="dxa"/>
            <w:vAlign w:val="bottom"/>
          </w:tcPr>
          <w:p>
            <w:pPr>
              <w:spacing w:after="0"/>
              <w:rPr>
                <w:sz w:val="13"/>
                <w:szCs w:val="13"/>
                <w:color w:val="auto"/>
              </w:rPr>
            </w:pPr>
          </w:p>
        </w:tc>
        <w:tc>
          <w:tcPr>
            <w:tcW w:w="1620" w:type="dxa"/>
            <w:vAlign w:val="bottom"/>
            <w:gridSpan w:val="4"/>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76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28"/>
        </w:trPr>
        <w:tc>
          <w:tcPr>
            <w:tcW w:w="2700" w:type="dxa"/>
            <w:vAlign w:val="bottom"/>
          </w:tcPr>
          <w:p>
            <w:pPr>
              <w:spacing w:after="0"/>
              <w:rPr>
                <w:sz w:val="11"/>
                <w:szCs w:val="11"/>
                <w:color w:val="auto"/>
              </w:rPr>
            </w:pPr>
          </w:p>
        </w:tc>
        <w:tc>
          <w:tcPr>
            <w:tcW w:w="72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4"/>
              </w:rPr>
              <w:t>Paid-in Capital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840" w:type="dxa"/>
            <w:vAlign w:val="bottom"/>
            <w:tcBorders>
              <w:top w:val="single" w:sz="8" w:color="auto"/>
            </w:tcBorders>
            <w:gridSpan w:val="2"/>
          </w:tcPr>
          <w:p>
            <w:pPr>
              <w:jc w:val="right"/>
              <w:ind w:right="3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28"/>
        </w:trPr>
        <w:tc>
          <w:tcPr>
            <w:tcW w:w="27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2019</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636,460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3,182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4,397,511</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5,022,480</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(32,387)</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(99,762)</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(5,219,505)</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4,171,281</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17,098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17,098</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13,971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13,975</w:t>
            </w:r>
          </w:p>
        </w:tc>
      </w:tr>
      <w:tr>
        <w:trPr>
          <w:trHeight w:val="117"/>
        </w:trPr>
        <w:tc>
          <w:tcPr>
            <w:tcW w:w="27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Unrealized gain, net on available-for-sale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2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(10,503)</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(579,948)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(579,948)</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(30,599)</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(30,599)</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278,835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278,835</w:t>
            </w:r>
          </w:p>
        </w:tc>
      </w:tr>
      <w:tr>
        <w:trPr>
          <w:trHeight w:val="128"/>
        </w:trPr>
        <w:tc>
          <w:tcPr>
            <w:tcW w:w="27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March 31, 2020</w:t>
            </w: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637,104</w:t>
            </w:r>
          </w:p>
        </w:tc>
        <w:tc>
          <w:tcPr>
            <w:tcW w:w="120" w:type="dxa"/>
            <w:vAlign w:val="bottom"/>
          </w:tcPr>
          <w:p>
            <w:pPr>
              <w:spacing w:after="0"/>
              <w:rPr>
                <w:sz w:val="11"/>
                <w:szCs w:val="11"/>
                <w:color w:val="auto"/>
              </w:rPr>
            </w:pPr>
          </w:p>
        </w:tc>
        <w:tc>
          <w:tcPr>
            <w:tcW w:w="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3,186</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4,428,580</w:t>
            </w:r>
          </w:p>
        </w:tc>
        <w:tc>
          <w:tcPr>
            <w:tcW w:w="14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5,301,315</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(62,682)</w:t>
            </w:r>
          </w:p>
        </w:tc>
        <w:tc>
          <w:tcPr>
            <w:tcW w:w="14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(110,265)</w:t>
            </w:r>
          </w:p>
        </w:tc>
        <w:tc>
          <w:tcPr>
            <w:tcW w:w="140" w:type="dxa"/>
            <w:vAlign w:val="bottom"/>
          </w:tcPr>
          <w:p>
            <w:pPr>
              <w:spacing w:after="0"/>
              <w:rPr>
                <w:sz w:val="11"/>
                <w:szCs w:val="11"/>
                <w:color w:val="auto"/>
              </w:rPr>
            </w:pPr>
          </w:p>
        </w:tc>
        <w:tc>
          <w:tcPr>
            <w:tcW w:w="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(5,799,453)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3,870,946</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15,936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15,936</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29,863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29,867</w:t>
            </w:r>
          </w:p>
        </w:tc>
      </w:tr>
      <w:tr>
        <w:trPr>
          <w:trHeight w:val="117"/>
        </w:trPr>
        <w:tc>
          <w:tcPr>
            <w:tcW w:w="27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Unrealized gain, net on available-for-sale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securities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(298)</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(15,822)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(15,822)</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9,044</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9,044</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311,369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311,369</w:t>
            </w:r>
          </w:p>
        </w:tc>
      </w:tr>
      <w:tr>
        <w:trPr>
          <w:trHeight w:val="128"/>
        </w:trPr>
        <w:tc>
          <w:tcPr>
            <w:tcW w:w="27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June 30, 2020</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637,924</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3,190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4,474,379</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5,612,684</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(53,438)</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(110,563)</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(5,815,275)</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4,221,540</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17,668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17,668</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21,696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21,698</w:t>
            </w:r>
          </w:p>
        </w:tc>
      </w:tr>
      <w:tr>
        <w:trPr>
          <w:trHeight w:val="117"/>
        </w:trPr>
        <w:tc>
          <w:tcPr>
            <w:tcW w:w="27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Unrealized loss, net on available-for-sale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2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(308)</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(148)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(148)</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21,217</w:t>
            </w:r>
          </w:p>
        </w:tc>
        <w:tc>
          <w:tcPr>
            <w:tcW w:w="14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21,217</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347,654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347,654</w:t>
            </w:r>
          </w:p>
        </w:tc>
      </w:tr>
      <w:tr>
        <w:trPr>
          <w:trHeight w:val="128"/>
        </w:trPr>
        <w:tc>
          <w:tcPr>
            <w:tcW w:w="27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September 30, 2020</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638,458</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3,192</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4,513,743</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5,960,338</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(32,529)</w:t>
            </w:r>
          </w:p>
        </w:tc>
        <w:tc>
          <w:tcPr>
            <w:tcW w:w="1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(110,565)</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(5,815,423)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4,629,321</w:t>
            </w:r>
          </w:p>
        </w:tc>
      </w:tr>
      <w:tr>
        <w:trPr>
          <w:trHeight w:val="20"/>
        </w:trPr>
        <w:tc>
          <w:tcPr>
            <w:tcW w:w="2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25"/>
        </w:trPr>
        <w:tc>
          <w:tcPr>
            <w:tcW w:w="2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35"/>
        </w:trPr>
        <w:tc>
          <w:tcPr>
            <w:tcW w:w="2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55"/>
        </w:trPr>
        <w:tc>
          <w:tcPr>
            <w:tcW w:w="2700" w:type="dxa"/>
            <w:vAlign w:val="bottom"/>
          </w:tcPr>
          <w:p>
            <w:pPr>
              <w:spacing w:after="0"/>
              <w:rPr>
                <w:sz w:val="13"/>
                <w:szCs w:val="13"/>
                <w:color w:val="auto"/>
              </w:rPr>
            </w:pPr>
          </w:p>
        </w:tc>
        <w:tc>
          <w:tcPr>
            <w:tcW w:w="1620" w:type="dxa"/>
            <w:vAlign w:val="bottom"/>
            <w:gridSpan w:val="4"/>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76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29"/>
        </w:trPr>
        <w:tc>
          <w:tcPr>
            <w:tcW w:w="2700" w:type="dxa"/>
            <w:vAlign w:val="bottom"/>
          </w:tcPr>
          <w:p>
            <w:pPr>
              <w:spacing w:after="0"/>
              <w:rPr>
                <w:sz w:val="11"/>
                <w:szCs w:val="11"/>
                <w:color w:val="auto"/>
              </w:rPr>
            </w:pPr>
          </w:p>
        </w:tc>
        <w:tc>
          <w:tcPr>
            <w:tcW w:w="72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4"/>
              </w:rPr>
              <w:t>Paid-in Capital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840" w:type="dxa"/>
            <w:vAlign w:val="bottom"/>
            <w:tcBorders>
              <w:top w:val="single" w:sz="8" w:color="auto"/>
            </w:tcBorders>
            <w:gridSpan w:val="2"/>
          </w:tcPr>
          <w:p>
            <w:pPr>
              <w:jc w:val="right"/>
              <w:ind w:right="3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28"/>
        </w:trPr>
        <w:tc>
          <w:tcPr>
            <w:tcW w:w="27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2018</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630,970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3,155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4,238,170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3,914,645</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(32,864)</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(87,294)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(4,512,205)</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3,610,901</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15,324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15,324</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3,871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35,144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35,163</w:t>
            </w:r>
          </w:p>
        </w:tc>
      </w:tr>
      <w:tr>
        <w:trPr>
          <w:trHeight w:val="117"/>
        </w:trPr>
        <w:tc>
          <w:tcPr>
            <w:tcW w:w="27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Unrealized gain, net on available-for-sale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2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(4,000)</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(222,792)</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(222,792)</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(1,381)</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(1,381)</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261,485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261,485</w:t>
            </w:r>
          </w:p>
        </w:tc>
      </w:tr>
      <w:tr>
        <w:trPr>
          <w:trHeight w:val="128"/>
        </w:trPr>
        <w:tc>
          <w:tcPr>
            <w:tcW w:w="27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March 31, 2019</w:t>
            </w: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634,841</w:t>
            </w:r>
          </w:p>
        </w:tc>
        <w:tc>
          <w:tcPr>
            <w:tcW w:w="120" w:type="dxa"/>
            <w:vAlign w:val="bottom"/>
          </w:tcPr>
          <w:p>
            <w:pPr>
              <w:spacing w:after="0"/>
              <w:rPr>
                <w:sz w:val="11"/>
                <w:szCs w:val="11"/>
                <w:color w:val="auto"/>
              </w:rPr>
            </w:pPr>
          </w:p>
        </w:tc>
        <w:tc>
          <w:tcPr>
            <w:tcW w:w="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3,174</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4,288,638</w:t>
            </w:r>
          </w:p>
        </w:tc>
        <w:tc>
          <w:tcPr>
            <w:tcW w:w="14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4,176,130</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(34,125)</w:t>
            </w:r>
          </w:p>
        </w:tc>
        <w:tc>
          <w:tcPr>
            <w:tcW w:w="14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(91,294)</w:t>
            </w:r>
          </w:p>
        </w:tc>
        <w:tc>
          <w:tcPr>
            <w:tcW w:w="140" w:type="dxa"/>
            <w:vAlign w:val="bottom"/>
          </w:tcPr>
          <w:p>
            <w:pPr>
              <w:spacing w:after="0"/>
              <w:rPr>
                <w:sz w:val="11"/>
                <w:szCs w:val="11"/>
                <w:color w:val="auto"/>
              </w:rPr>
            </w:pPr>
          </w:p>
        </w:tc>
        <w:tc>
          <w:tcPr>
            <w:tcW w:w="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(4,734,997)</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3,698,820</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15,575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15,575</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45,964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45,970</w:t>
            </w:r>
          </w:p>
        </w:tc>
      </w:tr>
      <w:tr>
        <w:trPr>
          <w:trHeight w:val="117"/>
        </w:trPr>
        <w:tc>
          <w:tcPr>
            <w:tcW w:w="27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Unrealized gain, net on available-for-sale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securities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(621)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(621)</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5,154</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5,154</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292,473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292,473</w:t>
            </w:r>
          </w:p>
        </w:tc>
      </w:tr>
      <w:tr>
        <w:trPr>
          <w:trHeight w:val="129"/>
        </w:trPr>
        <w:tc>
          <w:tcPr>
            <w:tcW w:w="27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June 30, 2019</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636,129</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3,180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4,350,177</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4,468,603</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(28,756)</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(91,304)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(4,735,618)</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4,057,586</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15,991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15,991</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4,112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4,113</w:t>
            </w:r>
          </w:p>
        </w:tc>
      </w:tr>
      <w:tr>
        <w:trPr>
          <w:trHeight w:val="117"/>
        </w:trPr>
        <w:tc>
          <w:tcPr>
            <w:tcW w:w="27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Unrealized gain, net on available-for-sale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2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(4,340)</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(254,308)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(254,308)</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(14,359)</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(14,359)</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298,923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298,923</w:t>
            </w:r>
          </w:p>
        </w:tc>
      </w:tr>
      <w:tr>
        <w:trPr>
          <w:trHeight w:val="129"/>
        </w:trPr>
        <w:tc>
          <w:tcPr>
            <w:tcW w:w="27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September 30, 2019</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636,235</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3,181</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4,370,280</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4,767,526</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(43,083)</w:t>
            </w:r>
          </w:p>
        </w:tc>
        <w:tc>
          <w:tcPr>
            <w:tcW w:w="1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(95,644)</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(4,989,926)</w:t>
            </w: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4,107,978</w:t>
            </w:r>
          </w:p>
        </w:tc>
      </w:tr>
      <w:tr>
        <w:trPr>
          <w:trHeight w:val="20"/>
        </w:trPr>
        <w:tc>
          <w:tcPr>
            <w:tcW w:w="2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400"/>
        <w:spacing w:after="0" w:line="237" w:lineRule="auto"/>
        <w:rPr>
          <w:sz w:val="20"/>
          <w:szCs w:val="20"/>
          <w:color w:val="auto"/>
        </w:rPr>
      </w:pPr>
      <w:r>
        <w:rPr>
          <w:rFonts w:ascii="Times New Roman" w:cs="Times New Roman" w:eastAsia="Times New Roman" w:hAnsi="Times New Roman"/>
          <w:sz w:val="18"/>
          <w:szCs w:val="18"/>
          <w:b w:val="1"/>
          <w:bCs w:val="1"/>
          <w:color w:val="auto"/>
        </w:rPr>
        <w:t>MONSTER BEVERAGE CORPORATION AND SUBSIDIARIES CONDENSED CONSOLIDATED STATEMENTS OF CASH FLOWS FOR THE NINE-MONTHS ENDED SEPTEMBER 30, 2020 AND 2019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Nine-Months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720" w:type="dxa"/>
            <w:vAlign w:val="bottom"/>
            <w:gridSpan w:val="2"/>
          </w:tcPr>
          <w:p>
            <w:pPr>
              <w:jc w:val="right"/>
              <w:ind w:right="1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937,858</w:t>
            </w:r>
          </w:p>
        </w:tc>
        <w:tc>
          <w:tcPr>
            <w:tcW w:w="100" w:type="dxa"/>
            <w:vAlign w:val="bottom"/>
          </w:tcPr>
          <w:p>
            <w:pPr>
              <w:spacing w:after="0"/>
              <w:rPr>
                <w:sz w:val="12"/>
                <w:szCs w:val="12"/>
                <w:color w:val="auto"/>
              </w:rPr>
            </w:pPr>
          </w:p>
        </w:tc>
        <w:tc>
          <w:tcPr>
            <w:tcW w:w="3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852,881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45,879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Gain on disposal of property and equipment</w:t>
            </w:r>
          </w:p>
        </w:tc>
        <w:tc>
          <w:tcPr>
            <w:tcW w:w="1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Impairment of intangibles</w:t>
            </w: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53,042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46,890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w:t>
            </w:r>
          </w:p>
        </w:tc>
        <w:tc>
          <w:tcPr>
            <w:tcW w:w="1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(201,677)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(179,838)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Distributor receivables</w:t>
            </w:r>
          </w:p>
        </w:tc>
        <w:tc>
          <w:tcPr>
            <w:tcW w:w="1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39,490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(44,947)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(20,446)</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Prepaid income taxes</w:t>
            </w: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11,460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(9,724)</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69,480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Accrued promotional allowances</w:t>
            </w:r>
          </w:p>
        </w:tc>
        <w:tc>
          <w:tcPr>
            <w:tcW w:w="1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55,799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Accrued distributor terminations</w:t>
            </w: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1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(1,214)</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(562)</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(15,236)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Borders>
              <w:top w:val="single" w:sz="8" w:color="CCEEFF"/>
            </w:tcBorders>
            <w:shd w:val="clear" w:color="auto" w:fill="CCEEFF"/>
          </w:tcPr>
          <w:p>
            <w:pPr>
              <w:ind w:left="5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949,236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821,069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Sales of available-for-sale investments</w:t>
            </w: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795,858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558,128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available-for-sale investments</w:t>
            </w:r>
          </w:p>
        </w:tc>
        <w:tc>
          <w:tcPr>
            <w:tcW w:w="1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(849,276)</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(835,964)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(42,062)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(44,392)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Additions to intangibles</w:t>
            </w: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(19,686)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 in other assets</w:t>
            </w:r>
          </w:p>
        </w:tc>
        <w:tc>
          <w:tcPr>
            <w:tcW w:w="1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(26,228)</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ind w:left="5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4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(140,514)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(328,185)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on debt</w:t>
            </w:r>
          </w:p>
        </w:tc>
        <w:tc>
          <w:tcPr>
            <w:tcW w:w="1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65,540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85,245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common stock held in treasury</w:t>
            </w:r>
          </w:p>
        </w:tc>
        <w:tc>
          <w:tcPr>
            <w:tcW w:w="1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(595,918)</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(477,721)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Borders>
              <w:bottom w:val="single" w:sz="8" w:color="CCEEFF"/>
            </w:tcBorders>
          </w:tcPr>
          <w:p>
            <w:pPr>
              <w:ind w:left="52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14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(532,878)</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(405,317)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(7,463)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INCREASE IN CASH AND CASH EQUIVALENTS</w:t>
            </w: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276,773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4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797,957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637,513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14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1,074,730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717,617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1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SUPPLEMENTAL INFORMATION:</w:t>
            </w: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during the period for:</w:t>
            </w:r>
          </w:p>
        </w:tc>
        <w:tc>
          <w:tcPr>
            <w:tcW w:w="1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1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1720" w:type="dxa"/>
            <w:vAlign w:val="bottom"/>
            <w:gridSpan w:val="2"/>
          </w:tcPr>
          <w:p>
            <w:pPr>
              <w:jc w:val="right"/>
              <w:ind w:right="1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3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20" w:type="dxa"/>
            <w:vAlign w:val="bottom"/>
            <w:tcBorders>
              <w:top w:val="single" w:sz="8" w:color="CCEEFF"/>
              <w:bottom w:val="single" w:sz="8" w:color="CCEEFF"/>
            </w:tcBorders>
            <w:shd w:val="clear" w:color="auto" w:fill="CCEEFF"/>
          </w:tcPr>
          <w:p>
            <w:pPr>
              <w:ind w:left="200"/>
              <w:spacing w:after="0" w:line="129" w:lineRule="exact"/>
              <w:rPr>
                <w:sz w:val="20"/>
                <w:szCs w:val="20"/>
                <w:color w:val="auto"/>
              </w:rPr>
            </w:pPr>
            <w:r>
              <w:rPr>
                <w:rFonts w:ascii="Times New Roman" w:cs="Times New Roman" w:eastAsia="Times New Roman" w:hAnsi="Times New Roman"/>
                <w:sz w:val="14"/>
                <w:szCs w:val="14"/>
                <w:color w:val="auto"/>
              </w:rPr>
              <w:t>Income taxes</w:t>
            </w:r>
          </w:p>
        </w:tc>
        <w:tc>
          <w:tcPr>
            <w:tcW w:w="146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257,563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226,883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400"/>
        <w:spacing w:after="0" w:line="262" w:lineRule="auto"/>
        <w:rPr>
          <w:sz w:val="20"/>
          <w:szCs w:val="20"/>
          <w:color w:val="auto"/>
        </w:rPr>
      </w:pPr>
      <w:r>
        <w:rPr>
          <w:rFonts w:ascii="Times New Roman" w:cs="Times New Roman" w:eastAsia="Times New Roman" w:hAnsi="Times New Roman"/>
          <w:sz w:val="18"/>
          <w:szCs w:val="18"/>
          <w:b w:val="1"/>
          <w:bCs w:val="1"/>
          <w:color w:val="auto"/>
        </w:rPr>
        <w:t>MONSTER BEVERAGE CORPORATION AND SUBSIDIARIES CONDENSED CONSOLIDATED STATEMENTS OF CASH FLOWS FOR THE NINE-MONTHS ENDED SEPTEMBER 30, 2020 AND 2019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 OF NON-CASH ITEMS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Included in accrued liabilities as of September 30, 2020 and 2019 were $14.3 million and $8.6 million, respectively, related to additions to other intangible assets.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Included in accounts payable as of September 30, 2020 and 2019 were available-for-sale short-term investment purchases of $20.3 million and $3.0 million,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the Notes to Consolidated Financial Statements, in Monster Beverage Corporation and Subsidiaries (the “Company”) Annual Report on Form 10-K for the year ended December 31, 2019 for a summary of significant accounting policies utilized by the Company and its consolidated subsidiaries and other disclosures, which should be read in conjunction with this Quarterly Report on Form 10-Q (“Form 10-Q”).</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nine-months ended September 30, 2020 and 2019,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80"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 not yet adopted</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Update (“ASU”) No. 2019-12, “Simplifying the Accounting for Income Taxes”, as part of its simplification initiative to reduce the cost and complexity in accounting for income taxes. ASU No. 2019-12 removes certain exceptions related to the approach for intra-period tax allocation, the methodology for calculating income taxes in an interim period and the recognition of deferred tax liabilities for outside basis differences. ASU No. 2019-12 also amends other aspects of the guidance to help simplify and promote consistent application of GAAP. The guidance is effective for interim and annual periods beginning after December 15, 2020, with early adoption permitted. The Company is currently evaluating the impact of ASU No. 2019-12 on its financial position, results of operations and liquidity.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pronouncements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2018, the FASB issued ASU No. 2018-15, “Intangibles–Goodwill and Other–Internal–Use Software (Topic 350): Customer’s Accounting for Implementation Costs Incurred in a Cloud Computing Arrangement That is a Service Contract.” ASU No. 2018-15 aligns the requirements for capitalizing implementation costs incurred in a hosting arrangement that is a service contract, with the requirements for capitalizing implementation costs incurred to develop or obtain internal-use software. ASU No. 2018-15 was effective for the Company on a prospective or retrospective basis beginning on January 1, 2020. The adoption of ASU No. 2018-15 did not have a material impact on the Company’s financial position, results of operations and liquidity.</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August 2018, the FASB issued ASU No. 2018-14, “Compensation–Retirement Benefits–Defined Benefit Plans–General (Topic 715): Disclosure Framework–Changes to the Disclosure Requirements for Defined Benefit Plans.” ASU No. 2018-14 removes certain disclosures that are not considered cost beneficial, clarifies certain required disclosures and requires certain additional disclosures. ASU No. 2018-14 is effective for the Company on a retrospective basis beginning in the year ending December 31, 2020. The adoption of ASU No. 2018-14 did not have a material impact on the Company’s financial position, results of operations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2018, the FASB issued ASU No. 2018-13, “Fair Value Measurement (Topic 820): Disclosure Framework - Changes to the Disclosure Requirements for Fair Value Measurement.” ASU No. 2018-13 removes certain disclosure requirements related to the fair value hierarchy, modifies existing disclosure requirements related to measurement uncertainty and adds new disclosure requirements. ASU No. 2018-13 disclosure requirements include disclosing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No. 2018-13 was effective for the Company beginning on January 1, 2020. Certain disclosures in the new guidance will need to be applied on a retrospective basis and others on a prospective basis. The adoption of ASU No. 2018-13 did not have a material impact on the Company’s financial position, results of operations and liquidity.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No. 2017-04, “Intangibles and Other (Topic 350): Simplifying the Test for Goodwill Impairment”, which eliminates the requirement to calculate the implied fair value of goodwill, but rather requires an entity to record an impairment charge based on the excess of a reporting unit’s carrying value over its fair value. This amendment is effective for annual or interim goodwill impairment tests in fiscal years beginning after December 15, 2019. The adoption of ASU No. 2017-04 did not have a material impact on the Company’s financial position, results of operations and liquidity.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was effective for fiscal years, and interim periods within those years, beginning after December 15, 2019. The adoption of ASU No. 2016-13 did not have a material impact on the Company’s disclosures, financial position, results of operations and liquidity.</w:t>
      </w:r>
    </w:p>
    <w:p>
      <w:pPr>
        <w:spacing w:after="0" w:line="183"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three operating and reportable segments: (i) Monster Energy® Drinks segment (“Monster Energy® Drinks”), which is primarily comprised of the Company’s Monster Energy® drinks and Reign Total Body Fuel® high performance energy drinks</w:t>
      </w:r>
    </w:p>
    <w:p>
      <w:pPr>
        <w:jc w:val="both"/>
        <w:ind w:firstLine="8"/>
        <w:spacing w:after="0" w:line="253" w:lineRule="auto"/>
        <w:tabs>
          <w:tab w:leader="none" w:pos="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Brands segment (“Strategic Brands”), which is primarily comprised of the various energy drink brands acquired from The Coca-Cola Company (“TCCC”) in 2015 as well as the Company’s affordable energy brands, and (iii) Other segment (“Other”), which is comprised of certain products sold by American Fruits and Flavors, LLC, a wholly-owned subsidiary of the Company, to independent third-party customers (the “AFF Third-Party Products”).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Monster Energy® Drinks segment generates net operating revenues by selling ready-to-drink packaged energy drinks primarily to bottlers and full service beverage bottlers/distributors (“bottlers/distributors”). In some cases, the Company sells directly to retail grocery and specialty chains, wholesalers, club stores, mass merchandisers, convenience chains, drug stores, foodservice customers, value stores, e-commerce retailers and the military.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September 30, 2020 and December 31, 2019.</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excludes from revenues all taxes assessed by a governmental authority that are imposed on the sale of its products and collected from customers.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Distribution expenses to transport the Company’s products, where applicable, and warehousing expense after manufacture are accounted for within operating expenses.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Promotional and other allowances (variable consideration) recorded as a reduction to net sales, primarily include consideration given to the Company’s bottlers/distributors or retail customers including, but not limited to the following:</w:t>
      </w:r>
    </w:p>
    <w:p>
      <w:pPr>
        <w:spacing w:after="0" w:line="162" w:lineRule="exact"/>
        <w:rPr>
          <w:sz w:val="20"/>
          <w:szCs w:val="20"/>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granted off list prices to support price promotions to end-consumers by retailers;</w:t>
      </w:r>
    </w:p>
    <w:p>
      <w:pPr>
        <w:spacing w:after="0" w:line="27" w:lineRule="exact"/>
        <w:rPr>
          <w:rFonts w:ascii="Times New Roman" w:cs="Times New Roman" w:eastAsia="Times New Roman" w:hAnsi="Times New Roman"/>
          <w:sz w:val="18"/>
          <w:szCs w:val="18"/>
          <w:color w:val="auto"/>
        </w:rPr>
      </w:pPr>
    </w:p>
    <w:p>
      <w:pPr>
        <w:ind w:left="1000" w:hanging="317"/>
        <w:spacing w:after="0" w:line="250"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reimbursements given to the Company’s bottlers/distributors for agreed portions of their promotional spend with retailers, including slotting, shelf space allowances and other fees for both new and existing products;</w:t>
      </w:r>
    </w:p>
    <w:p>
      <w:pPr>
        <w:ind w:left="1000" w:right="20" w:hanging="317"/>
        <w:spacing w:after="0" w:line="250"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agreed share of fees given to bottlers/distributors and/or directly to retailers for advertising, in-store marketing and promotional activities;</w:t>
      </w:r>
    </w:p>
    <w:p>
      <w:pPr>
        <w:ind w:left="1000" w:hanging="317"/>
        <w:spacing w:after="0" w:line="250"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agreed share of slotting, shelf space allowances and other fees given directly to retailers, club stores and/or wholesalers;</w:t>
      </w:r>
    </w:p>
    <w:p>
      <w:pPr>
        <w:ind w:left="1000" w:right="20" w:hanging="317"/>
        <w:spacing w:after="0" w:line="250"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incentives given to the Company’s bottlers/distributors and/or retailers for achieving or exceeding certain predetermined sales goals;</w:t>
      </w: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discounted or free products;</w:t>
      </w:r>
    </w:p>
    <w:p>
      <w:pPr>
        <w:spacing w:after="0" w:line="9" w:lineRule="exact"/>
        <w:rPr>
          <w:rFonts w:ascii="Times New Roman" w:cs="Times New Roman" w:eastAsia="Times New Roman" w:hAnsi="Times New Roman"/>
          <w:sz w:val="18"/>
          <w:szCs w:val="18"/>
          <w:color w:val="auto"/>
        </w:rPr>
      </w:pPr>
    </w:p>
    <w:p>
      <w:pPr>
        <w:ind w:left="1000" w:hanging="317"/>
        <w:spacing w:after="0" w:line="250"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fees given to the Company’s bottlers/distributors related to sales made directly by the Company to certain customers that fall within the bottlers’/distributors’ sales territories; and</w:t>
      </w:r>
    </w:p>
    <w:p>
      <w:pPr>
        <w:jc w:val="both"/>
        <w:ind w:left="1000" w:right="20" w:hanging="317"/>
        <w:spacing w:after="0" w:line="260"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to TCCC based on the Company’s sales to certain wholly-owned subsidiaries of TCCC (the “TCCC Subsidiaries”) and/or to certain companies accounted for under the equity method by TCCC (the “TCCC Related Parties”).</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Amounts received pursuant to new and/or amended distribution agreements entered into with certain bottlers/distributors relating to the costs associated with terminating the Company’s prior distributors, are accounted for as revenue ratably over the anticipated life of the respective distribution agreements, generally over 20 years.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also enters into license agreements that generate revenues associated with third-party sales of non-beverage products bearing the Company’s trademarks including, but not limited to, clothing, hats, t-shirts, jackets, helmets and automotive wheels.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that adequate provision has been made for cash discounts, returns and spoilage based on the Company’s historical experience.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disaggregate the Company’s revenue by geographical markets and reportable segments: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12"/>
          </w:tcPr>
          <w:p>
            <w:pPr>
              <w:ind w:left="100"/>
              <w:spacing w:after="0"/>
              <w:rPr>
                <w:sz w:val="20"/>
                <w:szCs w:val="20"/>
                <w:color w:val="auto"/>
              </w:rPr>
            </w:pPr>
            <w:r>
              <w:rPr>
                <w:rFonts w:ascii="Times New Roman" w:cs="Times New Roman" w:eastAsia="Times New Roman" w:hAnsi="Times New Roman"/>
                <w:sz w:val="18"/>
                <w:szCs w:val="18"/>
                <w:color w:val="auto"/>
              </w:rPr>
              <w:t>Three-Months Ended September 30, 2020</w:t>
            </w: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America</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 and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vMerge w:val="continue"/>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Caribbean</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786,960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206,947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1,163,420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74,324</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841,583</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226,139</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127,247</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51,393</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1,246,362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2"/>
          </w:tcPr>
          <w:p>
            <w:pPr>
              <w:ind w:left="80"/>
              <w:spacing w:after="0"/>
              <w:rPr>
                <w:sz w:val="20"/>
                <w:szCs w:val="20"/>
                <w:color w:val="auto"/>
              </w:rPr>
            </w:pPr>
            <w:r>
              <w:rPr>
                <w:rFonts w:ascii="Times New Roman" w:cs="Times New Roman" w:eastAsia="Times New Roman" w:hAnsi="Times New Roman"/>
                <w:sz w:val="18"/>
                <w:szCs w:val="18"/>
                <w:color w:val="auto"/>
              </w:rPr>
              <w:t>Three-Months Ended September 30, 2019</w:t>
            </w: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8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America</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U.S. and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and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Caribbean</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737,457</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178,569</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97,153</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48,205</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1,061,384</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66,333</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786,522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195,242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103,396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gridSpan w:val="3"/>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1,133,577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2"/>
          </w:tcPr>
          <w:p>
            <w:pPr>
              <w:jc w:val="center"/>
              <w:ind w:right="120"/>
              <w:spacing w:after="0"/>
              <w:rPr>
                <w:sz w:val="20"/>
                <w:szCs w:val="20"/>
                <w:color w:val="auto"/>
              </w:rPr>
            </w:pPr>
            <w:r>
              <w:rPr>
                <w:rFonts w:ascii="Times New Roman" w:cs="Times New Roman" w:eastAsia="Times New Roman" w:hAnsi="Times New Roman"/>
                <w:sz w:val="18"/>
                <w:szCs w:val="18"/>
                <w:color w:val="auto"/>
              </w:rPr>
              <w:t>Nine-Months Ended September 30, 2020</w:t>
            </w: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America</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 and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vMerge w:val="continue"/>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Caribbean</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2,223,925</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501,639</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319,325</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138,671</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3,183,560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125,030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198,428</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20,367</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20,367</w:t>
            </w:r>
          </w:p>
        </w:tc>
        <w:tc>
          <w:tcPr>
            <w:tcW w:w="0" w:type="dxa"/>
            <w:vAlign w:val="bottom"/>
          </w:tcPr>
          <w:p>
            <w:pPr>
              <w:spacing w:after="0"/>
              <w:rPr>
                <w:sz w:val="1"/>
                <w:szCs w:val="1"/>
                <w:color w:val="auto"/>
              </w:rPr>
            </w:pPr>
          </w:p>
        </w:tc>
      </w:tr>
      <w:tr>
        <w:trPr>
          <w:trHeight w:val="209"/>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2,369,322</w:t>
            </w:r>
          </w:p>
        </w:tc>
        <w:tc>
          <w:tcPr>
            <w:tcW w:w="40" w:type="dxa"/>
            <w:vAlign w:val="bottom"/>
            <w:tcBorders>
              <w:bottom w:val="single" w:sz="8" w:color="auto"/>
            </w:tcBorders>
          </w:tcPr>
          <w:p>
            <w:pPr>
              <w:spacing w:after="0"/>
              <w:rPr>
                <w:sz w:val="18"/>
                <w:szCs w:val="18"/>
                <w:color w:val="auto"/>
              </w:rPr>
            </w:pPr>
          </w:p>
        </w:tc>
        <w:tc>
          <w:tcPr>
            <w:tcW w:w="22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553,972</w:t>
            </w:r>
          </w:p>
        </w:tc>
        <w:tc>
          <w:tcPr>
            <w:tcW w:w="40" w:type="dxa"/>
            <w:vAlign w:val="bottom"/>
            <w:tcBorders>
              <w:bottom w:val="single" w:sz="8" w:color="auto"/>
            </w:tcBorders>
          </w:tcPr>
          <w:p>
            <w:pPr>
              <w:spacing w:after="0"/>
              <w:rPr>
                <w:sz w:val="18"/>
                <w:szCs w:val="18"/>
                <w:color w:val="auto"/>
              </w:rPr>
            </w:pPr>
          </w:p>
        </w:tc>
        <w:tc>
          <w:tcPr>
            <w:tcW w:w="220" w:type="dxa"/>
            <w:vAlign w:val="bottom"/>
            <w:gridSpan w:val="2"/>
          </w:tcPr>
          <w:p>
            <w:pPr>
              <w:spacing w:after="0"/>
              <w:rPr>
                <w:sz w:val="18"/>
                <w:szCs w:val="18"/>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336,486</w:t>
            </w:r>
          </w:p>
        </w:tc>
        <w:tc>
          <w:tcPr>
            <w:tcW w:w="40" w:type="dxa"/>
            <w:vAlign w:val="bottom"/>
            <w:tcBorders>
              <w:bottom w:val="single" w:sz="8" w:color="auto"/>
            </w:tcBorders>
          </w:tcPr>
          <w:p>
            <w:pPr>
              <w:spacing w:after="0"/>
              <w:rPr>
                <w:sz w:val="18"/>
                <w:szCs w:val="18"/>
                <w:color w:val="auto"/>
              </w:rPr>
            </w:pPr>
          </w:p>
        </w:tc>
        <w:tc>
          <w:tcPr>
            <w:tcW w:w="22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142,575</w:t>
            </w:r>
          </w:p>
        </w:tc>
        <w:tc>
          <w:tcPr>
            <w:tcW w:w="40" w:type="dxa"/>
            <w:vAlign w:val="bottom"/>
            <w:tcBorders>
              <w:bottom w:val="single" w:sz="8" w:color="auto"/>
            </w:tcBorders>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3,402,355</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2"/>
          </w:tcPr>
          <w:p>
            <w:pPr>
              <w:jc w:val="center"/>
              <w:ind w:right="120"/>
              <w:spacing w:after="0"/>
              <w:rPr>
                <w:sz w:val="20"/>
                <w:szCs w:val="20"/>
                <w:color w:val="auto"/>
              </w:rPr>
            </w:pPr>
            <w:r>
              <w:rPr>
                <w:rFonts w:ascii="Times New Roman" w:cs="Times New Roman" w:eastAsia="Times New Roman" w:hAnsi="Times New Roman"/>
                <w:sz w:val="18"/>
                <w:szCs w:val="18"/>
                <w:color w:val="auto"/>
              </w:rPr>
              <w:t>Nine-Months Ended September 30, 2019</w:t>
            </w: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America</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 and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vMerge w:val="continue"/>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Caribbean</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2,118,835</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458,655</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242,561</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130,826</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2,950,877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132,375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215,763</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2,268,183</w:t>
            </w:r>
          </w:p>
        </w:tc>
        <w:tc>
          <w:tcPr>
            <w:tcW w:w="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521,029</w:t>
            </w:r>
          </w:p>
        </w:tc>
        <w:tc>
          <w:tcPr>
            <w:tcW w:w="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262,585</w:t>
            </w:r>
          </w:p>
        </w:tc>
        <w:tc>
          <w:tcPr>
            <w:tcW w:w="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131,816</w:t>
            </w:r>
          </w:p>
        </w:tc>
        <w:tc>
          <w:tcPr>
            <w:tcW w:w="40" w:type="dxa"/>
            <w:vAlign w:val="bottom"/>
          </w:tcPr>
          <w:p>
            <w:pPr>
              <w:spacing w:after="0"/>
              <w:rPr>
                <w:sz w:val="18"/>
                <w:szCs w:val="18"/>
                <w:color w:val="auto"/>
              </w:rPr>
            </w:pPr>
          </w:p>
        </w:tc>
        <w:tc>
          <w:tcPr>
            <w:tcW w:w="240" w:type="dxa"/>
            <w:vAlign w:val="bottom"/>
            <w:gridSpan w:val="3"/>
          </w:tcPr>
          <w:p>
            <w:pPr>
              <w:spacing w:after="0"/>
              <w:rPr>
                <w:sz w:val="18"/>
                <w:szCs w:val="18"/>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3,183,613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Europe, Middle East and Africa (“EMEA”)</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Liabilities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Amounts received from certain bottlers/distributors at inception of their distribution contracts or at the inception of certain sales/marketing programs are accounted for as deferred revenue. As of September 30, 2020, the Company had $313.8 million of deferred revenue, which is included in current and long-term deferred revenue in the Company’s condensed consolidated balance sheet. As of December 31, 2019, the Company had $331.7 million of deferred revenue, which is included in current and long-term deferred revenue in the Company’s condensed consolidated balance sheet. During the three-months ended September 30, 2020 and 2019, $10.5 million and $10.7 million, respectively, of deferred revenue was recognized in net sales. See Note 11. During the nine-months ended September 30, 2020 and 2019, $31.6 million and $35.6 million, respectively, of deferred revenue was recognized in net sales. See Note 11.</w:t>
      </w:r>
    </w:p>
    <w:p>
      <w:pPr>
        <w:spacing w:after="0" w:line="18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leases identified assets comprising real estate and equipment. Real estate leases consist primarily of office and warehouse space and equipment leases consist of vehicles and warehouse equipment. At the inception of a contract, the Company assesses whether the contract is, or contains, a lease. The Company’s assessment is based on: (1) whether the contract involves the use of a distinct identified asset, (2) whether the Company obtains the right to substantially all the economic benefit from the use of the asset throughout the term, and (3) whether the Company has the right to direct the use of the asset. At inception of a lease, the Company allocates the consideration in the contract to each lease and non-lease component based on the component’s relative stand-alone price to determine the lease payments. Lease and non-lease components are accounted for separately.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Leases are classified as either finance leases or operating leases based on criteria in Accounting Standards Codification (“ASC”)</w:t>
      </w:r>
    </w:p>
    <w:p>
      <w:pPr>
        <w:spacing w:after="0" w:line="27" w:lineRule="exact"/>
        <w:rPr>
          <w:sz w:val="20"/>
          <w:szCs w:val="20"/>
          <w:color w:val="auto"/>
        </w:rPr>
      </w:pPr>
    </w:p>
    <w:p>
      <w:pPr>
        <w:ind w:firstLine="8"/>
        <w:spacing w:after="0" w:line="260" w:lineRule="auto"/>
        <w:tabs>
          <w:tab w:leader="none" w:pos="3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operating leases are comprised of real estate and warehouse equipment, and the Company’s finance leases are comprised of vehicles.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Right-of-use (“ROU”) assets and lease liabilities are recognized at the lease commencement date based on the present value of lease payments over the lease term. As the Company’s leases generally do not provide an implicit rate, the Company uses its incremental borrowing rate based on the estimated rate of interest for collateralized borrowing over a similar term of the lease payments at the commencement date. ROU assets also include any lease payments made and exclude lease incentives. Lease terms include options to extend or terminate the lease when it is reasonably certain that the Company will exercise that option.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of the Company’s real estate leases contain variable lease payments, including payments based on an index or rate. Variable lease payments based on an index or rate are initially measured using the index or rate in effect at the lease commencement date. Additional payments based on the change in an index or rate, or payments based on a change in the Company’s portion of real estate taxes and insurance, are recorded as a period expense when incurred.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Lease expense for operating leases, consisting of lease payments, is recognized on a straight-line basis over the lease term and is included in operating expenses in the condensed consolidated statement of income. Lease expense for finance leases consists of the amortization of the ROU asset on a straight-line basis over the asset’s estimated useful life and is included in operating expenses in the condensed consolidated statement of income. Interest expense on finance leases is calculated using the amortized cost basis and is included in interest and other (expense) income, net in the condensed consolidated statement of income.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leases have remaining lease terms of less than one year to 13 years, some of which include options to extend the leases for up to five years, and some of which include options to terminate the leases within one year. The Company has elected not to recognize ROU assets and lease liabilities for short-term operating leases that have a term of 12 months or less.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cost were comprised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Three-Months</w:t>
            </w:r>
          </w:p>
        </w:tc>
        <w:tc>
          <w:tcPr>
            <w:tcW w:w="16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Three-Months</w:t>
            </w: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Nine-Months</w:t>
            </w:r>
          </w:p>
        </w:tc>
        <w:tc>
          <w:tcPr>
            <w:tcW w:w="20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Nine-Months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Ended September 30,</w:t>
            </w: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Ended September 30,</w:t>
            </w: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Ended September 30,</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Ended 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cost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Supplemental cash flow information for the following periods:</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Nine-Months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Nine-Months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Ended September 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Ended 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2020</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outflows from finance leases</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ROU assets for operating and finance leases recognized in the condensed consolidated balance sheets were comprised of the following at: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12"/>
          </w:tcPr>
          <w:p>
            <w:pPr>
              <w:ind w:left="440"/>
              <w:spacing w:after="0"/>
              <w:rPr>
                <w:sz w:val="20"/>
                <w:szCs w:val="20"/>
                <w:color w:val="auto"/>
              </w:rPr>
            </w:pPr>
            <w:r>
              <w:rPr>
                <w:rFonts w:ascii="Times New Roman" w:cs="Times New Roman" w:eastAsia="Times New Roman" w:hAnsi="Times New Roman"/>
                <w:sz w:val="18"/>
                <w:szCs w:val="18"/>
                <w:color w:val="auto"/>
              </w:rPr>
              <w:t>September 30, 2020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Balance Sheet Location</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Equipment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22,783</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$ 22,997</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12"/>
          </w:tcPr>
          <w:p>
            <w:pPr>
              <w:ind w:left="440"/>
              <w:spacing w:after="0"/>
              <w:rPr>
                <w:sz w:val="20"/>
                <w:szCs w:val="20"/>
                <w:color w:val="auto"/>
              </w:rPr>
            </w:pPr>
            <w:r>
              <w:rPr>
                <w:rFonts w:ascii="Times New Roman" w:cs="Times New Roman" w:eastAsia="Times New Roman" w:hAnsi="Times New Roman"/>
                <w:sz w:val="18"/>
                <w:szCs w:val="18"/>
                <w:color w:val="auto"/>
              </w:rPr>
              <w:t>December 31, 2019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Balance Sheet Location</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Real Estate</w:t>
            </w:r>
          </w:p>
        </w:tc>
        <w:tc>
          <w:tcPr>
            <w:tcW w:w="940" w:type="dxa"/>
            <w:vAlign w:val="bottom"/>
            <w:tcBorders>
              <w:top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Equipment</w:t>
            </w: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$ 31,342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20" w:type="dxa"/>
            <w:vAlign w:val="bottom"/>
          </w:tcPr>
          <w:p>
            <w:pPr>
              <w:spacing w:after="0"/>
              <w:rPr>
                <w:sz w:val="20"/>
                <w:szCs w:val="20"/>
                <w:color w:val="auto"/>
              </w:rPr>
            </w:pPr>
          </w:p>
        </w:tc>
        <w:tc>
          <w:tcPr>
            <w:tcW w:w="2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1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and finance lease liabilities recognized in the condensed consolidated balance sheets were as follows at:</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September 30, 2020</w:t>
            </w:r>
          </w:p>
        </w:tc>
        <w:tc>
          <w:tcPr>
            <w:tcW w:w="520" w:type="dxa"/>
            <w:vAlign w:val="bottom"/>
            <w:tcBorders>
              <w:bottom w:val="single" w:sz="8" w:color="auto"/>
            </w:tcBorders>
          </w:tcPr>
          <w:p>
            <w:pPr>
              <w:spacing w:after="0"/>
              <w:rPr>
                <w:sz w:val="20"/>
                <w:szCs w:val="20"/>
                <w:color w:val="auto"/>
              </w:rPr>
            </w:pPr>
          </w:p>
        </w:tc>
      </w:tr>
      <w:tr>
        <w:trPr>
          <w:trHeight w:val="210"/>
        </w:trPr>
        <w:tc>
          <w:tcPr>
            <w:tcW w:w="53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Operating Leases</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Finance Leases</w:t>
            </w: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16"/>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2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426"/>
        </w:trPr>
        <w:tc>
          <w:tcPr>
            <w:tcW w:w="5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December 31, 2019</w:t>
            </w:r>
          </w:p>
        </w:tc>
        <w:tc>
          <w:tcPr>
            <w:tcW w:w="520" w:type="dxa"/>
            <w:vAlign w:val="bottom"/>
            <w:tcBorders>
              <w:bottom w:val="single" w:sz="8" w:color="auto"/>
            </w:tcBorders>
          </w:tcPr>
          <w:p>
            <w:pPr>
              <w:spacing w:after="0"/>
              <w:rPr>
                <w:sz w:val="24"/>
                <w:szCs w:val="24"/>
                <w:color w:val="auto"/>
              </w:rPr>
            </w:pPr>
          </w:p>
        </w:tc>
      </w:tr>
      <w:tr>
        <w:trPr>
          <w:trHeight w:val="209"/>
        </w:trPr>
        <w:tc>
          <w:tcPr>
            <w:tcW w:w="53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Operating Leases</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Finance Leases</w:t>
            </w: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16"/>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25,651</w:t>
            </w:r>
          </w:p>
        </w:tc>
        <w:tc>
          <w:tcPr>
            <w:tcW w:w="2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28,463</w:t>
            </w: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for operating and finance leases at September 30, 2020 and December 31, 2019 were as follows:</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82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September 30, 2020</w:t>
            </w:r>
          </w:p>
        </w:tc>
      </w:tr>
      <w:tr>
        <w:trPr>
          <w:trHeight w:val="209"/>
        </w:trPr>
        <w:tc>
          <w:tcPr>
            <w:tcW w:w="5120" w:type="dxa"/>
            <w:vAlign w:val="bottom"/>
          </w:tcPr>
          <w:p>
            <w:pPr>
              <w:spacing w:after="0"/>
              <w:rPr>
                <w:sz w:val="18"/>
                <w:szCs w:val="18"/>
                <w:color w:val="auto"/>
              </w:rPr>
            </w:pPr>
          </w:p>
        </w:tc>
        <w:tc>
          <w:tcPr>
            <w:tcW w:w="152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Operating Leases</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Finance Leases</w:t>
            </w:r>
          </w:p>
        </w:tc>
        <w:tc>
          <w:tcPr>
            <w:tcW w:w="180" w:type="dxa"/>
            <w:vAlign w:val="bottom"/>
          </w:tcPr>
          <w:p>
            <w:pPr>
              <w:spacing w:after="0"/>
              <w:rPr>
                <w:sz w:val="18"/>
                <w:szCs w:val="18"/>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Borders>
              <w:top w:val="single" w:sz="8" w:color="CCEEFF"/>
            </w:tcBorders>
            <w:shd w:val="clear" w:color="auto" w:fill="CCEEFF"/>
          </w:tcPr>
          <w:p>
            <w:pPr>
              <w:spacing w:after="0"/>
              <w:rPr>
                <w:sz w:val="18"/>
                <w:szCs w:val="18"/>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3.6 %</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2.1 %</w:t>
            </w:r>
          </w:p>
        </w:tc>
      </w:tr>
      <w:tr>
        <w:trPr>
          <w:trHeight w:val="427"/>
        </w:trPr>
        <w:tc>
          <w:tcPr>
            <w:tcW w:w="5120" w:type="dxa"/>
            <w:vAlign w:val="bottom"/>
          </w:tcPr>
          <w:p>
            <w:pPr>
              <w:spacing w:after="0"/>
              <w:rPr>
                <w:sz w:val="24"/>
                <w:szCs w:val="24"/>
                <w:color w:val="auto"/>
              </w:rPr>
            </w:pPr>
          </w:p>
        </w:tc>
        <w:tc>
          <w:tcPr>
            <w:tcW w:w="282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December 31, 2019</w:t>
            </w:r>
          </w:p>
        </w:tc>
      </w:tr>
      <w:tr>
        <w:trPr>
          <w:trHeight w:val="210"/>
        </w:trPr>
        <w:tc>
          <w:tcPr>
            <w:tcW w:w="5120" w:type="dxa"/>
            <w:vAlign w:val="bottom"/>
          </w:tcPr>
          <w:p>
            <w:pPr>
              <w:spacing w:after="0"/>
              <w:rPr>
                <w:sz w:val="18"/>
                <w:szCs w:val="18"/>
                <w:color w:val="auto"/>
              </w:rPr>
            </w:pPr>
          </w:p>
        </w:tc>
        <w:tc>
          <w:tcPr>
            <w:tcW w:w="152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Operating Leases</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Finance Leases</w:t>
            </w:r>
          </w:p>
        </w:tc>
        <w:tc>
          <w:tcPr>
            <w:tcW w:w="180" w:type="dxa"/>
            <w:vAlign w:val="bottom"/>
          </w:tcPr>
          <w:p>
            <w:pPr>
              <w:spacing w:after="0"/>
              <w:rPr>
                <w:sz w:val="18"/>
                <w:szCs w:val="18"/>
                <w:color w:val="auto"/>
              </w:rPr>
            </w:pP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Borders>
              <w:top w:val="single" w:sz="8" w:color="CCEEFF"/>
            </w:tcBorders>
            <w:shd w:val="clear" w:color="auto" w:fill="CCEEFF"/>
          </w:tcPr>
          <w:p>
            <w:pPr>
              <w:spacing w:after="0"/>
              <w:rPr>
                <w:sz w:val="18"/>
                <w:szCs w:val="18"/>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3.1 %</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2.9 %</w:t>
            </w:r>
          </w:p>
        </w:tc>
      </w:tr>
    </w:tbl>
    <w:p>
      <w:pPr>
        <w:spacing w:after="0" w:line="17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future lease payments for operating and finance leases to the operating and finance leases recorded in the condensed consolidated balance sheet at September 30, 2020:</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Undiscounted Future Lease Payments</w:t>
            </w:r>
          </w:p>
        </w:tc>
      </w:tr>
      <w:tr>
        <w:trPr>
          <w:trHeight w:val="210"/>
        </w:trPr>
        <w:tc>
          <w:tcPr>
            <w:tcW w:w="47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Finance Leases</w:t>
            </w: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(excluding the nine-months ended September 30, 2020)</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3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13,188</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lease payments</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16"/>
        </w:trPr>
        <w:tc>
          <w:tcPr>
            <w:tcW w:w="4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3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4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0"/>
        </w:trPr>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2020, the Company did not have any significant additional operating or finance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Company’s investments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8"/>
              </w:rPr>
              <w:t>Continuous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Continuous</w:t>
            </w:r>
          </w:p>
        </w:tc>
      </w:tr>
      <w:tr>
        <w:trPr>
          <w:trHeight w:val="216"/>
        </w:trPr>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Gross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Gross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8"/>
              </w:rPr>
              <w:t>Unrealized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Unrealized</w:t>
            </w:r>
          </w:p>
        </w:tc>
      </w:tr>
      <w:tr>
        <w:trPr>
          <w:trHeight w:val="216"/>
        </w:trPr>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Unrealized</w:t>
            </w:r>
          </w:p>
        </w:tc>
        <w:tc>
          <w:tcPr>
            <w:tcW w:w="9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rPr>
              <w:t>Unrealized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rPr>
              <w:t>Loss Position</w:t>
            </w:r>
          </w:p>
        </w:tc>
        <w:tc>
          <w:tcPr>
            <w:tcW w:w="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Loss Position</w:t>
            </w:r>
          </w:p>
        </w:tc>
      </w:tr>
      <w:tr>
        <w:trPr>
          <w:trHeight w:val="216"/>
        </w:trPr>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Amortized</w:t>
            </w:r>
          </w:p>
        </w:tc>
        <w:tc>
          <w:tcPr>
            <w:tcW w:w="20" w:type="dxa"/>
            <w:vAlign w:val="bottom"/>
          </w:tcPr>
          <w:p>
            <w:pPr>
              <w:spacing w:after="0"/>
              <w:rPr>
                <w:sz w:val="18"/>
                <w:szCs w:val="18"/>
                <w:color w:val="auto"/>
              </w:rPr>
            </w:pPr>
          </w:p>
        </w:tc>
        <w:tc>
          <w:tcPr>
            <w:tcW w:w="9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8"/>
              </w:rPr>
              <w:t>Holding</w:t>
            </w:r>
          </w:p>
        </w:tc>
        <w:tc>
          <w:tcPr>
            <w:tcW w:w="40" w:type="dxa"/>
            <w:vAlign w:val="bottom"/>
          </w:tcPr>
          <w:p>
            <w:pPr>
              <w:spacing w:after="0"/>
              <w:rPr>
                <w:sz w:val="18"/>
                <w:szCs w:val="18"/>
                <w:color w:val="auto"/>
              </w:rPr>
            </w:pPr>
          </w:p>
        </w:tc>
        <w:tc>
          <w:tcPr>
            <w:tcW w:w="9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rPr>
              <w:t>Holding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Fair</w:t>
            </w:r>
          </w:p>
        </w:tc>
        <w:tc>
          <w:tcPr>
            <w:tcW w:w="60" w:type="dxa"/>
            <w:vAlign w:val="bottom"/>
          </w:tcPr>
          <w:p>
            <w:pPr>
              <w:spacing w:after="0"/>
              <w:rPr>
                <w:sz w:val="18"/>
                <w:szCs w:val="18"/>
                <w:color w:val="auto"/>
              </w:rPr>
            </w:pPr>
          </w:p>
        </w:tc>
        <w:tc>
          <w:tcPr>
            <w:tcW w:w="11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rPr>
              <w:t>less than 12</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greater than 12</w:t>
            </w:r>
          </w:p>
        </w:tc>
      </w:tr>
      <w:tr>
        <w:trPr>
          <w:trHeight w:val="234"/>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Gains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Losses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Value</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8"/>
              </w:rPr>
              <w:t>Months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Months</w:t>
            </w:r>
          </w:p>
        </w:tc>
      </w:tr>
      <w:tr>
        <w:trPr>
          <w:trHeight w:val="209"/>
        </w:trPr>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421,469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$ 619,507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619,897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08"/>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rPr>
              <w:t>Continuous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Continuous</w:t>
            </w:r>
          </w:p>
        </w:tc>
      </w:tr>
      <w:tr>
        <w:trPr>
          <w:trHeight w:val="216"/>
        </w:trPr>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Gross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Gross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Unrealized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Unrealized</w:t>
            </w:r>
          </w:p>
        </w:tc>
      </w:tr>
      <w:tr>
        <w:trPr>
          <w:trHeight w:val="216"/>
        </w:trPr>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w w:val="98"/>
              </w:rPr>
              <w:t>Unrealized</w:t>
            </w:r>
          </w:p>
        </w:tc>
        <w:tc>
          <w:tcPr>
            <w:tcW w:w="40" w:type="dxa"/>
            <w:vAlign w:val="bottom"/>
          </w:tcPr>
          <w:p>
            <w:pPr>
              <w:spacing w:after="0"/>
              <w:rPr>
                <w:sz w:val="18"/>
                <w:szCs w:val="18"/>
                <w:color w:val="auto"/>
              </w:rPr>
            </w:pPr>
          </w:p>
        </w:tc>
        <w:tc>
          <w:tcPr>
            <w:tcW w:w="9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w w:val="98"/>
              </w:rPr>
              <w:t>Unrealized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rPr>
              <w:t>Loss Position</w:t>
            </w:r>
          </w:p>
        </w:tc>
        <w:tc>
          <w:tcPr>
            <w:tcW w:w="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Loss Position</w:t>
            </w:r>
          </w:p>
        </w:tc>
      </w:tr>
      <w:tr>
        <w:trPr>
          <w:trHeight w:val="216"/>
        </w:trPr>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Holding</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Holding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6"/>
              </w:rPr>
              <w:t>Fair</w:t>
            </w:r>
          </w:p>
        </w:tc>
        <w:tc>
          <w:tcPr>
            <w:tcW w:w="60" w:type="dxa"/>
            <w:vAlign w:val="bottom"/>
          </w:tcPr>
          <w:p>
            <w:pPr>
              <w:spacing w:after="0"/>
              <w:rPr>
                <w:sz w:val="18"/>
                <w:szCs w:val="18"/>
                <w:color w:val="auto"/>
              </w:rPr>
            </w:pPr>
          </w:p>
        </w:tc>
        <w:tc>
          <w:tcPr>
            <w:tcW w:w="11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8"/>
              </w:rPr>
              <w:t>less than 12</w:t>
            </w:r>
          </w:p>
        </w:tc>
        <w:tc>
          <w:tcPr>
            <w:tcW w:w="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greater than 12</w:t>
            </w:r>
          </w:p>
        </w:tc>
      </w:tr>
      <w:tr>
        <w:trPr>
          <w:trHeight w:val="234"/>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Cost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Gains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7"/>
              </w:rPr>
              <w:t>Losses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Months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Months</w:t>
            </w:r>
          </w:p>
        </w:tc>
      </w:tr>
      <w:tr>
        <w:trPr>
          <w:trHeight w:val="210"/>
        </w:trPr>
        <w:tc>
          <w:tcPr>
            <w:tcW w:w="3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148,108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211,158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2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$ 545,771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545,968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nine-months ended September 30, 2020 and 2019, realized gains or losses recognized on the sale of investments were not significant.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investments at September 30, 2020 and December 31, 2019 carried investment grade credit ratings.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Variable rate demand notes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seven-day settlement basis.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underlying contractual maturities of the Company’s investments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September 30, 2020</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color w:val="auto"/>
              </w:rPr>
              <w:t>December 31, 2019</w:t>
            </w:r>
          </w:p>
        </w:tc>
      </w:tr>
      <w:tr>
        <w:trPr>
          <w:trHeight w:val="209"/>
        </w:trPr>
        <w:tc>
          <w:tcPr>
            <w:tcW w:w="3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Amortized Cost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Fair Value</w:t>
            </w:r>
          </w:p>
        </w:tc>
        <w:tc>
          <w:tcPr>
            <w:tcW w:w="18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Amortized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year:</w:t>
            </w:r>
          </w:p>
        </w:tc>
        <w:tc>
          <w:tcPr>
            <w:tcW w:w="1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42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91,445</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83,478</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83,478</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securities</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148,108</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40,590</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28,049</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421,469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211,158</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1 -10 years:</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Municipal securities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Due 11 - 20 years: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Due 21 - 30 years: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Due 31 - 40 years: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1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r>
      <w:tr>
        <w:trPr>
          <w:trHeight w:val="210"/>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spacing w:after="0"/>
              <w:rPr>
                <w:sz w:val="18"/>
                <w:szCs w:val="18"/>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619,507</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619,897</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545,771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545,968</w:t>
            </w:r>
          </w:p>
        </w:tc>
      </w:tr>
      <w:tr>
        <w:trPr>
          <w:trHeight w:val="20"/>
        </w:trPr>
        <w:tc>
          <w:tcPr>
            <w:tcW w:w="3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CERTAIN FINANCIAL ASSETS AND LIABILITIES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p>
      <w:pPr>
        <w:spacing w:after="0" w:line="179" w:lineRule="exact"/>
        <w:rPr>
          <w:sz w:val="20"/>
          <w:szCs w:val="20"/>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680" w:right="20" w:hanging="321"/>
        <w:spacing w:after="0" w:line="268"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inputs other than Level 1 prices, such as quoted prices for similar assets or liabilities, quoted prices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 for substantially the full term of the related assets or liabilities.</w:t>
      </w:r>
    </w:p>
    <w:p>
      <w:pPr>
        <w:spacing w:after="0" w:line="170" w:lineRule="exact"/>
        <w:rPr>
          <w:rFonts w:ascii="Times New Roman" w:cs="Times New Roman" w:eastAsia="Times New Roman" w:hAnsi="Times New Roman"/>
          <w:sz w:val="18"/>
          <w:szCs w:val="18"/>
          <w:color w:val="auto"/>
        </w:rPr>
      </w:pPr>
    </w:p>
    <w:p>
      <w:pPr>
        <w:ind w:left="680" w:right="20" w:hanging="321"/>
        <w:spacing w:after="0" w:line="286"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or liabilities.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ASC 820 requires the use of observable market inputs (quoted market prices) when measuring fair value and requires a Level 1 quoted price to be used to measure fair value whenever possible.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Company’s financial assets and liabilities that are recorded at fair value on a recurring basis, segregated among the appropriate levels within the fair value hierarchy at: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Level 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719,429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319,984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91,445</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467,153</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(770)</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1,039,413</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654,444</w:t>
            </w:r>
          </w:p>
        </w:tc>
        <w:tc>
          <w:tcPr>
            <w:tcW w:w="18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1,693,857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Amounts included in: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1,039,413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599,326</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20,571</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(955)</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1,039,413</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654,444</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1,693,857</w:t>
            </w: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Level 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518,178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96,867</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167,224</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247,162</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(687)</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709,309</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633,929</w:t>
            </w:r>
          </w:p>
        </w:tc>
        <w:tc>
          <w:tcPr>
            <w:tcW w:w="18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spacing w:after="0"/>
              <w:rPr>
                <w:sz w:val="21"/>
                <w:szCs w:val="21"/>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1,343,238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Amounts included in: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709,309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88,648</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533,063</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(1,016)</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709,309</w:t>
            </w:r>
          </w:p>
        </w:tc>
        <w:tc>
          <w:tcPr>
            <w:tcW w:w="1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633,929</w:t>
            </w:r>
          </w:p>
        </w:tc>
        <w:tc>
          <w:tcPr>
            <w:tcW w:w="180" w:type="dxa"/>
            <w:vAlign w:val="bottom"/>
          </w:tcPr>
          <w:p>
            <w:pPr>
              <w:spacing w:after="0"/>
              <w:rPr>
                <w:sz w:val="18"/>
                <w:szCs w:val="18"/>
                <w:color w:val="auto"/>
              </w:rPr>
            </w:pPr>
          </w:p>
        </w:tc>
        <w:tc>
          <w:tcPr>
            <w:tcW w:w="82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of the Company’s short-term and long-term investments are classified within Level 1 or Level 2 of the fair value hierarchy. 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nine-months ended September 30, 2020 or during the year-ended December 31, 2019, and there were no changes in the Company’s valuation techniques.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AND HEDGING ACTIVITIES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exposed to foreign currency exchange rate risks related primarily to its foreign business operations. During the nine-months ended September 30, 2020 and the year-ended December 31, 2019,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September 30, 2020 have terms of one month or less. The Company does not enter into forward currency exchange contracts for speculation or trading purposes.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not designated its foreign currency exchange contracts as hedge transactions under ASC 815. Therefore, gains and losses on the Company’s foreign currency exchange contracts are recognized in interest and other (expense) income, net, in the condensed consolidated statements of income, and are largely offset by the changes in the fair value of the underlying economically hedged item.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notional amount and fair value of all outstanding foreign currency derivative instruments in the condensed consolidated balance sheets consist of the following at: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300" w:type="dxa"/>
            <w:vAlign w:val="bottom"/>
            <w:tcBorders>
              <w:top w:val="single" w:sz="8" w:color="auto"/>
            </w:tcBorders>
          </w:tcPr>
          <w:p>
            <w:pPr>
              <w:jc w:val="center"/>
              <w:ind w:left="1010"/>
              <w:spacing w:after="0" w:line="191" w:lineRule="exact"/>
              <w:rPr>
                <w:sz w:val="20"/>
                <w:szCs w:val="20"/>
                <w:color w:val="auto"/>
              </w:rPr>
            </w:pPr>
            <w:r>
              <w:rPr>
                <w:rFonts w:ascii="Times New Roman" w:cs="Times New Roman" w:eastAsia="Times New Roman" w:hAnsi="Times New Roman"/>
                <w:sz w:val="18"/>
                <w:szCs w:val="18"/>
                <w:color w:val="auto"/>
              </w:rPr>
              <w:t>Derivatives not designated as</w:t>
            </w: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hedging instruments under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Notional</w:t>
            </w:r>
          </w:p>
        </w:tc>
        <w:tc>
          <w:tcPr>
            <w:tcW w:w="200" w:type="dxa"/>
            <w:vAlign w:val="bottom"/>
          </w:tcPr>
          <w:p>
            <w:pPr>
              <w:spacing w:after="0"/>
              <w:rPr>
                <w:sz w:val="18"/>
                <w:szCs w:val="18"/>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Fair</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ASC 815-20</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20"/>
                <w:szCs w:val="20"/>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Value</w:t>
            </w:r>
          </w:p>
        </w:tc>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Sheet Location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Receive SGD/pay USD</w:t>
            </w: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Receive RSD/pay USD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Receive NOK/pay USD</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GBP</w:t>
            </w: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(282)</w:t>
            </w: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EUR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(182)</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RUB</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w:t>
            </w: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AUD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CNY</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COP</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ZAR</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NZD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DKK</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760" w:type="dxa"/>
            <w:vAlign w:val="bottom"/>
            <w:tcBorders>
              <w:top w:val="single" w:sz="8" w:color="auto"/>
            </w:tcBorders>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rPr>
              <w:t>Derivatives not designated as</w:t>
            </w: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hedging instruments under</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Notional</w:t>
            </w:r>
          </w:p>
        </w:tc>
        <w:tc>
          <w:tcPr>
            <w:tcW w:w="18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Fair</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ASC 815-20</w:t>
            </w:r>
          </w:p>
        </w:tc>
        <w:tc>
          <w:tcPr>
            <w:tcW w:w="12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Value</w:t>
            </w: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Sheet Location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EUR/pay USD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Receive RSD/pay USD</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NOK/pay USD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Receive USD/pay SGD</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Receive USD/pay GBP</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38,406</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(695)</w:t>
            </w: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AUD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Receive USD/pay RUB</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NZD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Receive USD/pay ZAR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COP</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Receive USD/pay DKK</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gains on derivative instruments in the condensed consolidated statements of income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Amount of gain</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recognized in income on</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Derivatives not designated as</w:t>
            </w: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Location of gain</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derivatives</w:t>
            </w:r>
          </w:p>
        </w:tc>
        <w:tc>
          <w:tcPr>
            <w:tcW w:w="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gridSpan w:val="2"/>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Three-months ended</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6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hedging instruments under</w:t>
            </w:r>
          </w:p>
        </w:tc>
        <w:tc>
          <w:tcPr>
            <w:tcW w:w="3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recognized in income on</w:t>
            </w:r>
          </w:p>
        </w:tc>
        <w:tc>
          <w:tcPr>
            <w:tcW w:w="240" w:type="dxa"/>
            <w:vAlign w:val="bottom"/>
          </w:tcPr>
          <w:p>
            <w:pPr>
              <w:spacing w:after="0"/>
              <w:rPr>
                <w:sz w:val="16"/>
                <w:szCs w:val="16"/>
                <w:color w:val="auto"/>
              </w:rPr>
            </w:pPr>
          </w:p>
        </w:tc>
        <w:tc>
          <w:tcPr>
            <w:tcW w:w="11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16"/>
                <w:szCs w:val="16"/>
                <w:color w:val="auto"/>
              </w:rPr>
            </w:pPr>
          </w:p>
        </w:tc>
        <w:tc>
          <w:tcPr>
            <w:tcW w:w="116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ASC 815-20</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derivatives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Interest and other (expense) income, net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Amount of gain</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recognized in income on</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Derivatives not designated as</w:t>
            </w: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Location of gain</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derivatives</w:t>
            </w:r>
          </w:p>
        </w:tc>
        <w:tc>
          <w:tcPr>
            <w:tcW w:w="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60" w:type="dxa"/>
            <w:vAlign w:val="bottom"/>
            <w:gridSpan w:val="2"/>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Nine-months ended</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6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hedging instruments under</w:t>
            </w:r>
          </w:p>
        </w:tc>
        <w:tc>
          <w:tcPr>
            <w:tcW w:w="3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recognized in income on</w:t>
            </w:r>
          </w:p>
        </w:tc>
        <w:tc>
          <w:tcPr>
            <w:tcW w:w="240" w:type="dxa"/>
            <w:vAlign w:val="bottom"/>
          </w:tcPr>
          <w:p>
            <w:pPr>
              <w:spacing w:after="0"/>
              <w:rPr>
                <w:sz w:val="16"/>
                <w:szCs w:val="16"/>
                <w:color w:val="auto"/>
              </w:rPr>
            </w:pPr>
          </w:p>
        </w:tc>
        <w:tc>
          <w:tcPr>
            <w:tcW w:w="11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16"/>
                <w:szCs w:val="16"/>
                <w:color w:val="auto"/>
              </w:rPr>
            </w:pPr>
          </w:p>
        </w:tc>
        <w:tc>
          <w:tcPr>
            <w:tcW w:w="116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ASC 815-20</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derivatives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Interest and other (expense) income, net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consist of the following at:</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3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334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r>
      <w:tr>
        <w:trPr>
          <w:trHeight w:val="21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150,123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134,885</w:t>
            </w:r>
          </w:p>
        </w:tc>
      </w:tr>
      <w:tr>
        <w:trPr>
          <w:trHeight w:val="216"/>
        </w:trPr>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168,833</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225,846</w:t>
            </w:r>
          </w:p>
        </w:tc>
      </w:tr>
      <w:tr>
        <w:trPr>
          <w:trHeight w:val="209"/>
        </w:trPr>
        <w:tc>
          <w:tcPr>
            <w:tcW w:w="334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318,956</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360,731</w:t>
            </w:r>
          </w:p>
        </w:tc>
      </w:tr>
      <w:tr>
        <w:trPr>
          <w:trHeight w:val="20"/>
        </w:trPr>
        <w:tc>
          <w:tcPr>
            <w:tcW w:w="3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9.</w:t>
            </w:r>
          </w:p>
        </w:tc>
        <w:tc>
          <w:tcPr>
            <w:tcW w:w="5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5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Property and equipment consist of the following at:</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27"/>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1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September 30,</w:t>
            </w: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6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78,275</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10,417</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22,766</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206,151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214,293</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143,221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126,338</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Vehicles</w:t>
            </w:r>
          </w:p>
        </w:tc>
        <w:tc>
          <w:tcPr>
            <w:tcW w:w="10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41,575</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41,109</w:t>
            </w: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506,074</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(219,428)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(207,434)</w:t>
            </w: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304,687</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298,640</w:t>
            </w:r>
          </w:p>
        </w:tc>
      </w:tr>
      <w:tr>
        <w:trPr>
          <w:trHeight w:val="20"/>
        </w:trPr>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depreciation and amortization expense recorded was $11.7 million and $11.6 million for the three-months ended September 30, 2020 and 2019, respectively. Total depreciation and amortization expense recorded was $36.4 million and $36.3 million for the nine-months ended September 30, 2020 and 2019, respectively.</w:t>
      </w:r>
    </w:p>
    <w:p>
      <w:pPr>
        <w:spacing w:after="0" w:line="176"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 ASSETS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roll-forward of goodwill for the nine-months ended September 30, 2020 and September 30, 2019 by reportable segment:</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Monster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Strategic</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58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Drinks</w:t>
            </w:r>
          </w:p>
        </w:tc>
        <w:tc>
          <w:tcPr>
            <w:tcW w:w="2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Brands</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$ 693,644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$ 637,999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$ 1,331,643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7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7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$ 693,644</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$ 637,999</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$ 1,331,643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Monster</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Strategic</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58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Drinks</w:t>
            </w:r>
          </w:p>
        </w:tc>
        <w:tc>
          <w:tcPr>
            <w:tcW w:w="2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Brands</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$ 693,644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$ 637,999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$ 1,331,643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7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7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$ 693,644</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$ 637,999</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$ 1,331,643</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Intangible assets consist of the following at:</w:t>
            </w:r>
          </w:p>
        </w:tc>
        <w:tc>
          <w:tcPr>
            <w:tcW w:w="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2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September 30,</w:t>
            </w: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60" w:type="dxa"/>
            <w:vAlign w:val="bottom"/>
            <w:gridSpan w:val="6"/>
          </w:tcPr>
          <w:p>
            <w:pPr>
              <w:jc w:val="right"/>
              <w:ind w:right="94"/>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Amortizing intangibles</w:t>
            </w:r>
          </w:p>
        </w:tc>
        <w:tc>
          <w:tcPr>
            <w:tcW w:w="7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66,953</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7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(55,674)</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(49,128)</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Non-amortizing intangibles</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1,048,258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1,034,284</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5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1,059,537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1,052,105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seven years. Total amortization expense recorded was $1.1 million and $2.9 million for the three- months ended September 30, 2020 and 2019, respectively. Total amortization expense recorded was $6.5 million and $8.7 million for the nine-months ended September 30, 2020 and 2019, respectively. The Company recorded impairment charges of $3.0 million and $7.0 million on a Strategic Brand trademark during the three- and nine-months ended September 30, 2020, respectively.</w:t>
      </w:r>
    </w:p>
    <w:p>
      <w:pPr>
        <w:spacing w:after="0" w:line="1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is the future estimated amortization expense related to amortizing intangibles as of September 30,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(excluding the nine-months ended September 30, 2020)</w:t>
            </w: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1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w w:val="90"/>
              </w:rPr>
              <w:t>11</w:t>
            </w:r>
            <w:r>
              <w:rPr>
                <w:rFonts w:ascii="Times New Roman" w:cs="Times New Roman" w:eastAsia="Times New Roman" w:hAnsi="Times New Roman"/>
                <w:sz w:val="17"/>
                <w:szCs w:val="17"/>
                <w:color w:val="auto"/>
                <w:w w:val="90"/>
              </w:rPr>
              <w:t>.</w:t>
            </w:r>
          </w:p>
        </w:tc>
        <w:tc>
          <w:tcPr>
            <w:tcW w:w="6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DISTRIBUTION AGREEMENTS</w:t>
            </w: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0" w:type="dxa"/>
            <w:vAlign w:val="bottom"/>
            <w:vMerge w:val="continue"/>
          </w:tcPr>
          <w:p>
            <w:pPr>
              <w:spacing w:after="0"/>
              <w:rPr>
                <w:sz w:val="24"/>
                <w:szCs w:val="24"/>
                <w:color w:val="auto"/>
              </w:rPr>
            </w:pPr>
          </w:p>
        </w:tc>
        <w:tc>
          <w:tcPr>
            <w:tcW w:w="628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ASC 420, the Company expenses distributor termination costs in the period in which the written notification of termination occurs. The Company incurred no termination costs for the three- months ended September 30, 2020 and 2019. The Company incurred termination costs of $0.2 million and $11.0 million for the nine-months ended September 30, 2020 and 2019, respectively.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amounts received pursuant to new and/or amended distribution agreements entered into with certain bottlers/distributors,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$10.5 million and $10.7 million for the three- months ended September 30, 2020 and 2019, respectively. Revenue recognized was $31.6 million and $35.6 million for the nine-months ended September 30, 2020 and 2019, respectively.</w:t>
      </w:r>
    </w:p>
    <w:p>
      <w:pPr>
        <w:spacing w:after="0" w:line="187"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CONTINGENCIES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purchase commitments aggregating approximately $62.2 million at September 30, 2020, which represented commitments made by the Company and its subsidiaries to various suppliers of raw materials for the production of its products. These obligations vary in terms, but are generally satisfied within one year.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contractual obligations aggregating approximately $142.2 million at September 30, 2020, which related primarily to sponsorships and other marketing activities.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2018, the working capital line limit for the Company’s credit facility with HSBC Bank (China) Company Limited, Shanghai Branch, was increased from $9.0 million to $15.0 million. At September 30, 2020, the interest rate on borrowings under the line of credit was 5.5%. As of September 30, 2020, the Company had no amounts outstanding on this line of credit.</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From time to time in the normal course of business, the Company is named in litigation, including labor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September 18, 2020, a derivative complaint was filed on purported behalf of the Company in the United States District Court for the Central District of California. The action is styled </w:t>
      </w:r>
      <w:r>
        <w:rPr>
          <w:rFonts w:ascii="Times New Roman" w:cs="Times New Roman" w:eastAsia="Times New Roman" w:hAnsi="Times New Roman"/>
          <w:sz w:val="18"/>
          <w:szCs w:val="18"/>
          <w:i w:val="1"/>
          <w:iCs w:val="1"/>
          <w:color w:val="auto"/>
        </w:rPr>
        <w:t>Falat v. Sacks, et al.,</w:t>
      </w:r>
      <w:r>
        <w:rPr>
          <w:rFonts w:ascii="Times New Roman" w:cs="Times New Roman" w:eastAsia="Times New Roman" w:hAnsi="Times New Roman"/>
          <w:sz w:val="18"/>
          <w:szCs w:val="18"/>
          <w:color w:val="auto"/>
        </w:rPr>
        <w:t xml:space="preserve"> 8:20-cv-01782, and asserts claims against certain officers, directors, and employees of the Company, including Rodney C. Sacks, Hilton H. Schlosberg, Guy P. Carling, Thomas J. Kelly, Emelie C. Tirre, Mark J. Hall, Kathleen E. Ciaramello, Gary P. Fayard, Jeanne P. Jackson, Steven G. Pizula, Benjamin M. Polk, Sydney Selati and Mark S. Vidergauz (collectively, the "Individual Defendants"). The Company is named as a nominal defendant.</w:t>
      </w:r>
    </w:p>
    <w:p>
      <w:pPr>
        <w:spacing w:after="0" w:line="183"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The derivative complaint alleges, among other things, that the Individual Defendants breached their fiduciary duties to the Company by allowing others to cause, or themselves causing, the Company to hide discrimination and failing to ensure sufficient diversity, including by permitting conduct to occur that was inconsistent with statements made in the Company's policies and disclosures, and failing to ensure the Company's compliance with laws regarding diversity and anti-discrimination. The complaint also asserts claims for abuse of control, unjust enrichment and violation of Section 14(a) of the Securities Exchange Act of 1934, as amended (the "Exchange Act"). The complaint seeks from the Individual Defendants an unspecified amount of damages, restitution, punitive damages and costs to be paid to the Company, and seeks to require the Company to adopt corporate governance reforms, and other equitable relief.</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believes that the action should be dismissed because the plaintiff failed to make a demand on the Company as required by Federal Rule of Civil Procedure 23.1 or to show that demand would have been futile. The Company also understands that the Individual Defendants intend to file a motion to dismiss the complaint for failure to state a claim, among other reasons. While the Company continues to evaluate these claims, management believes that such litigation will likely not have a material adverse effect on the Company's financial position or results of operations.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September 30, 2020, the Company’s condensed consolidated balance sheet included accrued loss contingencies of approximately $16.6 million.</w:t>
      </w:r>
    </w:p>
    <w:p>
      <w:pPr>
        <w:spacing w:after="0" w:line="193" w:lineRule="exact"/>
        <w:rPr>
          <w:sz w:val="20"/>
          <w:szCs w:val="20"/>
          <w:color w:val="auto"/>
        </w:rPr>
      </w:pPr>
    </w:p>
    <w:p>
      <w:pPr>
        <w:ind w:left="620" w:hanging="612"/>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OTHER COMPREHENSIVE LOSS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(income) by component, after tax, for the nine-months ended September 30, 2020 and 2019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Currency</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(Gains) Losses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Translation</w:t>
            </w:r>
          </w:p>
        </w:tc>
        <w:tc>
          <w:tcPr>
            <w:tcW w:w="2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 Available-for-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5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Losses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Sale Securities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32,581</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32,387</w:t>
            </w: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 (income)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current-period other comprehensive loss (income)</w:t>
            </w: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0"/>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32,919</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r>
      <w:tr>
        <w:trPr>
          <w:trHeight w:val="20"/>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08"/>
        </w:trPr>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5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Currency</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(Gains) Losses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Translation</w:t>
            </w:r>
          </w:p>
        </w:tc>
        <w:tc>
          <w:tcPr>
            <w:tcW w:w="2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 Available-for-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5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Losses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Sale Securities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32,864</w:t>
            </w: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w:t>
            </w: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 (income)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current-period other comprehensive loss (income)</w:t>
            </w: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10,219</w:t>
            </w:r>
          </w:p>
        </w:tc>
      </w:tr>
      <w:tr>
        <w:trPr>
          <w:trHeight w:val="210"/>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43,361</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43,083</w:t>
            </w:r>
          </w:p>
        </w:tc>
      </w:tr>
      <w:tr>
        <w:trPr>
          <w:trHeight w:val="20"/>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STOCK</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13, 2020, the Company’s Board of Directors authorized a new share repurchase program for the purchase of up to $500.0 million of the Company’s outstanding common stock (the “March 2020 Repurchase Plan”). During the three- months ended September 30, 2020, no shares were purchased by the Company under the March 2020 Repurchase Plan. As of November 6, 2020, $441.5 million remained available for repurchase under the March 2020 Repurchase Plan.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2020, 1,779 shares of common stock were purchased from employees in lieu of cash payments for options exercised or withholding taxes due for a total amount of $0.1 million. While such purchases are considered common stock repurchases, they are not counted as purchases against our authorized share repurchase programs. Such shares are included in common stock in treasury in the accompanying condensed consolidated balance sheet at September 30, 2020.</w:t>
      </w:r>
    </w:p>
    <w:p>
      <w:pPr>
        <w:spacing w:after="0" w:line="180" w:lineRule="exact"/>
        <w:rPr>
          <w:sz w:val="20"/>
          <w:szCs w:val="20"/>
          <w:color w:val="auto"/>
        </w:rPr>
      </w:pPr>
    </w:p>
    <w:p>
      <w:pPr>
        <w:ind w:left="640" w:hanging="63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two stock-based compensation plans under which shares were available for grant at September 30, 2020: (i) the Monster Beverage Corporation 2020 Omnibus Incentive Plan (the "2020 Omnibus Incentive Plan"), which includes the Monster Beverage Corporation Deferred Compensation Plan as a sub plan thereunder, and (ii) the Monster Beverage Corporation 2017 Compensation Plan for Non-Employee Directors, which includes the Monster Beverage Corporation Deferred Compensation Plan for Non-Employee Directors as a sub plan thereunder. The 2020 Omnibus Incentive Plan was approved by the Board of Directors on April 14, 2020 and approved by the stockholders of the Company at the annual meeting of the Company's stockholders held on June 3, 2020 (the "Effective Date"). The 2020 Omnibus Incentive Plan replaced the Monster Beverage Corporation 2011 Omnibus Incentive Plan (the "2011 Omnibus Incentive Plan").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2020 Omnibus Incentive Plan provides for the granting of stock options, stock appreciation rights, restricted stock, restricted stock units, performance awards, and other share-based awards up to an aggregate of 46,169,367 shares of the Company's common stock, comprised of 32,000,000 new shares of common stock reserved under the 2020 Omnibus Incentive Plan and 14,169,367 shares of common stock that were available for grant under the 2011 Omnibus Incentive Plan as of December 31, 2019 and prior to the Effective Date. Shares authorized under the 2020 Omnibus Incentive Plan are reduced by one (1) share for options or stock appreciation rights granted under the 2020 Omnibus Incentive Plan and for any grants after December 31, 2019 under the 2011 Omnibus Incentive Plan, and by 2.6 shares for each share granted or issued with respect to a Full Value Award under either the 2020 Omnibus Incentive Plan or for any shares granted after December 31, 2019 under the 2011 Omnibus Incentive Plan. A "Full Value Award" is an award other than an incentive stock option, a non- qualified stock option, or a stock appreciation right, which is settled by the issuance of shares. Options granted under the 2020 Omnibus Incentive Plan may be incentive stock options under Section 422 of the Internal Revenue Code, as amended, or non-qualified stock options.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Shares previously granted under the 2011 Omnibus Incentive Plan after December 31, 2019 and prior to the Effective Date of the 2020 Omnibus Incentive Plan reduced the number of shares available for grant under the 2020 Omnibus Incentive Plan. As of September 30, 2020, 1,401,750 shares of the Company's common stock have been granted, net of cancellations, and 44,181,623 shares (as adjusted for Full Value Awards) of the Company's common stock remain available for grant under the 2020 Omnibus Incentive Plan.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Compensation Committee of the Board of Directors (the "Compensation Committee") has sole and exclusive authority to grant stock awards to all employees who are not new hires and to all new hires who are subject to Section 16 of the Exchange Act. Each of the Compensation Committee and the Executive Committee of the Board of Directors (the "Executive Committee") independently has the authority to grant stock awards to new hires and employees receiving a promotion who are not Section 16 employees. Awards granted by the Executive Committee are not subject to approval or ratification by the Board of Directors or the Compensation Committee. Options granted under the 2020 Omnibus Incentive Plan generally vest over a three- to five-year period from the grant date and are generally exercisable up to 10 years after the grant date. Restricted stock units granted under the 2020 Omnibus Incentive Plan generally vest over a three- or five-year period from the grant date. Performance share units will generally vest based on the achievement of performance goals specified for the applicable award.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$19.5 million and $16.0 million of compensation expense relating to outstanding options, restricted stock units, performance share units and other share-based awards during the three- months ended September 30, 2020 and 2019, respectively. The Company recorded $53.0 million and $46.9 million of compensation expense relating to outstanding options, restricted stock units, performance share units and other share-based awards during the nine- months ended September 30, 2020 and 2019, respectively.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tax benefit for tax deductions from non-qualified stock option exercises, disqualifying dispositions of incentive stock options and vesting of restricted stock units and performance share units for the three- months ended September 30, 2020 and 2019 was $3.5 million and $0.5 million, respectively. The tax benefit for tax deductions from non-qualified stock option exercises, disqualifying dispositions of incentive stock options and vesting of restricted stock units and performance share units for the nine-months ended September 30, 2020 and 2019 was $9.2 million and $26.7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Company’s stock-based compensation plans, all stock options granted as of September 30, 2020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options granted during:</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Three-Months Ended September 30,</w:t>
            </w:r>
          </w:p>
        </w:tc>
        <w:tc>
          <w:tcPr>
            <w:tcW w:w="312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Nine-Months Ended September 30,</w:t>
            </w:r>
          </w:p>
        </w:tc>
      </w:tr>
      <w:tr>
        <w:trPr>
          <w:trHeight w:val="210"/>
        </w:trPr>
        <w:tc>
          <w:tcPr>
            <w:tcW w:w="17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Borders>
              <w:bottom w:val="single" w:sz="8" w:color="CCEEFF"/>
            </w:tcBorders>
          </w:tcPr>
          <w:p>
            <w:pPr>
              <w:spacing w:after="0"/>
              <w:rPr>
                <w:sz w:val="18"/>
                <w:szCs w:val="18"/>
                <w:color w:val="auto"/>
              </w:rPr>
            </w:pPr>
          </w:p>
        </w:tc>
      </w:tr>
      <w:tr>
        <w:trPr>
          <w:trHeight w:val="209"/>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30.2 %</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30.5 %</w:t>
            </w:r>
          </w:p>
        </w:tc>
        <w:tc>
          <w:tcPr>
            <w:tcW w:w="1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30.2 %</w:t>
            </w:r>
          </w:p>
        </w:tc>
      </w:tr>
      <w:tr>
        <w:trPr>
          <w:trHeight w:val="21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1.4 %</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0.7 %</w:t>
            </w:r>
          </w:p>
        </w:tc>
        <w:tc>
          <w:tcPr>
            <w:tcW w:w="16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2.4 %</w:t>
            </w:r>
          </w:p>
        </w:tc>
      </w:t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2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years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years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years</w:t>
            </w:r>
          </w:p>
        </w:tc>
      </w:tr>
    </w:tbl>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 options were granted during the three-months ended September 30, 2020.</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Company uses historical volatility as it provides a reasonable estimate of the 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volatility is based on the most recent volatility of the stock price over a period of time equivalent to the expected term of the option.</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based on the U.S. treasury zero-coupon yield curve in effect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for the expected term of the option.</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Company’s expected term represents the weighted-average period that the Company’s stock options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activities with respect to its stock option plans as follows:</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7"/>
              </w:rPr>
              <w:t>Weighted-</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Remaining</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9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Exercise</w:t>
            </w:r>
          </w:p>
        </w:tc>
        <w:tc>
          <w:tcPr>
            <w:tcW w:w="10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Contractual</w:t>
            </w:r>
          </w:p>
        </w:tc>
        <w:tc>
          <w:tcPr>
            <w:tcW w:w="2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Aggregate</w:t>
            </w:r>
          </w:p>
        </w:tc>
      </w:tr>
      <w:tr>
        <w:trPr>
          <w:trHeight w:val="216"/>
        </w:trPr>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(in</w:t>
            </w:r>
          </w:p>
        </w:tc>
        <w:tc>
          <w:tcPr>
            <w:tcW w:w="20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Price Per</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Term (In</w:t>
            </w:r>
          </w:p>
        </w:tc>
        <w:tc>
          <w:tcPr>
            <w:tcW w:w="2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34"/>
        </w:trPr>
        <w:tc>
          <w:tcPr>
            <w:tcW w:w="398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Options</w:t>
            </w:r>
          </w:p>
        </w:tc>
        <w:tc>
          <w:tcPr>
            <w:tcW w:w="1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thousands)</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Share</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$ 308,884</w:t>
            </w:r>
          </w:p>
        </w:tc>
      </w:tr>
      <w:tr>
        <w:trPr>
          <w:trHeight w:val="216"/>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 01/01/20 - 03/31/20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Granted 04/01/20 - 06/30/20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 07/01/20 - 09/30/20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 or forfeited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14,204</w:t>
            </w:r>
          </w:p>
        </w:tc>
        <w:tc>
          <w:tcPr>
            <w:tcW w:w="3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$ 502,732</w:t>
            </w:r>
          </w:p>
        </w:tc>
      </w:tr>
      <w:tr>
        <w:trPr>
          <w:trHeight w:val="198"/>
        </w:trPr>
        <w:tc>
          <w:tcPr>
            <w:tcW w:w="3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Vested and expected to vest in the future at</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 2020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$ 488,969</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September 30, 2020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$ 353,333</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options were granted during the three-months ended September 30, 2020. The weighted-average grant-date fair value of options granted during the three-months ended September 30, 2019 was $18.32 per share. The weighted-average grant-date fair value of options granted during the nine-months ended September 30, 2020 and 2019 was $18.78 per share and $20.24 per share,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three- months ended September 30, 2020 and 2019 was $22.5 million and $2.4 million, respectively. The total intrinsic value of options exercised during the nine-months ended September 30, 2020 and 2019 was $58.8 million and $213.8 million,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received from option exercises under all plans for the three- months ended September 30, 2020 and 2019 was $21.7 million and $4.1 million, respectively. Cash received from option exercises under all plans for the nine-months ended September 30, 2020 and 2019 was $65.5 million and $85.2 million,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2020, there was $68.6 million of total unrecognized compensation expense related to non-vested options granted to employees under the Company’s stock-based compensation plans. That cost is expected to be recognized over a weighted-average period of 2.3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 and Performance Share Units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activities with respect to non-vested restricted stock units and performance share units as follows:</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4300" w:type="dxa"/>
            <w:vAlign w:val="bottom"/>
          </w:tcPr>
          <w:p>
            <w:pPr>
              <w:spacing w:after="0"/>
              <w:rPr>
                <w:sz w:val="18"/>
                <w:szCs w:val="18"/>
                <w:color w:val="auto"/>
              </w:rPr>
            </w:pPr>
          </w:p>
        </w:tc>
        <w:tc>
          <w:tcPr>
            <w:tcW w:w="2620" w:type="dxa"/>
            <w:vAlign w:val="bottom"/>
            <w:gridSpan w:val="2"/>
          </w:tcPr>
          <w:p>
            <w:pPr>
              <w:jc w:val="center"/>
              <w:ind w:left="1710"/>
              <w:spacing w:after="0"/>
              <w:rPr>
                <w:sz w:val="20"/>
                <w:szCs w:val="20"/>
                <w:color w:val="auto"/>
              </w:rPr>
            </w:pPr>
            <w:r>
              <w:rPr>
                <w:rFonts w:ascii="Times New Roman" w:cs="Times New Roman" w:eastAsia="Times New Roman" w:hAnsi="Times New Roman"/>
                <w:sz w:val="18"/>
                <w:szCs w:val="18"/>
                <w:color w:val="auto"/>
                <w:w w:val="99"/>
              </w:rPr>
              <w:t>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4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(in</w:t>
            </w:r>
          </w:p>
        </w:tc>
        <w:tc>
          <w:tcPr>
            <w:tcW w:w="18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Grant-Date</w:t>
            </w:r>
          </w:p>
        </w:tc>
      </w:tr>
      <w:tr>
        <w:trPr>
          <w:trHeight w:val="234"/>
        </w:trPr>
        <w:tc>
          <w:tcPr>
            <w:tcW w:w="430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thousands)</w:t>
            </w:r>
          </w:p>
        </w:tc>
        <w:tc>
          <w:tcPr>
            <w:tcW w:w="1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0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2020</w:t>
            </w:r>
          </w:p>
        </w:tc>
        <w:tc>
          <w:tcPr>
            <w:tcW w:w="1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r>
      <w:tr>
        <w:trPr>
          <w:trHeight w:val="216"/>
        </w:trPr>
        <w:tc>
          <w:tcPr>
            <w:tcW w:w="43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Granted 01/01/20 - 03/31/20</w:t>
            </w:r>
            <w:r>
              <w:rPr>
                <w:rFonts w:ascii="Times New Roman" w:cs="Times New Roman" w:eastAsia="Times New Roman" w:hAnsi="Times New Roman"/>
                <w:sz w:val="25"/>
                <w:szCs w:val="25"/>
                <w:color w:val="auto"/>
                <w:vertAlign w:val="superscript"/>
              </w:rPr>
              <w:t>1</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w:t>
            </w:r>
          </w:p>
        </w:tc>
      </w:tr>
      <w:tr>
        <w:trPr>
          <w:trHeight w:val="216"/>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Granted 04/01/20 - 06/30/20</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w:t>
            </w:r>
          </w:p>
        </w:tc>
      </w:tr>
      <w:tr>
        <w:trPr>
          <w:trHeight w:val="216"/>
        </w:trPr>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 07/01/20 - 09/30/20</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w:t>
            </w:r>
          </w:p>
        </w:tc>
      </w:tr>
      <w:tr>
        <w:trPr>
          <w:trHeight w:val="216"/>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r>
      <w:tr>
        <w:trPr>
          <w:trHeight w:val="216"/>
        </w:trPr>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Forfeited/cancelled</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w:t>
            </w:r>
          </w:p>
        </w:tc>
      </w:tr>
      <w:tr>
        <w:trPr>
          <w:trHeight w:val="209"/>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September 30, 2020</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w:t>
            </w:r>
          </w:p>
        </w:tc>
      </w:tr>
      <w:tr>
        <w:trPr>
          <w:trHeight w:val="20"/>
        </w:trPr>
        <w:tc>
          <w:tcPr>
            <w:tcW w:w="4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87" w:lineRule="exact"/>
        <w:rPr>
          <w:sz w:val="20"/>
          <w:szCs w:val="20"/>
          <w:color w:val="auto"/>
        </w:rPr>
      </w:pPr>
    </w:p>
    <w:p>
      <w:pPr>
        <w:ind w:left="340"/>
        <w:spacing w:after="0" w:line="204" w:lineRule="auto"/>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The grant activity for performance share units is recorded based on the target performance level earning 100% of target performance share units. The actual number of performance share units earned could range from 0% to 200% of target dependent on the pre-established performance goals.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weighted-average grant-date fair value of restricted stock units granted during the three-months ended September 30, 2020 and 2019 was $71.76 per share and $66.00 per share, respectively. No performance share units were granted during the three-months ended September 30, 2020 and 2019. The weighted-average grant-date fair value of restricted stock units and performance share units granted during the nine-months ended September 30, 2020 was $62.79 per share. The weighted-average grant-date fair value of restricted stock units granted during the nine-months ended September 30, 2019 was $59.79 per share. No performance share units were granted during the nine- months ended September 30, 2019.</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2020, 0.8 million of restricted stock units and performance share units are expected to vest over their respective terms.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2020, total unrecognized compensation expense relating to non-vested restricted stock units and performance share units was $38.1 million, which is expected to be recognized over a weighted-average period of 2.4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Share-Based Awards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September 30, 2020, other share-based awards outstanding included grants that vest over three years payable in the first quarters of 2022 and 2023.</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2020, there was $2.7 million of total unrecognized compensation expense related to nonvested other share-based awards granted to employees under the Company's stock-based compensation plans. That cost is expected to be recognized over a weighted-average period of 1.8 years.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40" w:hanging="63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roll-forward of the Company’s total gross unrecognized tax benefits, not including interest and penalties, for the nine-months ended September 30, 2020:</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-119380</wp:posOffset>
            </wp:positionV>
            <wp:extent cx="503174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31740" cy="145415"/>
                    </a:xfrm>
                    <a:prstGeom prst="rect">
                      <a:avLst/>
                    </a:prstGeom>
                    <a:noFill/>
                  </pic:spPr>
                </pic:pic>
              </a:graphicData>
            </a:graphic>
          </wp:anchor>
        </w:drawing>
      </w:r>
    </w:p>
    <w:p>
      <w:pPr>
        <w:spacing w:after="0" w:line="7" w:lineRule="exact"/>
        <w:rPr>
          <w:sz w:val="20"/>
          <w:szCs w:val="20"/>
          <w:color w:val="auto"/>
        </w:rPr>
      </w:pPr>
    </w:p>
    <w:p>
      <w:pPr>
        <w:jc w:val="both"/>
        <w:ind w:left="1000" w:right="1560"/>
        <w:spacing w:after="0" w:line="259" w:lineRule="auto"/>
        <w:rPr>
          <w:sz w:val="20"/>
          <w:szCs w:val="20"/>
          <w:color w:val="auto"/>
        </w:rPr>
      </w:pPr>
      <w:r>
        <w:rPr>
          <w:rFonts w:ascii="Times New Roman" w:cs="Times New Roman" w:eastAsia="Times New Roman" w:hAnsi="Times New Roman"/>
          <w:sz w:val="18"/>
          <w:szCs w:val="18"/>
          <w:color w:val="auto"/>
        </w:rPr>
        <w:t>Additions for tax positions related to the current year Additions for tax positions related to the prior years Decreases related to settlement with taxing authority Balance at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-421005</wp:posOffset>
            </wp:positionV>
            <wp:extent cx="503174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031740" cy="137160"/>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-146685</wp:posOffset>
            </wp:positionV>
            <wp:extent cx="503174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Gross Unrecognized Tax</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Benefits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20" w:type="dxa"/>
            <w:vAlign w:val="bottom"/>
            <w:tcBorders>
              <w:top w:val="single" w:sz="8" w:color="auto"/>
            </w:tcBorders>
            <w:gridSpan w:val="2"/>
          </w:tcPr>
          <w:p>
            <w:pPr>
              <w:jc w:val="right"/>
              <w:ind w:right="584"/>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2,993</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380" w:space="720"/>
            <w:col w:w="2820"/>
          </w:cols>
          <w:pgMar w:left="980" w:top="661" w:right="999" w:bottom="1440" w:gutter="0" w:footer="0" w:header="0"/>
          <w:type w:val="continuous"/>
        </w:sect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in the provision for income taxes in the Company’s condensed consolidated financial statements. As of September 30, 2020, the Company had approximately $0.5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subject to U.S. federal income tax as well as to income tax in multiple state and foreign jurisdictions.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in various stages of examination with certain states and certain foreign jurisdictions, including the United Kingdom and Ireland. The Company’s 2016 through 2019 U.S. federal income tax returns are subject to examination by the IRS. The Company’s state income tax returns are subject to examination for the 2015 through 2019 tax years.</w:t>
      </w:r>
    </w:p>
    <w:p>
      <w:pPr>
        <w:spacing w:after="0" w:line="176" w:lineRule="exact"/>
        <w:rPr>
          <w:sz w:val="20"/>
          <w:szCs w:val="20"/>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weighted-average shares used in the basic and diluted earnings per common share computations is presented below (in thousands):</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7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Three-Months Ended</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Nine-Months Ended</w:t>
            </w:r>
          </w:p>
        </w:tc>
      </w:tr>
      <w:tr>
        <w:trPr>
          <w:trHeight w:val="234"/>
        </w:trPr>
        <w:tc>
          <w:tcPr>
            <w:tcW w:w="4620" w:type="dxa"/>
            <w:vAlign w:val="bottom"/>
          </w:tcPr>
          <w:p>
            <w:pPr>
              <w:spacing w:after="0"/>
              <w:rPr>
                <w:sz w:val="20"/>
                <w:szCs w:val="20"/>
                <w:color w:val="auto"/>
              </w:rPr>
            </w:pPr>
          </w:p>
        </w:tc>
        <w:tc>
          <w:tcPr>
            <w:tcW w:w="17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September 30,</w:t>
            </w:r>
          </w:p>
        </w:tc>
        <w:tc>
          <w:tcPr>
            <w:tcW w:w="15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09"/>
        </w:trPr>
        <w:tc>
          <w:tcPr>
            <w:tcW w:w="46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2019</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527,637</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544,469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530,194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543,804</w:t>
            </w:r>
          </w:p>
        </w:tc>
      </w:tr>
      <w:tr>
        <w:trPr>
          <w:trHeight w:val="216"/>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Dilutive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1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r>
      <w:tr>
        <w:trPr>
          <w:trHeight w:val="210"/>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533,263</w:t>
            </w: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548,422</w:t>
            </w: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535,011</w:t>
            </w: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548,387</w:t>
            </w:r>
          </w:p>
        </w:tc>
      </w:tr>
      <w:tr>
        <w:trPr>
          <w:trHeight w:val="20"/>
        </w:trPr>
        <w:tc>
          <w:tcPr>
            <w:tcW w:w="4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2020 and 2019, options and awards outstanding totaling 0.6 million shares and 4.7 million shares, respectively, were excluded from the calculations as their effect would have been antidilutive. For the nine-months ended September 30, 2020 and 2019, options and awards outstanding totaling 4.2 million shares and 4.3 million shares, respectively, were excluded from the calculations as their effect would have been antidilutive.</w:t>
      </w:r>
    </w:p>
    <w:p>
      <w:pPr>
        <w:spacing w:after="0" w:line="180" w:lineRule="exact"/>
        <w:rPr>
          <w:sz w:val="20"/>
          <w:szCs w:val="20"/>
          <w:color w:val="auto"/>
        </w:rPr>
      </w:pPr>
    </w:p>
    <w:p>
      <w:pPr>
        <w:ind w:left="680" w:hanging="672"/>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INFORMATION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three operating and reportable segments: (i) Monster Energy® Drinks segment, which is primarily comprised of the Company’s Monster Energy® drinks and Reign Total Body Fuel® high performance energy drinks, (ii) Strategic Brands segment, which is primarily comprised of the various energy drink brands acquired from TCCC in 2015 as well as the Company’s affordable energy brands, and (iii) Other segment, which is comprised of the AFF Third-Party Products.</w:t>
      </w:r>
    </w:p>
    <w:p>
      <w:pPr>
        <w:sectPr>
          <w:pgSz w:w="11900" w:h="16838" w:orient="portrait"/>
          <w:cols w:equalWidth="0" w:num="1">
            <w:col w:w="9920"/>
          </w:cols>
          <w:pgMar w:left="980" w:top="661"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Monster Energy® Drinks segment primarily generates net operating revenues by selling ready-to-drink packaged drinks primarily to bottlers/distributors. In some cases, the Company sells directly to retail grocery and specialty chains, wholesalers, club stores, mass merchandisers, convenience chains, drug stores, foodservice customers, value stores, e-commerce retailers and the military.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Generally, the Monster Energy® Drinks segment generates higher per case net operating revenues, but lower per case gross profit margin percentages than the Strategic Brands segment.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net revenues derived from the Company’s reportable segments and other financial information related thereto for the three-and nine-months ended September 30, 2020 and 2019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2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Three-Months Ended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0" w:type="dxa"/>
            <w:vAlign w:val="bottom"/>
            <w:gridSpan w:val="5"/>
          </w:tcPr>
          <w:p>
            <w:pPr>
              <w:jc w:val="right"/>
              <w:ind w:right="1280"/>
              <w:spacing w:after="0"/>
              <w:rPr>
                <w:sz w:val="20"/>
                <w:szCs w:val="20"/>
                <w:color w:val="auto"/>
              </w:rPr>
            </w:pPr>
            <w:r>
              <w:rPr>
                <w:rFonts w:ascii="Times New Roman" w:cs="Times New Roman" w:eastAsia="Times New Roman" w:hAnsi="Times New Roman"/>
                <w:sz w:val="18"/>
                <w:szCs w:val="18"/>
                <w:color w:val="auto"/>
              </w:rPr>
              <w:t>Nine-Months Ended</w:t>
            </w:r>
          </w:p>
        </w:tc>
      </w:tr>
      <w:tr>
        <w:trPr>
          <w:trHeight w:val="234"/>
        </w:trPr>
        <w:tc>
          <w:tcPr>
            <w:tcW w:w="10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September 30,</w:t>
            </w:r>
          </w:p>
        </w:tc>
      </w:tr>
      <w:tr>
        <w:trPr>
          <w:trHeight w:val="210"/>
        </w:trPr>
        <w:tc>
          <w:tcPr>
            <w:tcW w:w="10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2020</w:t>
            </w:r>
          </w:p>
        </w:tc>
        <w:tc>
          <w:tcPr>
            <w:tcW w:w="1120" w:type="dxa"/>
            <w:vAlign w:val="bottom"/>
            <w:tcBorders>
              <w:top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c>
          <w:tcPr>
            <w:tcW w:w="980" w:type="dxa"/>
            <w:vAlign w:val="bottom"/>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8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Monster Energy® Drinks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$ 1,163,419</w:t>
            </w: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$ 1,061,383</w:t>
            </w:r>
          </w:p>
        </w:tc>
        <w:tc>
          <w:tcPr>
            <w:tcW w:w="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$ 3,183,559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$ 2,950,877</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74,325</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66,333</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198,429</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215,763</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8,618</w:t>
            </w: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20,367</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$ 1,246,362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$ 1,133,577</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$ 3,402,355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$ 3,183,613</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08"/>
        </w:trPr>
        <w:tc>
          <w:tcPr>
            <w:tcW w:w="1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color w:val="auto"/>
                <w:w w:val="99"/>
              </w:rPr>
              <w:t>Three-Months Ended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gridSpan w:val="5"/>
          </w:tcPr>
          <w:p>
            <w:pPr>
              <w:jc w:val="right"/>
              <w:ind w:right="1280"/>
              <w:spacing w:after="0"/>
              <w:rPr>
                <w:sz w:val="20"/>
                <w:szCs w:val="20"/>
                <w:color w:val="auto"/>
              </w:rPr>
            </w:pPr>
            <w:r>
              <w:rPr>
                <w:rFonts w:ascii="Times New Roman" w:cs="Times New Roman" w:eastAsia="Times New Roman" w:hAnsi="Times New Roman"/>
                <w:sz w:val="18"/>
                <w:szCs w:val="18"/>
                <w:color w:val="auto"/>
              </w:rPr>
              <w:t>Nine-Months Ended</w:t>
            </w:r>
          </w:p>
        </w:tc>
      </w:tr>
      <w:tr>
        <w:trPr>
          <w:trHeight w:val="234"/>
        </w:trPr>
        <w:tc>
          <w:tcPr>
            <w:tcW w:w="10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30,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September 30,</w:t>
            </w:r>
          </w:p>
        </w:tc>
      </w:tr>
      <w:tr>
        <w:trPr>
          <w:trHeight w:val="210"/>
        </w:trPr>
        <w:tc>
          <w:tcPr>
            <w:tcW w:w="10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6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2020</w:t>
            </w:r>
          </w:p>
        </w:tc>
        <w:tc>
          <w:tcPr>
            <w:tcW w:w="1120" w:type="dxa"/>
            <w:vAlign w:val="bottom"/>
            <w:tcBorders>
              <w:top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8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Monster Energy® Drinks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 ⁽</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1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$ 502,392</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$ 433,848</w:t>
            </w:r>
          </w:p>
        </w:tc>
        <w:tc>
          <w:tcPr>
            <w:tcW w:w="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$ 1,366,920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$ 1,187,652</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1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43,875</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35,107</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118,287</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130,762</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2,368</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7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(90,034)</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(74,517)</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(259,135)</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(235,546)</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7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$ 458,601</w:t>
            </w:r>
          </w:p>
        </w:tc>
        <w:tc>
          <w:tcPr>
            <w:tcW w:w="180" w:type="dxa"/>
            <w:vAlign w:val="bottom"/>
            <w:gridSpan w:val="2"/>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$ 395,443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$ 1,230,852</w:t>
            </w:r>
          </w:p>
        </w:tc>
        <w:tc>
          <w:tcPr>
            <w:tcW w:w="18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$ 1,085,894</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4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Three-Months Ended</w:t>
            </w:r>
          </w:p>
        </w:tc>
        <w:tc>
          <w:tcPr>
            <w:tcW w:w="200" w:type="dxa"/>
            <w:vAlign w:val="bottom"/>
          </w:tcPr>
          <w:p>
            <w:pPr>
              <w:spacing w:after="0"/>
              <w:rPr>
                <w:sz w:val="18"/>
                <w:szCs w:val="18"/>
                <w:color w:val="auto"/>
              </w:rPr>
            </w:pPr>
          </w:p>
        </w:tc>
        <w:tc>
          <w:tcPr>
            <w:tcW w:w="20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Nine-Months Ended</w:t>
            </w:r>
          </w:p>
        </w:tc>
      </w:tr>
      <w:tr>
        <w:trPr>
          <w:trHeight w:val="234"/>
        </w:trPr>
        <w:tc>
          <w:tcPr>
            <w:tcW w:w="3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20"/>
                <w:szCs w:val="20"/>
                <w:color w:val="auto"/>
              </w:rPr>
            </w:pPr>
          </w:p>
        </w:tc>
        <w:tc>
          <w:tcPr>
            <w:tcW w:w="204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09"/>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2020</w:t>
            </w: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18"/>
                <w:szCs w:val="18"/>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18"/>
                <w:szCs w:val="18"/>
                <w:color w:val="auto"/>
              </w:rPr>
            </w:pPr>
          </w:p>
        </w:tc>
        <w:tc>
          <w:tcPr>
            <w:tcW w:w="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w:t>
            </w:r>
          </w:p>
        </w:tc>
        <w:tc>
          <w:tcPr>
            <w:tcW w:w="8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310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Monster Energy® Drinks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 ⁽</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$ 502,500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$ 434,003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$ 1,367,096</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$ 1,187,916</w:t>
            </w:r>
          </w:p>
        </w:tc>
      </w:tr>
      <w:tr>
        <w:trPr>
          <w:trHeight w:val="216"/>
        </w:trPr>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118,287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130,758</w:t>
            </w:r>
          </w:p>
        </w:tc>
      </w:tr>
      <w:tr>
        <w:trPr>
          <w:trHeight w:val="216"/>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3,031</w:t>
            </w:r>
          </w:p>
        </w:tc>
      </w:tr>
      <w:tr>
        <w:trPr>
          <w:trHeight w:val="216"/>
        </w:trPr>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(94,711)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(264,802)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(226,976)</w:t>
            </w:r>
          </w:p>
        </w:tc>
      </w:tr>
      <w:tr>
        <w:trPr>
          <w:trHeight w:val="210"/>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$ 454,033</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$ 398,564</w:t>
            </w:r>
          </w:p>
        </w:tc>
        <w:tc>
          <w:tcPr>
            <w:tcW w:w="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$ 1,225,361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$ 1,094,729</w:t>
            </w:r>
          </w:p>
        </w:tc>
      </w:tr>
      <w:tr>
        <w:trPr>
          <w:trHeight w:val="20"/>
        </w:trPr>
        <w:tc>
          <w:tcPr>
            <w:tcW w:w="3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680" w:hanging="321"/>
        <w:spacing w:after="0" w:line="264" w:lineRule="auto"/>
        <w:tabs>
          <w:tab w:leader="none" w:pos="68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$10.5 million and $10.7 million for the three-months ended September 30, 2020 and 2019, respectively, related to the recognition of deferred revenue. Includes $31.6 million and $35.6 million for the nine-months ended September 30, 2020 and 2019, respectively, related to the recognition of deferred revenue.</w:t>
      </w:r>
    </w:p>
    <w:p>
      <w:pPr>
        <w:spacing w:after="0" w:line="131" w:lineRule="exact"/>
        <w:rPr>
          <w:rFonts w:ascii="Times New Roman" w:cs="Times New Roman" w:eastAsia="Times New Roman" w:hAnsi="Times New Roman"/>
          <w:sz w:val="14"/>
          <w:szCs w:val="14"/>
          <w:i w:val="1"/>
          <w:iCs w:val="1"/>
          <w:color w:val="auto"/>
        </w:rPr>
      </w:pPr>
    </w:p>
    <w:p>
      <w:pPr>
        <w:ind w:left="680" w:hanging="321"/>
        <w:spacing w:after="0" w:line="264" w:lineRule="auto"/>
        <w:tabs>
          <w:tab w:leader="none" w:pos="68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three-months ended September 30, 2020 and 2019 includes no distributor termination costs. Includes $0.2 million and $11.0 million for the nine-months ended September 30, 2020 and 2019, respectively, related to distributor termination costs.</w:t>
      </w:r>
    </w:p>
    <w:p>
      <w:pPr>
        <w:spacing w:after="0" w:line="17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Three-Months Ended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color w:val="auto"/>
              </w:rPr>
              <w:t>Nine-Months Ended</w:t>
            </w:r>
          </w:p>
        </w:tc>
      </w:tr>
      <w:tr>
        <w:trPr>
          <w:trHeight w:val="234"/>
        </w:trPr>
        <w:tc>
          <w:tcPr>
            <w:tcW w:w="3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09"/>
        </w:trPr>
        <w:tc>
          <w:tcPr>
            <w:tcW w:w="3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2019</w:t>
            </w:r>
          </w:p>
        </w:tc>
      </w:tr>
      <w:tr>
        <w:trPr>
          <w:trHeight w:val="20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Monster Energy® Drinks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27,687</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29,449</w:t>
            </w:r>
          </w:p>
        </w:tc>
      </w:tr>
      <w:tr>
        <w:trPr>
          <w:trHeight w:val="216"/>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r>
      <w:tr>
        <w:trPr>
          <w:trHeight w:val="216"/>
        </w:trPr>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r>
      <w:tr>
        <w:trPr>
          <w:trHeight w:val="216"/>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9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w:t>
            </w:r>
          </w:p>
        </w:tc>
      </w:tr>
      <w:tr>
        <w:trPr>
          <w:trHeight w:val="210"/>
        </w:trPr>
        <w:tc>
          <w:tcPr>
            <w:tcW w:w="3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45,021</w:t>
            </w:r>
          </w:p>
        </w:tc>
      </w:tr>
      <w:tr>
        <w:trPr>
          <w:trHeight w:val="20"/>
        </w:trPr>
        <w:tc>
          <w:tcPr>
            <w:tcW w:w="3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Corporate and unallocated expenses for the three- months ended September 30, 2020 include $61.7 million of payroll costs, of which $19.2 million was attributable to stock-based compensation expenses (see Note 15 "Stock-Based Compensation"), as well as $16.7 million attributable to professional service expenses, including accounting and legal costs, and $11.6 million of other operating expenses. Corporate and unallocated expenses for the three-months ended September 30, 2019 include $50.1 million of payroll costs, of which $16.0 million was attributable to stock-based compensation expenses (see Note 15 "Stock-Based Compensation"), as well as $13.3 million attributable to professional service expenses, including accounting and legal costs, and $11.1 million of other operating expenses.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Corporate and unallocated expenses for the nine-months ended September 30, 2020 include $173.5 million of payroll costs, of which $52.7 million was attributable to stock-based compensation expenses (see Note 15 "Stock-Based Compensation"), as well as $50.1 million attributable to professional service expenses, including accounting and legal costs, and $35.5 million of other operating expenses. Corporate and unallocated expenses for the nine-months ended September 30, 2019 include $151.0 million of payroll costs, of which $46.9 million was attributable to stock-based compensation expenses (see Note 15 "Stock-Based Compensation"), as well as $49.2 million attributable to professional service expenses, including accounting and legal costs, and $35.3 million of other operating expenses.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Coca-Cola Consolidated, Inc. accounted for approximately 12% and 13% of the Company’s net sales for the three- months ended September 30, 2020 and 2019, respectively. Coca-Cola Consolidated, Inc. accounted for approximately 12% and 13% of the Company's net sales for the nine- months ended September 30, 2020 and 2019,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Reyes Coca-Cola Bottling, LLC accounted for approximately 11% and 12% of the Company’s net sales for the three- months ended September 30, 2020 and 2019, respectively. Reyes Coca-Cola Bottling, LLC accounted for approximately 11% and 12% of the Company's net sales for the nine-months ended September 30, 2020 and 2019 ,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Coca-Cola European Partners accounted for approximately 11% and 10% of the Company’s net sales for the three- months ended September 30, 2020 and 2019, respectively. Coca-Cola European Partners accounted for approximately 10% of the Company's net sales for both the nine- months ended September 30, 2020 and 2019.</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sales to customers outside the United States amounted to $444.5 million and $379.8 million for the three- months ended September 30, 2020 and 2019, respectively. Such sales were approximately 36% and 34% of net sales for the three- months ended September 30, 2020 and 2019, respectively. Net sales to customers outside the United States amounted to $1.13 billion and $1.01 billion for the nine-months ended September 30, 2020 and 2019, respectively. Such sales were approximately 33% and 32% of net sales for the nine-months ended September 30, 2020 and 2019, respectively.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Goodwill and other intangible assets for the Company’s reportable segments as of September 30, 2020 and December 31, 2019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56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auto"/>
              </w:rPr>
              <w:t>September 30,</w:t>
            </w: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2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Monster Energy® Drinks</w:t>
            </w:r>
          </w:p>
        </w:tc>
        <w:tc>
          <w:tcPr>
            <w:tcW w:w="16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1,404,754</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1,384,940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975,392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984,393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2,391,180</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2,383,748</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7"/>
              </w:rPr>
              <w:t>19.</w:t>
            </w:r>
          </w:p>
        </w:tc>
        <w:tc>
          <w:tcPr>
            <w:tcW w:w="46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vMerge w:val="continue"/>
          </w:tcPr>
          <w:p>
            <w:pPr>
              <w:spacing w:after="0"/>
              <w:rPr>
                <w:sz w:val="24"/>
                <w:szCs w:val="24"/>
                <w:color w:val="auto"/>
              </w:rPr>
            </w:pPr>
          </w:p>
        </w:tc>
        <w:tc>
          <w:tcPr>
            <w:tcW w:w="468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TCCC controls approximately 19.3% of the voting interests of the Company. The TCCC Subsidiaries, the TCCC Related Parties and certain TCCC independent bottlers/distributors, purchase and distribute the Company’s products in domestic and certain international markets. The Company also pays TCCC a commission based on certain sales within the TCCC distribution network.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TCCC commissions, based on sales to the TCCC Subsidiaries and the TCCC Related Parties, were $15.7 million and $11.6 million for the three-months ended September 30, 2020 and 2019, respectively, and are included as a reduction to net sales. TCCC commissions, based on sales to the TCCC Subsidiaries and the TCCC Related Parties, were $37.7 million and $39.5 million for the nine-months ended September 30, 2020 and 2019, respectively, and are included as a reduction to net sales.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TCCC commissions, based on sales to certain TCCC independent bottlers/distributors, were $5.5 million and $4.7 million for the three-months ended September 30, 2020 and 2019, respectively, and are included in operating expenses. TCCC commissions, based on sales to certain TCCC independent bottlers/distributors, were $15.2 million and $13.6 million for the nine-months ended September 30, 2020 and 2019, respectively, and are included in operating expenses.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sales to the TCCC Subsidiaries for the three-months ended September 30, 2020 and 2019 were $21.5 million and $21.0 million, respectively. Net sales to the TCCC Subsidiaries for the nine-months ended September 30, 2020 and 2019 were $55.2 million and $59.5 million, respectively.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also purchases concentrates from TCCC which are then sold to certain of the Company’s bottlers/distributors. Concentrate purchases from TCCC were $6.8 million and $6.3 million for the three-months ended September 30, 2020 and 2019, respectively. Concentrate purchases from TCCC were $17.6 million and $20.2 million for the nine-months ended September 30, 2020 and 2019, respectively.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TCCC Subsidiaries also contract manufacture certain of the Company’s energy drinks. Such contract manufacturing expenses were $5.1 million and $4.2 million for the three- months ended September 30, 2020 and 2019, respectively. Such contract manufacturing expenses were $11.3 million and $13.1 million for the nine-months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 accounts payable, accrued promotional allowances and accrued liabilities related to the TCCC Subsidiaries are as follows at:</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70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September 30,</w:t>
            </w: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398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2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(25,832)</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(18,217)</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promotional allowances</w:t>
            </w:r>
          </w:p>
        </w:tc>
        <w:tc>
          <w:tcPr>
            <w:tcW w:w="182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82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(32,615)</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One director of the Company through certain trusts, and a family member of one director, are principal owners of a company that provides promotional materials to the Company. Expenses incurred with such company in connection with promotional materials purchased during the three-months ended September 30, 2020 and 2019 were $0.4 million and $0.5 million, respectively. Expenses incurred with such company in connection with promotional materials purchased during the nine-months ended September 30, 2020 and 2019 were $1.9 million and $1.1 million, respectively.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2018, the Company and a director of the Company entered into a 50-50 partnership that purchased land, and real property thereon, in Kona, Hawaii for the purpose of producing coffee products. The Company’s initial 50% contribution of $1.9 million was accounted for as an equity investment. During the three-months ended September 30, 2020, the Company recorded an equity loss of $0.04 million. During the nine-months ended September 30, 2020, the Company recorded an equity loss of $0.3 million. As of September 30, 2020, the Company’s equity investment is $1.6 million and is included in other assets (non-current) in the accompanying condensed consolidated balance sheet.</w:t>
      </w:r>
    </w:p>
    <w:p>
      <w:pPr>
        <w:spacing w:after="0" w:line="187" w:lineRule="exact"/>
        <w:rPr>
          <w:sz w:val="20"/>
          <w:szCs w:val="20"/>
          <w:color w:val="auto"/>
        </w:rPr>
      </w:pPr>
    </w:p>
    <w:p>
      <w:pPr>
        <w:ind w:left="640" w:hanging="63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EVENTS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October 2020, the Company completed an intra-entity transfer of intangible assets between certain of the Company’s foreign subsidiaries to better align its international structure with its expanding operations. As a result, the Company’s fourth quarter 2020 provision for income taxes will be materially impacted. The transfer resulted in a step-up of the tax-deductible basis in the transferred assets, and created a temporary difference between the tax basis and book basis of such intangible assets. The Company will recognize deferred tax assets of approximately $165.0 million, with a corresponding reduction to the provision for income taxes during the fourth quarter of 2020 in its consolidated financial statements. The tax deductions for the amortization of the deferred tax assets will be recognized in the future and any amortization not deducted for tax purposes will be carried forward indefinitely. The tax impact on the foreign subsidiary transferor was not material.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 – 19 Pandemic</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current COVID-19 pandemic has presented a substantial public health and economic challenge around the world and is affecting our employees, communities and business operations, as well as the global economy and financial markets. The human and economic consequences of the COVID-19 pandemic as well as the measures taken or that may be taken in the future by governments, and consequently businesses (including the Company and its suppliers, full service beverage bottlers/distributors (“bottlers/distributors”), co-packers and other service providers) and the public at large to limit the COVID-19 pandemic, has directly and indirectly impacted our business. The duration and severity of this impact will depend on future developments that are highly uncertain and cannot be accurately predicted, including new information that may emerge concerning the COVID-19 pandemic, the actions taken to limit its spread and the economic impact on local, regional, national and international markets. See the section entitled “Risk Factors” in Item 1A of this Quarterly Report.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been actively addressing the COVID-19 pandemic with a global task force team working to mitigate the potential impacts to our people and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Health and Safety of our Employees and Business Partners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the beginning of the COVID-19 pandemic, our top priority has been the health, safety and well-being of our employees. Early in March 2020, we implemented global travel restrictions and work-from-home policies for employees who are able to work remotely. For those employees who are unable to work remotely, safety precautions have been instituted, which were developed and adopted in line with guidance from public health authorities and professional consultants. Currently, certain of our offices have partially reopened in the U.S. and in certain countries, and generally, our field sales teams are working with our bottler/distributors and retailers subject to certain safety protocols. We are incredibly proud of the teamwork exhibited by our employees, co-packers and bottlers/distributors around the world who are ensuring the integrity of our supply chain.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Customer Demand</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Despite the ongoing impact of the COVID-19 pandemic, we achieved record third quarter net sales and the highest quarterly net sales in our history. While the performance in Europe, Middle East and Africa (“EMEA”) was solid in the third quarter, EMEA remained adversely affected by the COVID-19 pandemic.</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Since mid-March 2020, we have seen a shift in consumer channel preferences and package configurations, including an increase in at-home consumption and a decrease in food service on-premise consumption. Our sales in the 2020 second quarter were initially adversely affected as a result of a decrease in foot traffic in the convenience and gas channel (which is our largest channel) but improved sequentially from the latter half of the 2020 second quarter and throughout the 2020 third quarter. Our e-commerce, club store, mass merchandiser and grocery and related business continued to increase over the 2020 second and 2020 third quarters, while our food service on-premise business, which is a small channel for the Company, remained challenged. The duration of these trends and the magnitude of such impacts on future periods cannot be precisely estimated at this time, as they are affected by a number of factors (many of which are outside our control).</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recently seen a resurgence of the COVID-19 pandemic in the Northern Hemisphere. As a result, a number of countries, particularly in EMEA, have reinstituted lockdowns and other restrictions, which could further impact customer demand.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reduction in demand for our products or changes in consumer purchasing and consumption patterns, as well as continued economic uncertainty as a result of the COVID-19 pandemic, could adversely affect the financial conditions of retailers and consumers, resulting in reduced or canceled orders for our products, purchase returns and closings of retail or wholesale establishments or other locations in which our products are sold.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Distribution and Supply Chain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the date of this filing, we do not foresee a material impact on the ability of our co-packers to manufacture and our bottlers/distributors to distribute our products as a result of the COVID-19 pandemic. In addition, we are not experiencing significant raw material or finished product shortages in our supply chain and our supply chain remains intact. We are continually addressing our aluminum can requirements given our volume growth and the current supply constraints in the aluminum can industry. Depending on the duration of any COVID-19 pandemic related issues, we may experience material disruptions in our supply chain as the pandemic continues.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 and Capital Resources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filing, we expect to maintain substantial liquidity as we manage through the current environment as described in the “Liquidity and Capital Resources” section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develop, market, sell and distribute energy drink beverages and concentrates for energy drink beverages, primarily under the following brand names:</w:t>
      </w:r>
    </w:p>
    <w:p>
      <w:pPr>
        <w:spacing w:after="0" w:line="9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Monster Energy®</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NOS®</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Monster Energy Ultra®</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Full Throttle®</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Monster Rehab®</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Burn®</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Monster MAXX®</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Mother®</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Java Monster®</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Nalu®</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Muscle Monster®</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Ultra Energy®</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Espresso Monster®</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Play® and Power Play® (stylized)</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Punch Monster®</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Relentless®</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Juice Monster®</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BPM®</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Monster Hydro®</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Monster HydroSport Super Fuel®</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Gladiator®</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Monster Dragon Tea®</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Samurai®</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Reign Total Body Fuel®</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Live+®</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Reign Inferno® Thermogenic Fuel</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Predator®</w:t>
            </w:r>
          </w:p>
        </w:tc>
      </w:tr>
      <w:tr>
        <w:trPr>
          <w:trHeight w:val="234"/>
        </w:trPr>
        <w:tc>
          <w:tcPr>
            <w:tcW w:w="2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Fury®</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three operating and reportable segments, (i) Monster Energy® Drinks segment (“Monster Energy® Drinks”), which is primarily comprised of our Monster Energy® drinks and Reign Total Body Fuel® high performance energy drinks, (ii) Strategic Brands segment (“Strategic Brands”), which is comprised primarily of the various energy drink brands acquired from The Coca-Cola Company (“TCCC”) in 2015 as well as our affordable energy brands, and (iii) Other segment (“Other”), which is comprised of certain products sold by American Fruits and Flavors LLC, a wholly-owned subsidiary, to independent third-party customers (the “AFF Third-Party Products”).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three-months ended September 30, 2020, we continued to expand our existing energy drink portfolio by adding additional products to our portfolio in a number of countries and further developed our distribution markets. During the three-months ended September 30, 2020, we sold the following new products to our bottlers/distributors:</w:t>
      </w:r>
    </w:p>
    <w:p>
      <w:pPr>
        <w:spacing w:after="0" w:line="113" w:lineRule="exact"/>
        <w:rPr>
          <w:sz w:val="20"/>
          <w:szCs w:val="20"/>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Juice Monster® Khaotic</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Energy + Juice</w:t>
      </w:r>
    </w:p>
    <w:p>
      <w:pPr>
        <w:ind w:left="1000" w:hanging="317"/>
        <w:spacing w:after="0" w:line="180" w:lineRule="auto"/>
        <w:tabs>
          <w:tab w:leader="none" w:pos="10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Juice Monster® Papillon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Energy + Juice</w:t>
      </w: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Monster Energy Ultra® Watermelon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Reign Total Body Fuel® Lilikoi Lychee</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 Energy® Peach Mango</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discontinue certain products and/or product lines. Those products or product lines discontinued in the three-months ended September 30, 2020, either individually or in aggregate, did not have a material adverse impact on our financial position, results of operations or liquidity.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net sales of $1.25 billion for the three-months ended September 30, 2020 represented record sales for our third fiscal quarter. Net changes in foreign currency exchange rates had an unfavorable impact on net sales of approximately $12.5 million for the three- months ended September 30, 2020.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vast majority of our net sales are derived from our Monster Energy(R) Drinks segment. Net sales of our Monster Energy®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Drinks segment were $1.16 billion for the three-months ended September 30, 2020. Net sales of our Strategic Brands segment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$74.3 million for the three-months ended September 30, 2020. Our Monster Energy® Drinks segment represented 93.3% and 93.6%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sales for the three-months ended September 30, 2020 and 2019, respectively. Our Strategic Brands segment represented 6.0%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 of our net sales for the three-months ended September 30, 2020 and 2019, respectively. Our Other segment represented 0.7%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of our net sales for the three-months ended September 30, 2020 and 2019, respectively.</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growth strategy includes expanding our international business. Net sales to customers outside the United States were $444.5 million for the three-months ended September 30, 2020, an increase of approximately $64.7 million, or 17.0% higher than net sales to customers outside of the United States of $379.8 million for the three-months ended September 30, 2019. Such sales were approximately 36% and 34% of net sales for the three-months ended September 30, 2020 and 2019, respectively.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customers are primarily bottlers/distributors, retail grocery and specialty chains, wholesalers, club stores, mass merchandisers, convenience chains, drug stores, foodservice customers and the military. Percentages of our gross sales to our various customer types for the three- and nine-months ended September 30, 2020 and 2019 are reflected below. Such information includes sales made by us directly to the customer types concerned, which include our bottlers/distributors in the United States. Such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26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color w:val="auto"/>
              </w:rPr>
              <w:t>Three-Months Ended</w:t>
            </w:r>
          </w:p>
        </w:tc>
        <w:tc>
          <w:tcPr>
            <w:tcW w:w="17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w w:val="99"/>
              </w:rPr>
              <w:t>Nine-Months Ended</w:t>
            </w:r>
          </w:p>
        </w:tc>
      </w:tr>
      <w:tr>
        <w:trPr>
          <w:trHeight w:val="234"/>
        </w:trPr>
        <w:tc>
          <w:tcPr>
            <w:tcW w:w="3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September 30,</w:t>
            </w:r>
          </w:p>
        </w:tc>
        <w:tc>
          <w:tcPr>
            <w:tcW w:w="17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September 30,</w:t>
            </w:r>
          </w:p>
        </w:tc>
      </w:tr>
      <w:tr>
        <w:trPr>
          <w:trHeight w:val="210"/>
        </w:trPr>
        <w:tc>
          <w:tcPr>
            <w:tcW w:w="39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CCEEFF"/>
            </w:tcBorders>
          </w:tcPr>
          <w:p>
            <w:pPr>
              <w:spacing w:after="0"/>
              <w:rPr>
                <w:sz w:val="18"/>
                <w:szCs w:val="18"/>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full service bottlers/distributors</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full service bottlers/distributors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Club stores and mass merchandisers</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Retail grocery, specialty chains and wholesalers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customers include Coca-Cola Canada Bottling Limited, Coca-Cola Consolidated, Inc., Coca-Cola Bottling Company United, Inc., Reyes Coca-Cola Bottling, LLC, Great Lakes Coca-Cola Distribution, LLC, Coca-Cola Southwest Beverages LLC, The Coca-Cola Bottling Company of Northern New England, Inc., Swire Pacific Holdings, Inc. (USA), Liberty Coca-Cola Beverages, LLC, Coca-Cola European Partners, Coca-Cola Hellenic, Coca-Cola FEMSA, Coca-Cola Amatil, Swire Coca-Cola (China), COFCO Coca-Cola, Coca-Cola Beverages Africa, Coca-Cola İçecek and certain other TCCC network bottlers, Asahi Soft Drinks, Co., Ltd., Wal-Mart, Inc. (including Sam’s Club), Costco Wholesale Corporation and Amazon.com, Inc. A decision by any large customer to decrease amounts purchased from us or to cease carrying our products could have a material adverse effect on our financial condition and consolidated results of operations.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Coca-Cola Consolidated, Inc. accounted for approximately 12% and 13% of our net sales for the three-months ended September 30, 2020 and 2019, respectively. Coca-Cola Consolidated, Inc. accounted for approximately 12% and 13% of our net sales for the nine-months ended September 30, 2020 and 2019, respectively.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Reyes Coca-Cola Bottling, LLC accounted for approximately 11% and 12% of our net sales for the three-months ended September 30, 2020 and 2019, respectively. Reyes Coca-Cola Bottling, LLC accounted for approximately 11% and 12% of our net sales for the nine-months ended September 30, 2020 and 2019,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Coca-Cola European Partners accounted for approximately 11% and 10% of our net sales for the three-months ended September 30, 2020 and 2019, respectively. Coca-Cola European Partners accounted for approximately 10% of our net sales for both the nine-months ended September 30, 2020 and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key statistics for the three- and nine-months ended September 30, 2020 and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color w:val="auto"/>
              </w:rPr>
              <w:t>Three-Months Ended</w:t>
            </w:r>
          </w:p>
        </w:tc>
        <w:tc>
          <w:tcPr>
            <w:tcW w:w="1080" w:type="dxa"/>
            <w:vAlign w:val="bottom"/>
            <w:gridSpan w:val="3"/>
          </w:tcPr>
          <w:p>
            <w:pPr>
              <w:jc w:val="center"/>
              <w:ind w:right="216"/>
              <w:spacing w:after="0"/>
              <w:rPr>
                <w:sz w:val="20"/>
                <w:szCs w:val="20"/>
                <w:color w:val="auto"/>
              </w:rPr>
            </w:pPr>
            <w:r>
              <w:rPr>
                <w:rFonts w:ascii="Times New Roman" w:cs="Times New Roman" w:eastAsia="Times New Roman" w:hAnsi="Times New Roman"/>
                <w:sz w:val="18"/>
                <w:szCs w:val="18"/>
                <w:color w:val="auto"/>
                <w:w w:val="98"/>
              </w:rPr>
              <w:t>Percentage</w:t>
            </w:r>
          </w:p>
        </w:tc>
        <w:tc>
          <w:tcPr>
            <w:tcW w:w="2060" w:type="dxa"/>
            <w:vAlign w:val="bottom"/>
            <w:gridSpan w:val="5"/>
          </w:tcPr>
          <w:p>
            <w:pPr>
              <w:jc w:val="center"/>
              <w:ind w:right="190"/>
              <w:spacing w:after="0"/>
              <w:rPr>
                <w:sz w:val="20"/>
                <w:szCs w:val="20"/>
                <w:color w:val="auto"/>
              </w:rPr>
            </w:pPr>
            <w:r>
              <w:rPr>
                <w:rFonts w:ascii="Times New Roman" w:cs="Times New Roman" w:eastAsia="Times New Roman" w:hAnsi="Times New Roman"/>
                <w:sz w:val="18"/>
                <w:szCs w:val="18"/>
                <w:color w:val="auto"/>
                <w:w w:val="99"/>
              </w:rPr>
              <w:t>Nine-Months Ended</w:t>
            </w:r>
          </w:p>
        </w:tc>
        <w:tc>
          <w:tcPr>
            <w:tcW w:w="9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34"/>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5"/>
          </w:tcPr>
          <w:p>
            <w:pPr>
              <w:jc w:val="right"/>
              <w:ind w:right="610"/>
              <w:spacing w:after="0"/>
              <w:rPr>
                <w:sz w:val="20"/>
                <w:szCs w:val="20"/>
                <w:color w:val="auto"/>
              </w:rPr>
            </w:pPr>
            <w:r>
              <w:rPr>
                <w:rFonts w:ascii="Times New Roman" w:cs="Times New Roman" w:eastAsia="Times New Roman" w:hAnsi="Times New Roman"/>
                <w:sz w:val="18"/>
                <w:szCs w:val="18"/>
                <w:color w:val="auto"/>
              </w:rPr>
              <w:t>September 30,</w:t>
            </w:r>
          </w:p>
        </w:tc>
        <w:tc>
          <w:tcPr>
            <w:tcW w:w="1080" w:type="dxa"/>
            <w:vAlign w:val="bottom"/>
            <w:gridSpan w:val="3"/>
          </w:tcPr>
          <w:p>
            <w:pPr>
              <w:jc w:val="center"/>
              <w:ind w:right="216"/>
              <w:spacing w:after="0"/>
              <w:rPr>
                <w:sz w:val="20"/>
                <w:szCs w:val="20"/>
                <w:color w:val="auto"/>
              </w:rPr>
            </w:pPr>
            <w:r>
              <w:rPr>
                <w:rFonts w:ascii="Times New Roman" w:cs="Times New Roman" w:eastAsia="Times New Roman" w:hAnsi="Times New Roman"/>
                <w:sz w:val="18"/>
                <w:szCs w:val="18"/>
                <w:color w:val="auto"/>
                <w:w w:val="98"/>
              </w:rPr>
              <w:t>Change</w:t>
            </w:r>
          </w:p>
        </w:tc>
        <w:tc>
          <w:tcPr>
            <w:tcW w:w="2060" w:type="dxa"/>
            <w:vAlign w:val="bottom"/>
            <w:gridSpan w:val="5"/>
          </w:tcPr>
          <w:p>
            <w:pPr>
              <w:jc w:val="center"/>
              <w:ind w:right="250"/>
              <w:spacing w:after="0"/>
              <w:rPr>
                <w:sz w:val="20"/>
                <w:szCs w:val="20"/>
                <w:color w:val="auto"/>
              </w:rPr>
            </w:pPr>
            <w:r>
              <w:rPr>
                <w:rFonts w:ascii="Times New Roman" w:cs="Times New Roman" w:eastAsia="Times New Roman" w:hAnsi="Times New Roman"/>
                <w:sz w:val="18"/>
                <w:szCs w:val="18"/>
                <w:color w:val="auto"/>
                <w:w w:val="99"/>
              </w:rPr>
              <w:t>September 30,</w:t>
            </w:r>
          </w:p>
        </w:tc>
        <w:tc>
          <w:tcPr>
            <w:tcW w:w="9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 vs. 19</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20 vs. 19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Net sales</w:t>
            </w:r>
            <w:r>
              <w:rPr>
                <w:rFonts w:ascii="Times New Roman" w:cs="Times New Roman" w:eastAsia="Times New Roman" w:hAnsi="Times New Roman"/>
                <w:sz w:val="24"/>
                <w:szCs w:val="24"/>
                <w:color w:val="auto"/>
                <w:vertAlign w:val="superscript"/>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1,133,577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3,402,355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3,183,613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509,831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460,575</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1,369,160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1,275,796</w:t>
            </w: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Gross profit*</w:t>
            </w:r>
            <w:r>
              <w:rPr>
                <w:rFonts w:ascii="Times New Roman" w:cs="Times New Roman" w:eastAsia="Times New Roman" w:hAnsi="Times New Roman"/>
                <w:sz w:val="24"/>
                <w:szCs w:val="24"/>
                <w:color w:val="auto"/>
                <w:vertAlign w:val="superscript"/>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673,002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2,033,195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1,907,817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a percentage of net 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59.1 %</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59.4 %</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59.8 %</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59.9 %</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277,559</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821,923</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as a percentage of net sales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5"/>
                <w:szCs w:val="25"/>
                <w:color w:val="auto"/>
                <w:vertAlign w:val="superscript"/>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395,443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1,230,852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1,085,894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as a percentage of net 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income,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(4,568)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20" w:type="dxa"/>
            <w:vAlign w:val="bottom"/>
          </w:tcPr>
          <w:p>
            <w:pPr>
              <w:spacing w:after="0"/>
              <w:rPr>
                <w:sz w:val="18"/>
                <w:szCs w:val="18"/>
                <w:color w:val="auto"/>
              </w:rPr>
            </w:pP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(5,491)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Income before provision for income taxes</w:t>
            </w:r>
            <w:r>
              <w:rPr>
                <w:rFonts w:ascii="Times New Roman" w:cs="Times New Roman" w:eastAsia="Times New Roman" w:hAnsi="Times New Roman"/>
                <w:sz w:val="25"/>
                <w:szCs w:val="25"/>
                <w:color w:val="auto"/>
                <w:vertAlign w:val="superscript"/>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398,564</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1,225,361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1,094,729</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106,379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99,641</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287,503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241,848</w:t>
            </w: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taxes as a percentage of income before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5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income</w:t>
            </w:r>
            <w:r>
              <w:rPr>
                <w:rFonts w:ascii="Times New Roman" w:cs="Times New Roman" w:eastAsia="Times New Roman" w:hAnsi="Times New Roman"/>
                <w:sz w:val="25"/>
                <w:szCs w:val="25"/>
                <w:color w:val="auto"/>
                <w:vertAlign w:val="superscript"/>
              </w:rPr>
              <w:t>1,2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347,654</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298,923</w:t>
            </w:r>
          </w:p>
        </w:tc>
        <w:tc>
          <w:tcPr>
            <w:tcW w:w="200" w:type="dxa"/>
            <w:vAlign w:val="bottom"/>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937,858</w:t>
            </w:r>
          </w:p>
        </w:tc>
        <w:tc>
          <w:tcPr>
            <w:tcW w:w="1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852,881</w:t>
            </w:r>
          </w:p>
        </w:tc>
        <w:tc>
          <w:tcPr>
            <w:tcW w:w="1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as a percentage of net sales</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27.9</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26.4</w:t>
            </w:r>
          </w:p>
        </w:tc>
        <w:tc>
          <w:tcPr>
            <w:tcW w:w="20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27.6</w:t>
            </w:r>
          </w:p>
        </w:tc>
        <w:tc>
          <w:tcPr>
            <w:tcW w:w="18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26.8</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Case sales (in thousands) (in 192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ounce case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equivalents)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121,854</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372,481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342,734</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Includes $10.5 million and $10.7 million for the three-months ended September 30, 2020 and 2019, respectively, related to the recognition of deferred revenue. Includes $31.6 million and $35.6 million for the nine- months ended September 30, 2020 and 2019, respectively, related to the recognition of deferred revenue.</w:t>
      </w:r>
    </w:p>
    <w:p>
      <w:pPr>
        <w:spacing w:after="0" w:line="103"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1"/>
          <w:szCs w:val="21"/>
          <w:i w:val="1"/>
          <w:iCs w:val="1"/>
          <w:color w:val="auto"/>
          <w:vertAlign w:val="superscript"/>
        </w:rPr>
        <w:t>2</w:t>
      </w:r>
      <w:r>
        <w:rPr>
          <w:rFonts w:ascii="Times New Roman" w:cs="Times New Roman" w:eastAsia="Times New Roman" w:hAnsi="Times New Roman"/>
          <w:sz w:val="14"/>
          <w:szCs w:val="14"/>
          <w:i w:val="1"/>
          <w:iCs w:val="1"/>
          <w:color w:val="auto"/>
        </w:rPr>
        <w:t>The three-months ended September 30, 2020 and 2019 includes no distributor termination costs. Includes $0.2 million and $11.0 million for the nine- months ended September 30, 2020 and 2019, respectively, of distributor termination costs.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Three-Months Ended September 30, 2020 Compared to the Three-Months Ended September 30, 2019.</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were $1.25 billion for the three-months ended September 30, 2020, an increase of approximately $112.8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9.9% higher than net sales of $1.13 billion for the three-months ended September 30, 2019. We do not believe that the COVID-19 pandemic had a material adverse impact on our net sales for the three-months ended September 30, 2020, other than in EMEA, where an adverse impact was experienced. Net changes in foreign currency exchange rates had an unfavorable impact on net sales of approximately $12.5 million for the three-months ended September 30, 2020.</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sales for the Monster Energy® Drinks segment were $1.16 billion for the three-months ended September 30, 2020, an increase of approximately $102.0 million, or 9.6% higher than net sales of $1.06 billion for the three-months ended September 30, 2019. Net sales for the Monster Energy® Drinks segment increased primarily due to increased worldwide sales by volume of our Monster Energy® brand energy drinks and increased sales by volume of our Reign Total Body Fuel® high performance energy drinks, both as a result of increased consumer demand. Net changes in foreign currency exchange rates had an unfavorable impact on net sales for the Monster Energy® Drinks segment of approximately $11.6 million for the three-months ended September 30, 2020.</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sales for the Strategic Brands segment were $74.3 million for the three-months ended September 30, 2020, an increase of approximately $8.0 million, or 12.0% higher than net sales of $66.3 million for the three-months ended September 30, 2019. Net sales for the Strategic Brands segment increased primarily due to increased worldwide sales by volume of our NOS®, Burn®, Predator® and Mother® brand energy drinks as a result of increased consumer demand, as well as sales of Fury® energy drinks introduced in certain countries in the 2020 second quarter. Net changes in foreign currency exchange rates had an unfavorable impact on net sales for the Strategic Brands segment of approximately $0.9 million for the three-months ended September 30, 2020.</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sales for the Other segment were $8.6 million for the three-months ended September 30, 2020, an increase of approximately $2.8 million, or 47.1% higher than net sales of $5.9 million for the three-months ended September 30, 2019.</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Case sales, in 192-ounce case equivalents, were 139.9 million cases for the three-months ended September 30, 2020, an increase of approximately 18.1 million cases or 14.8% higher than case sales of 121.9 million cases for the three-months ended September 30, 2019. The overall average net sales per case (excluding net sales of AFF Third-Party Products of $8.6 million and $5.9 million for the three-months ended September 30, 2020 and 2019, respectively, as these sales do not have unit case equivalents) decreased to $8.85 for the three-months ended September 30, 2020, which was 4.4% lower than the average net sales per case of $9.25 for the three-months ended September 30, 2019. The decrease in the average net sales per case was primarily the result of geographical sales mix, the increase in net sales of the Strategic Brands segment, which has a lower net sales price per case than the Monster Energy® Drinks segment, and an increase in promotional allowances as a percentage of net sales.</w:t>
      </w:r>
    </w:p>
    <w:p>
      <w:pPr>
        <w:spacing w:after="0" w:line="19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was $736.5 million for the three-months ended September 30, 2020, an increase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$63.5 million, or 9.4% higher than the gross profit of $673.0 million for the three- months ended September 30, 2019. The increase in gross profit dollars was primarily the result of the $112.8 million increase in net sales for the three-months ended September 30, 2020.</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profit as a percentage of net sales decreased to 59.1% for the three-months ended September 30, 2020 from 59.4% for the three-months ended September 30, 2019. The decrease for the three-months ended September 30, 2020 was primarily the result of geographical sales mix and higher allowances as a percentage of gross sales, partially offset by favorable aluminum can pricing.</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Total operating expenses were $277.9 million for the three-months ended September 30, 2020,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approximately $0.4 million, or 0.1% higher than total operating expenses of $277.6 million for the three-months ended September 30, 2019. As a percentage of net sales, operating expenses for the three-months ended September 30, 2020 were 22.3% as compared to 24.5% for the three-months ended September 30, 2019, primarily due to decreased expenditures of $14.1 million for sponsorship and endorsements and decreased expenditures of $9.3 million for travel and entertainment, each largely as a consequence of the COVID-19 pandemic. The costs for certain postponed or rescheduled events have been, or may be, deferred to future periods. Due to the uncertainty surrounding the COVID-19 pandemic, we are unable to estimate in which future periods, if any, such deferred sponsorship and endorsement costs will be recognized. The decrease in operating expenses as a percentage of net sales was partially offset by increased payroll expenses of $14.5 million (of which $3.5 million was related to an increase in stock-based compensation), increased expenditures of $7.4 million for social media and digital marketing, and increased out-bound freight and warehouse costs of $6.0 million.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Operating income was $458.6 million for the three-months ended September 30, 2020,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$63.2 million, or 16.0% higher than operating income of $395.4 million for the three-months ended September 30, 2019. Operating income as a percentage of net sales increased to 36.8% for the three-months ended September 30, 2020 from 34.9% for the three-months ended September 30, 2019. Operating income was $96.6 million and $72.6 million for the three-months ended September 30, 2020 and 2019, respectively, for our operations in EMEA, Asia Pacific and South America.</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income for the Monster Energy® Drinks segment, exclusive of corporate and unallocated expenses, was $502.4 million for the three-months ended September 30, 2020, an increase of approximately $68.5 million, or 15.8% higher than operating income of $433.8 million for the three-months ended September 30, 2019. The increase in operating income for the Monster Energy® Drinks segment was primarily the result of the $102.0 million increase in net sales and the $12.5 million decrease in operating expenses for the three-months ended September 30, 2020.</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income for the Strategic Brands segment, exclusive of corporate and unallocated expenses, was $43.9 million for the three-months ended September 30, 2020, an increase of approximately $8.8 million, or 25.0% higher than operating income of $35.1 million for the three-months ended September 30, 2019. The increase in operating income for the Strategic Brands segment was primarily the result of the $8.0 million increase in net sales, offset by a decrease of $2.2 million in advertising costs and a $1.4 million decrease in sponsorship and endorsement costs.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income for the Other segment, exclusive of corporate and unallocated expenses, was $2.4 million for the three-months ended September 30, 2020, an increase of approximately $1.4 million, or 135.5% higher than operating income of $1.0 million for the three-months ended September 30, 2019.</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Interest and Other (Expense)/Income, net</w:t>
      </w:r>
      <w:r>
        <w:rPr>
          <w:rFonts w:ascii="Times New Roman" w:cs="Times New Roman" w:eastAsia="Times New Roman" w:hAnsi="Times New Roman"/>
          <w:sz w:val="18"/>
          <w:szCs w:val="18"/>
          <w:color w:val="auto"/>
        </w:rPr>
        <w:t>. Interest and other non-operating (expense)/ income, net, was ($4.6)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three-months ended September 30, 2020, as compared to interest and other non- operating (expense)/ income, net, of $3.1 million for the three-months ended September 30, 2019. Foreign currency transaction losses were $4.8 million and $2.8 million for the three-months ended September 30, 2020 and 2019, respectively. Interest income was $1.5 million and $6.1 million for the three-months ended September 30, 2020 and 2019, respectively.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Provision for income taxes was $106.4 million for the three-months ended September 30, 2020,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$6.7 million, or 6.8% higher than the provision for income taxes of $99.6 million for the three-months ended September 30, 2019. The effective combined federal, state and foreign tax rate decreased to 23.4% from 25.0% for the three-months ended September 30, 2020 and 2019, respectively. The decrease in the effective tax rate was primary attributable to lower income taxes in certain foreign jurisdictions as well as an increase in the equity compensation deduction.</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was $347.7 million for the three-months ended September 30, 2020, an increase of $48.7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16.3% higher than net income of $298.9 million for the three-months ended September 30, 2019. The increase in net income was primarily due to the $63.5 million increase in gross profit for the three-months ended September 30,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Nine-Months Ended September 30, 2020 Compared to the Nine-Months Ended September 30, 2019.</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were $3.40 billion for the nine-months ended September 30, 2020, an increase of approximately $218.7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6.9% higher than net sales of $3.18 billion for the nine-months ended September 30, 2019. The COVID-19 pandemic had an adverse impact on net sales for the nine-months ended September 30, 2020. Net changes in foreign currency exchange rates had an unfavorable impact on net sales of approximately $41.1 million for the nine-months ended September 30, 2020.</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sales for the Monster Energy® Drinks segment were $3.18 billion for the nine-months ended September 30, 2020, an increase of approximately $232.7 million, or 7.9% higher than net sales of $2.95 billion for the nine-months ended September 30, 2019. Net sales for the Monster Energy® Drinks segment increased primarily due to increased worldwide sales by volume of our Monster Energy® brand energy drinks and increased sales by volume for our Reign Total Body Fuel® high performance energy drinks, both as a result of increased consumer demand . The COVID-19 pandemic had an adverse impact on net sales of the Monster Energy® Drinks segment for the nine-months ended September 30, 2020. Net changes in foreign currency exchange rates had an unfavorable impact on net sales for the Monster Energy® Drinks segment of approximately $38.3 million for the nine-months ended September 30, 2020.</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sales for the Strategic Brands segment were $198.4 million for the nine-months ended September 30, 2020, a decrease of approximately $17.3 million, or 8.0% lower than net sales of $215.8 million for the nine-months ended September 30, 2019. The COVID-19 pandemic had a material adverse impact on net sales of the Strategic Brands segment for the nine-months ended September 30, 2020. The COVID-19 pandemic impact was more pronounced in the Strategic Brand segment, particularly in EMEA, as our largest revenue generating countries for this segment experienced extended lockdowns. Net changes in foreign currency exchange rates had an unfavorable impact on net sales for the Strategic Brands segment of approximately $2.8 million for the nine-months ended September 30, 2020.</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sales for the Other segment were $20.4 million for the nine-months ended September 30, 2020, an increase of approximately $3.4 million, or 20.0% higher than net sales of $17.0 million for the nine-months ended September 30, 2019.</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Case sales, in 192-ounce case equivalents, were 372.5 million cases for the nine-months ended September 30, 2020, an increase of approximately 29.7 million cases or 8.7% higher than case sales of 342.7 million cases for the nine-months ended September 30, 2019. The overall average net sales per case (excluding net sales of AFF Third-Party Products of $20.4 million and $17.0 million for the nine-months ended September 30, 2020 and 2019, respectively, as these sales do not have unit case equivalents) decreased to $9.08 for the nine-months ended September 30, 2020, as compared to net sales per case of $9.24 for the nine-months ended September 30, 2019.</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was $2.03 billion for the nine-months ended September 30, 2020, an increase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$125.4 million, or 6.6% higher than the gross profit of $1.91 billion for the nine- months ended September 30, 2019. The increase in gross profit dollars was primarily the result of the $232.7 million increase in net sales of our Monster Energy® Drinks segment for the nine-months ended September 30, 2020.</w:t>
      </w:r>
    </w:p>
    <w:p>
      <w:pPr>
        <w:spacing w:after="0" w:line="18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Gross profit as a percentage of net sales decreased marginally to 59.8% for the nine-months ended September 30, 2020 from 59.9% for the nine-months ended September 30, 2019.</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Total operating expenses were $802.3 million for the nine-months ended September 30, 2020, a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approximately $19.6 million, or 2.4% lower than total operating expenses of $821.9 million for the nine-months ended September 30, 2019. The decrease in operating expenses was primarily due to decreased expenditures of $38.3 million for sponsorship and endorsements and decreased expenditures of $19.6 million for travel and entertainment, each largely as a consequence of the COVID-19 pandemic, as well as decreased expenditures of $10.7 million related to the costs associated with distributor terminations. The costs for certain postponed or rescheduled events have been, or may be, deferred to future periods. Due to the uncertainty surrounding the COVID-19 pandemic, we are unable to estimate in what future periods, if any, such deferred sponsorship and endorsement costs will be recognized. The decrease in operating expenses was partially offset by increased payroll expenses of $31.1 million (of which $6.1 million was related to an increase in stock-based compensation), increased expenditures of $17.1 million for social media and digital marketing, and increased out-bound freight and warehouse costs of $10.2 million.</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Operating income was $1.23 billion for the nine-months ended September 30, 2020,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$145.0 million, or 13.3% higher than operating income of $1.09 billion for the nine-months ended September 30, 2019. Operating income as a percentage of net sales increased to 36.2% for the nine-months ended September 30, 2020 from 34.1% for the nine-months ended September 30, 2019. Operating income was $229.4 million and $180.1 million for the nine-months ended September 30, 2020 and 2019, respectively, for our operations in EMEA, Asia Pacific and South America.</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income for the Monster Energy® Drinks segment, exclusive of corporate and unallocated expenses, was $1.37 billion for the nine-months ended September 30, 2020, an increase of approximately $179.3 million, or 15.1% higher than operating income of $1.19 billion for the nine-months ended September 30, 2019. The increase in operating income for the Monster Energy® Drinks segment was primarily the result of the $232.7 million increase in net sales of our Monster Energy® Drinks segment for the nine-months ended September 30, 2020.</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income for the Strategic Brands segment, exclusive of corporate and unallocated expenses, was $118.3 million for the nine-months ended September 30, 2020, a decrease of approximately $12.5 million, or 9.5% lower than operating income of $130.8 million for the nine-months ended September 30, 2019. The decrease in operating income for the nine-months ended September 30, 2020 was primarily the result of a decrease in net sales related to the COVID-19 pandemic.</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income for the Other segment, exclusive of corporate and unallocated expenses, was $4.8 million for the nine-months ended September 30, 2020, an increase of approximately $1.8 million, or 57.9% higher than operating income of $3.0 million for the nine-months ended September 30, 2019.</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Interest and Other (Expense)/Income, net</w:t>
      </w:r>
      <w:r>
        <w:rPr>
          <w:rFonts w:ascii="Times New Roman" w:cs="Times New Roman" w:eastAsia="Times New Roman" w:hAnsi="Times New Roman"/>
          <w:sz w:val="18"/>
          <w:szCs w:val="18"/>
          <w:color w:val="auto"/>
        </w:rPr>
        <w:t>. Interest and other non-operating (expense)/income, net, was ($5.5)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nine-months ended September 30, 2020, as compared to interest and other non- operating (expense)/income, net, of $8.8 million for the nine-months ended September 30, 2019. Foreign currency transaction losses were $9.2 million and $3.9 million for the nine-months ended September 30, 2020 and 2019, respectively. Interest income was $6.9 million and $13.5 million for the nine-months ended September 30, 2020 and 2019, respectively.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Provision for income taxes was $287.5 million for the nine-months ended September 30, 2020,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$45.7 million, or 18.9% higher than the provision for income taxes of $241.8 million for the nine-months ended September 30, 2019. The effective combined federal, state and foreign tax rate increased to 23.5% from 22.1% for the nine-months ended September 30, 2020 and 2019, respectively. The increase in the effective tax rate was primarily attributable to a decrease in the equity compensation deduction.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was $937.9 million for the nine-months ended September 30, 2020, an increase of $85.0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 higher than net income of $852.9 million for the nine-months ended September 30, 2019. The increase in net income was primarily due to the $125.4 million increase in gross profit and the $19.6 million decrease in operating expenses. The increase in net income was partially offset by an increase in the provision for income taxes of $45.7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Three-Months Ended September 30, 2020 Compared to the Three-Months Ended September 30, 2019.</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Gross Sales**. </w:t>
      </w:r>
      <w:r>
        <w:rPr>
          <w:rFonts w:ascii="Times New Roman" w:cs="Times New Roman" w:eastAsia="Times New Roman" w:hAnsi="Times New Roman"/>
          <w:sz w:val="18"/>
          <w:szCs w:val="18"/>
          <w:color w:val="auto"/>
        </w:rPr>
        <w:t>Gross sales were $1.46 billion for the three-months ended September 30, 2020, an increase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$146.2 million, or 11.1% higher than gross sales of $1.32 billion for the three-months ended September 30, 2019. We do not believe that the COVID-19 pandemic had a material adverse impact on our gross sales for the three-months ended September 30, 2020, other than in EMEA, where an adverse impact was experienced. Net changes in foreign currency exchange rates had an unfavorable impact on gross sales of approximately $11.9 million for the three-months ended September 30, 2020.</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sales for the Monster Energy® Drinks segment were $1.37 billion for the three-months ended September 30, 2020, an increase of approximately $131.9 million, or 10.7% higher than gross sales of $1.24 billion for the three-months ended September 30, 2019. Gross sales for the Monster Energy® Drinks segment increased primarily due to increased worldwide sales by volume of our Monster Energy® brand energy drinks and increased sales by volume for our Reign Total Body Fuel® high performance energy drinks, both as a result of increased consumer demand. Net changes in foreign currency exchange rates had an unfavorable impact on gross sales for the Monster Energy® Drinks segment of approximately $10.9 million for the three-months ended September 30, 2020.</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sales of our Strategic Brands segment were $88.2 million for the three-months ended September 30, 2020, an increase of $11.5 million, or 15.0% higher than gross sales of $76.7 million for the three-months ended September 30, 2019. Net changes in foreign currency exchange rates had an unfavorable impact on gross sales in the Strategic Brands segment of approximately $1.0 million for the three-months ended September 30, 2020.</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sales of our Other segment were $8.6 million for the three-months ended September 30, 2020, an increase of $2.8 million, or 47.1% higher than gross sales of $5.9 million for the three-months ended September 30, 2019.</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Promotional allowances, commissions and other expenses, as described in the footnote below, were $218.1 million for the three-months ended September 30, 2020, an increase of $33.4 million, or 18.1% higher than promotional allowances, commissions and other expenses of $184.7 million for the three-months ended September 30, 2019. Promotional allowances, commissions and other expenses as a percentage of gross sales increased to 14.9% from 14.0 % for the three-months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Nine-Months Ended September 30, 2020 Compared to the Nine-Months Ended September 30, 2019.</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Sales**. </w:t>
      </w:r>
      <w:r>
        <w:rPr>
          <w:rFonts w:ascii="Times New Roman" w:cs="Times New Roman" w:eastAsia="Times New Roman" w:hAnsi="Times New Roman"/>
          <w:sz w:val="18"/>
          <w:szCs w:val="18"/>
          <w:color w:val="auto"/>
        </w:rPr>
        <w:t>Gross sales were $3.97 billion for the nine-months ended September 30, 2020, an increase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$279.6 million, or 7.6% higher than gross sales of $3.70 billion for the nine-months ended September 30, 2019. The COVID-19 pandemic had an adverse impact on gross sales for the nine- months ended September 30, 2020. Net changes in foreign currency exchange rates had an unfavorable impact on gross sales of approximately $44.7 million for the nine-months ended September 30, 2020.</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Gross sales for the Monster Energy® Drinks segment were $3.72 billion for the nine-months ended September 30, 2020, an increase of approximately $293.5 million, or 8.6% higher than gross sales of $3.43 billion for the nine-months ended September 30, 2019. Gross sales for the Monster Energy® Drinks segment increased primarily due to increased worldwide sales by volume of our Monster Energy® brand energy drinks as a result of increased consumer demand as well as enhanced distribution and increased consumer demand for our Reign Total Body Fuel® high performance energy drinks. The COVID-19 pandemic had an adverse impact on gross sales of the Monster Energy® Drinks segment for the nine-months ended September 30, 2020. Net changes in foreign currency exchange rates had an unfavorable impact on gross sales for the Monster Energy® Drinks segment of approximately $41.8 million for the nine-months ended September 30, 2020.</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Gross sales of our Strategic Brands segment were $229.4 million for the nine-months ended September 30, 2020, a decrease of $17.2 million, or 7.0% lower than gross sales of $246.6 million for the nine-months ended September 30, 2019. The COVID-19 pandemic had a material adverse impact on gross sales of the Strategic Brands segment for the nine-months ended September 30, 2020. The COVID-19 pandemic impact was more pronounced in the Strategic Brands segment, particularly in EMEA, as our larger revenue generating countries for this segment experienced extended lockdowns. Net changes in foreign currency exchange rates had an unfavorable impact on gross sales in the Strategic Brands segment of approximately $2.9 million for the nine-months ended September 30, 2020.</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sales of our Other segment were $20.4 million for the nine-months ended September 30, 2020, an increase of $3.4 million, or 20.0% higher than gross sales of $17.0 million for the nine-months ended September 30, 2019.</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Promotional allowances, commissions and other expenses, as described in the footnote below, were $572.4 million for the nine-months ended September 30, 2020, an increase of $60.9 million, or 11.9% higher than promotional allowances, commissions and other expenses of $511.5 million for the nine-months ended September 30, 2019. Promotional allowances, commissions and other expenses as a percentage of gross sales increased to 14.4% from 13.8% for the nine-months ended September 30, 2020 and 2019, respectively.</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**Gross Sales represents the recognition of deferred revenue and amounts invoiced to customers net of cash discounts and returns. 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such as the timing of certain promotional programs. We therefore believe that the presentation of gross sales provides a useful measure of our operating performance. The use of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non-GAAP financial measure of gross sales with the most directly comparable GAAP financial measure of net sales: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Three-Months Ended</w:t>
            </w:r>
          </w:p>
        </w:tc>
        <w:tc>
          <w:tcPr>
            <w:tcW w:w="180" w:type="dxa"/>
            <w:vAlign w:val="bottom"/>
          </w:tcPr>
          <w:p>
            <w:pPr>
              <w:spacing w:after="0"/>
              <w:rPr>
                <w:sz w:val="18"/>
                <w:szCs w:val="18"/>
                <w:color w:val="auto"/>
              </w:rPr>
            </w:pPr>
          </w:p>
        </w:tc>
        <w:tc>
          <w:tcPr>
            <w:tcW w:w="10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Percentage</w:t>
            </w:r>
          </w:p>
        </w:tc>
        <w:tc>
          <w:tcPr>
            <w:tcW w:w="20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Nine-Months Ended</w:t>
            </w:r>
          </w:p>
        </w:tc>
        <w:tc>
          <w:tcPr>
            <w:tcW w:w="200" w:type="dxa"/>
            <w:vAlign w:val="bottom"/>
          </w:tcPr>
          <w:p>
            <w:pPr>
              <w:spacing w:after="0"/>
              <w:rPr>
                <w:sz w:val="18"/>
                <w:szCs w:val="18"/>
                <w:color w:val="auto"/>
              </w:rPr>
            </w:pPr>
          </w:p>
        </w:tc>
        <w:tc>
          <w:tcPr>
            <w:tcW w:w="9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0"/>
                <w:szCs w:val="20"/>
                <w:color w:val="auto"/>
              </w:rPr>
            </w:pPr>
          </w:p>
        </w:tc>
        <w:tc>
          <w:tcPr>
            <w:tcW w:w="20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0"/>
                <w:szCs w:val="20"/>
                <w:color w:val="auto"/>
              </w:rPr>
            </w:pPr>
          </w:p>
        </w:tc>
        <w:tc>
          <w:tcPr>
            <w:tcW w:w="10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Change</w:t>
            </w:r>
          </w:p>
        </w:tc>
        <w:tc>
          <w:tcPr>
            <w:tcW w:w="20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20"/>
                <w:szCs w:val="20"/>
                <w:color w:val="auto"/>
              </w:rPr>
            </w:pPr>
          </w:p>
        </w:tc>
        <w:tc>
          <w:tcPr>
            <w:tcW w:w="9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3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2020</w:t>
            </w:r>
          </w:p>
        </w:tc>
        <w:tc>
          <w:tcPr>
            <w:tcW w:w="1120" w:type="dxa"/>
            <w:vAlign w:val="bottom"/>
            <w:tcBorders>
              <w:top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20 vs. 19</w:t>
            </w:r>
          </w:p>
        </w:tc>
        <w:tc>
          <w:tcPr>
            <w:tcW w:w="240" w:type="dxa"/>
            <w:vAlign w:val="bottom"/>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20 vs. 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sales, net of discounts and returns</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$ 1,464,426</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$ 1,318,267</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$ 3,974,763</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$ 3,695,128</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Promotional allowances, commissions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other expenses***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218,064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184,690</w:t>
            </w: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18.1 %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572,408</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511,515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$ 1,246,362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$ 1,133,577</w:t>
            </w:r>
          </w:p>
        </w:tc>
        <w:tc>
          <w:tcPr>
            <w:tcW w:w="1220" w:type="dxa"/>
            <w:vAlign w:val="bottom"/>
            <w:tcBorders>
              <w:top w:val="single" w:sz="8" w:color="CCEEFF"/>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9.9 %</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$ 3,402,355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$ 3,183,613</w:t>
            </w:r>
          </w:p>
        </w:tc>
        <w:tc>
          <w:tcPr>
            <w:tcW w:w="118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primarily include consideration given to our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based on sales to our bottlers/distributors.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Our promotional allowance programs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three-months ended September 30, 2020 and 2019 were (i) to increase sales volume and trial, (ii) to address market conditions, and (iii) to secure shelf and display space at retail.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discloses selected quarterly data regarding sales for the three- and nine-months ended September 30, 2020 and 2019, respectively. Data from any one or more quarters or periods is not necessarily indicative of annual results or continuing trends.</w:t>
      </w:r>
    </w:p>
    <w:p>
      <w:pPr>
        <w:spacing w:after="0" w:line="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However, our experience with our energy drink products suggests they may be less seasonal than the seasonality of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 changes in advertising and promotional expenses. The COVID-19 pandemic may also have an impact on consumer behavior and change the seasonal fluctuation of our business.</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Three-Months Ended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Nine-Months Ended</w:t>
            </w:r>
          </w:p>
        </w:tc>
        <w:tc>
          <w:tcPr>
            <w:tcW w:w="0" w:type="dxa"/>
            <w:vAlign w:val="bottom"/>
          </w:tcPr>
          <w:p>
            <w:pPr>
              <w:spacing w:after="0"/>
              <w:rPr>
                <w:sz w:val="1"/>
                <w:szCs w:val="1"/>
                <w:color w:val="auto"/>
              </w:rPr>
            </w:pPr>
          </w:p>
        </w:tc>
      </w:tr>
      <w:tr>
        <w:trPr>
          <w:trHeight w:val="234"/>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thousands, except average net sales per case)</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10"/>
        </w:trPr>
        <w:tc>
          <w:tcPr>
            <w:tcW w:w="3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1,246,362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1,133,577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3,402,355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AFF third-party sales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sales¹</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1,237,744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1,127,717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3,381,988</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Case sales by segment: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Monster Energy® Drinks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317,103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Strategic Brands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case sales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121,854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372,481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342,734</w:t>
            </w:r>
          </w:p>
        </w:tc>
        <w:tc>
          <w:tcPr>
            <w:tcW w:w="0" w:type="dxa"/>
            <w:vAlign w:val="bottom"/>
          </w:tcPr>
          <w:p>
            <w:pPr>
              <w:spacing w:after="0"/>
              <w:rPr>
                <w:sz w:val="1"/>
                <w:szCs w:val="1"/>
                <w:color w:val="auto"/>
              </w:rPr>
            </w:pPr>
          </w:p>
        </w:tc>
      </w:tr>
      <w:tr>
        <w:trPr>
          <w:trHeight w:val="209"/>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net sales per case</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Excludes Other segment net sales of $8.6 million and $5.9 million for the three-months ended September 30, 2020 and 2019, respectively, comprised of net sales of AFF Third-Party Products to independent third-party customers, as these sales do not have unit case equivalents. Excludes Other segment net sales of $20.4 million and $17.0 million for the nine-months ended September 30, 2020 and 2019, respectively, comprised of net sales of AFF Third-Party Products to independent third-party customers, as these sales do not have unit case equivalents.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See Item 2, “Management’s Discussion and Analysis of Financial Condition and Results of Operations - Our Business” for additional information related to the increase in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short-term and long-term investments. </w:t>
      </w:r>
      <w:r>
        <w:rPr>
          <w:rFonts w:ascii="Times New Roman" w:cs="Times New Roman" w:eastAsia="Times New Roman" w:hAnsi="Times New Roman"/>
          <w:sz w:val="18"/>
          <w:szCs w:val="18"/>
          <w:color w:val="auto"/>
        </w:rPr>
        <w:t>We believe that cash available from operations, including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purchases of real property and purchases of shares of our common stock, through at least the next 12 months. Our sources and uses of cash were not materially impacted by the COVID-19 pandemic in the nine-months ended September 30, 2020 and, to date, we have not identified any material liquidity deficiencies as a result of the COVID-19 pandemic. Based on the information currently available to us, we do not expect the impact of the COVID-19 pandemic to have a material impact on our liquidity. We will continue to monitor and assess the impact the COVID-19 pandemic may have on our business, financial condition and/or operating results.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September 30, 2020, we had $1.07 billion in cash and cash equivalents, $599.3 million in short-term investments and $20.6 million in long-term investments. We have historically invested these amounts in U.S. treasuries, U.S. government agency securities, municipal securities, commercial paper, certificates of deposit, variable rate demand notes and money market funds meeting certain criteria. At this time, we no longer invest these amounts in municipal securities.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our current plans, at this time we estimate that capital expenditures (exclusive of common stock repurchases) are likely to be less than $200.0 million through September 30, 2021. However, future business opportunities may cause a change in this estimate.</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provided by operating activities. </w:t>
      </w:r>
      <w:r>
        <w:rPr>
          <w:rFonts w:ascii="Times New Roman" w:cs="Times New Roman" w:eastAsia="Times New Roman" w:hAnsi="Times New Roman"/>
          <w:sz w:val="18"/>
          <w:szCs w:val="18"/>
          <w:color w:val="auto"/>
        </w:rPr>
        <w:t>Cash provided by operating activities was $949.2 million for the nine-months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2020, as compared with cash provided by operating activities of $821.1 million for the nine-months ended September 30, 2019.</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nine-months ended September 30, 2020, cash provided by operating activities was primarily attributable to net income earned of $937.9 million and adjustments for certain non-cash expenses, consisting of $53.0 million of stock-based compensation, $45.9 million of depreciation and amortization and $7.0 million of intangible asset impairment. For the nine-months ended September 30, 2020, cash provided by operating activities also increased due to a $53.5 million increase in accrued liabilities, a $39.5 million decrease in inventories, a $31.9 million increase in accrued promotional allowances, an $18.0 million increase in income taxes payable and an $11.5 million decrease in prepaid income taxes. For the nine-months ended September 30, 2020, cash used in operating activities was primarily attributable to a $201.7 million increase in accounts receivable, a $20.4 million increase in prepaid expenses and other assets, a $15.2 million decrease in deferred revenue, a $9.7 million decrease in accounts payable and a $1.2 million decrease in accrued compensation.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nine-months ended September 30, 2019, cash provided by operating activities was primarily attributable to net income earned of $852.9 million and adjustments for certain non-cash expenses, consisting of $47.8 million of depreciation and amortization and $46.9 million of stock-based compensation. For the nine-months ended September 30, 2019, cash provided by operating activities also increased due to a $69.5 million increase in accounts payable, a $55.8 million increase in accrued promotional allowances, a $10.3 million increase in income taxes payable, a $6.2 million decrease in prepaid income taxes and a $5.8 million decrease in distributor receivables. For the nine-months ended September 30, 2019, cash used in operating activities was primarily attributable to a $179.8 million increase in accounts receivable, a $44.9 million increase in inventories, a $19.6 million decrease in deferred revenue, a $16.1 million increase in prepaid expenses and other assets, a $9.6 million decrease in accrued liabilities and a $3.9 million decrease in accrued compensation.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flows used in investing activities. </w:t>
      </w:r>
      <w:r>
        <w:rPr>
          <w:rFonts w:ascii="Times New Roman" w:cs="Times New Roman" w:eastAsia="Times New Roman" w:hAnsi="Times New Roman"/>
          <w:sz w:val="18"/>
          <w:szCs w:val="18"/>
          <w:color w:val="auto"/>
        </w:rPr>
        <w:t>Cash used in investing activities was $140.5 million for the nine-months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as compared to cash used in investing activities of $328.2 million for the nine-months ended September 30, 2019.</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both the nine-months ended September 30, 2020 and 2019, cash provided by investing activities was primarily attributable to sales of available-for-sale investments. For both the nine-months ended September 30, 2020 and 2019, cash used in investing activities was primarily attributable to purchases of available-for-sale investments. For both the nine-months ended September 30, 2020 and 2019,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acquisitions of and/or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used in financing activities. </w:t>
      </w:r>
      <w:r>
        <w:rPr>
          <w:rFonts w:ascii="Times New Roman" w:cs="Times New Roman" w:eastAsia="Times New Roman" w:hAnsi="Times New Roman"/>
          <w:sz w:val="18"/>
          <w:szCs w:val="18"/>
          <w:color w:val="auto"/>
        </w:rPr>
        <w:t>Cash used in financing activities was $532.9 million for the nine-months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as compared to cash used in financing activities of $405.3 million for the three-months ended September 30, 2019. The cash used in financing activities for both the nine-months ended September 30, 2020 and 2019 was primarily the result of the repurchases of our common stock. The cash provided by financing activities for both the nine-months ended September 30, 2020, and 2019 was primarily attributable to the issuance of our common stock under our stock-based compensation plans.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Of our $1.07 billion of cash and cash equivalents held at September 30, 2020, $595.0 million was held by our foreign subsidiaries. No short-term or long-term investments were held by our foreign subsidiaries at September 30, 2020.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a summary of the Company’s contractual commitments and related scheduled maturities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8"/>
                <w:szCs w:val="18"/>
                <w:color w:val="auto"/>
              </w:rPr>
              <w:t>Payments due by period (in thousands)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Less than</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90"/>
              <w:spacing w:after="0" w:line="191" w:lineRule="exact"/>
              <w:rPr>
                <w:sz w:val="20"/>
                <w:szCs w:val="20"/>
                <w:color w:val="auto"/>
              </w:rPr>
            </w:pPr>
            <w:r>
              <w:rPr>
                <w:rFonts w:ascii="Times New Roman" w:cs="Times New Roman" w:eastAsia="Times New Roman" w:hAnsi="Times New Roman"/>
                <w:sz w:val="18"/>
                <w:szCs w:val="18"/>
                <w:color w:val="auto"/>
              </w:rPr>
              <w:t>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460"/>
              <w:spacing w:after="0" w:line="191" w:lineRule="exact"/>
              <w:rPr>
                <w:sz w:val="20"/>
                <w:szCs w:val="20"/>
                <w:color w:val="auto"/>
              </w:rPr>
            </w:pPr>
            <w:r>
              <w:rPr>
                <w:rFonts w:ascii="Times New Roman" w:cs="Times New Roman" w:eastAsia="Times New Roman" w:hAnsi="Times New Roman"/>
                <w:sz w:val="18"/>
                <w:szCs w:val="18"/>
                <w:color w:val="auto"/>
              </w:rPr>
              <w:t>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w:t>
            </w:r>
          </w:p>
        </w:tc>
        <w:tc>
          <w:tcPr>
            <w:tcW w:w="100" w:type="dxa"/>
            <w:vAlign w:val="bottom"/>
          </w:tcPr>
          <w:p>
            <w:pPr>
              <w:spacing w:after="0"/>
              <w:rPr>
                <w:sz w:val="16"/>
                <w:szCs w:val="16"/>
                <w:color w:val="auto"/>
              </w:rPr>
            </w:pPr>
          </w:p>
        </w:tc>
        <w:tc>
          <w:tcPr>
            <w:tcW w:w="8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99"/>
              </w:rPr>
              <w:t>More than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Obligations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 year</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years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years</w:t>
            </w:r>
          </w:p>
        </w:tc>
        <w:tc>
          <w:tcPr>
            <w:tcW w:w="10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Obligations¹</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142,165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108,430</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32,819</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Purchase Commitments²</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230,142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175,423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Contractual obligations include our obligations related to sponsorships and other commitments.</w:t>
      </w:r>
    </w:p>
    <w:p>
      <w:pPr>
        <w:spacing w:after="0" w:line="83"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1"/>
          <w:szCs w:val="21"/>
          <w:i w:val="1"/>
          <w:iCs w:val="1"/>
          <w:color w:val="auto"/>
          <w:vertAlign w:val="superscript"/>
        </w:rPr>
        <w:t>2</w:t>
      </w:r>
      <w:r>
        <w:rPr>
          <w:rFonts w:ascii="Times New Roman" w:cs="Times New Roman" w:eastAsia="Times New Roman" w:hAnsi="Times New Roman"/>
          <w:sz w:val="14"/>
          <w:szCs w:val="14"/>
          <w:i w:val="1"/>
          <w:iCs w:val="1"/>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approximately $3.0 million of unrecognized tax benefits have been recorded as liabilities as of September 30, 2020. It is expected that the amount of unrecognized tax benefits will not significantly change within the next 12 months. As of September 30, 2020, we had $0.5 million of accrued interest and penalties related to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the information provided in Item 7, “Management’s Discussion and Analysis of Financial Condition and Results of Operations”, included in our Annual Report on Form 10-K for the fiscal year ended December 31, 2019 (“Form 10-K”).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Notes to Condensed Consolidated Financial Statements - Note 2. Recent Accounting Pronouncements, in Part I, Item 1,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inflation did not have a significant impact on our results of operations for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and similar expressions are intended to identify forward-looking statements.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76" w:lineRule="exact"/>
        <w:rPr>
          <w:sz w:val="20"/>
          <w:szCs w:val="20"/>
          <w:color w:val="auto"/>
        </w:rPr>
      </w:pPr>
    </w:p>
    <w:p>
      <w:pPr>
        <w:jc w:val="both"/>
        <w:ind w:left="680" w:hanging="321"/>
        <w:spacing w:after="0" w:line="257"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human and economic consequences of the COVID-19 pandemic, as well as the measures taken or that may be taken in the future by governments, and consequently, businesses (including the Company and its suppliers, bottlers/ distributors, co-packers and other service providers) and the public at large to limit the COVID-19 pandemic;</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consumer demand of the resurgence of the COVID-19 pandemic in the Northern Hemisphere, resulting in a number of countries, particularly in EMEA, reinstituting lockdowns and other restrictions as well as the impact of possible resurgences in other countries;</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slowing of growth and/or decline in sales of the domestic and international energy drink categories generally, including the convenience and gas channel (which is our largest channel) and food-service on-premise, and the impact on demand for our products resulting from deteriorating economic conditions and financial uncertainties due to the COVID-19 pandemic;</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temporary plant closures, production slowdowns and disruptions in operations experienced by our suppliers, bottlers/distributors and/or co-packers as a result of the COVID-19 pandemic, including any material disruptions on the production and distribution of our products;</w:t>
      </w:r>
    </w:p>
    <w:p>
      <w:pPr>
        <w:spacing w:after="0" w:line="1"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reduction in our sponsorship and endorsement activities as well as our sampling activities as a result of COVID-19 on our future sales and market share;</w:t>
      </w:r>
    </w:p>
    <w:p>
      <w:pPr>
        <w:ind w:left="68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extensive commercial arrangements with TCCC and, as a result, our future performance is substantially dependent on the success of our relationship with TCCC;</w:t>
      </w:r>
    </w:p>
    <w:p>
      <w:pPr>
        <w:jc w:val="both"/>
        <w:ind w:left="680" w:right="2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TCCC’s bottlers/distributors distributing Coca-Cola brand energy drinks and possible reductions in the number of our SKUs carried by such bottlers/distributors and/or such bottlers/distributors imposing limitations on distributing new product SKUs;</w:t>
      </w:r>
    </w:p>
    <w:p>
      <w:pPr>
        <w:spacing w:after="0" w:line="1"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Closures of, and continued restrictions on, on-premise retailers and other establishments which sell our products as the result of the COVID-19 pandemic;</w:t>
      </w:r>
    </w:p>
    <w:p>
      <w:pPr>
        <w:ind w:left="680" w:hanging="321"/>
        <w:spacing w:after="0" w:line="26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or reduction by our suppliers, bottlers/distributors and/or co-packers of their activities and/or operations during the COVID-19 pandemic;</w:t>
      </w:r>
    </w:p>
    <w:p>
      <w:pPr>
        <w:sectPr>
          <w:pgSz w:w="11900" w:h="16838" w:orient="portrait"/>
          <w:cols w:equalWidth="0" w:num="1">
            <w:col w:w="9920"/>
          </w:cols>
          <w:pgMar w:left="980" w:top="661"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product sampling programs;</w:t>
      </w:r>
    </w:p>
    <w:p>
      <w:pPr>
        <w:spacing w:after="0" w:line="27"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TCCC being one of our significant shareholders and the potential divergence of TCCC’s interests from those of our other shareholders;</w:t>
      </w:r>
    </w:p>
    <w:p>
      <w:pPr>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relationships with TCCC system bottlers/distributors and manage their ongoing commitment to focus on our products;</w:t>
      </w:r>
    </w:p>
    <w:p>
      <w:pPr>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distribution channels and/or decline in sales due to the termination and/or insolvency of existing and/or new domestic and/or international bottlers/distributors;</w:t>
      </w: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anticipated demand for our products in domestic and/or international markets;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inventory levels of our bottlers/distributors, planned or otherwise, and the resultant impact on our revenues;</w:t>
      </w:r>
    </w:p>
    <w:p>
      <w:pPr>
        <w:spacing w:after="0" w:line="9"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regulations, including taxation requirements, age restrictions imposed on the sale, purchase, or consumption of our products, marketing restrictions, product registration requirements, tariffs, trade restrictions, container size limitations and/or ingredient restrictions;</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inquiries from, and/or actions by, state attorneys general, the Federal Trade Commission (the “FTC”), the Food and Drug Administration (the “FDA”), municipalities, city attorneys, other government agencies, quasi-government agencies, government officials (including members of U.S. Congress) and/or analogous central and local agencies and other authorities in the foreign countries in which our products are manufactured and/or distributed, into the advertising, marketing, promotion, ingredients, sale and/or consumption of our energy drink products, including voluntary and/or required changes to our business practices;</w:t>
      </w:r>
    </w:p>
    <w:p>
      <w:pPr>
        <w:spacing w:after="0" w:line="2"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regulations and evolving industry standards regarding consumer privacy and data use and security, including with respect to the General Data Protection Regulation and the California Privacy Act of 2018;</w:t>
      </w: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profitability from certain of our operations outside the United States;</w:t>
      </w:r>
    </w:p>
    <w:p>
      <w:pPr>
        <w:spacing w:after="0" w:line="9"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p>
      <w:pPr>
        <w:spacing w:after="0" w:line="1"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in international markets in which they are sold, thereby reducing freight costs and/or product damages;</w:t>
      </w: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absorb, reduce or pass on to our bottlers/distributors increases in freight costs;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inventories and/or our accounts receivables;</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currency exchange rate risk with respect to our sales, expenses, profits, assets and liabilities denominated in currencies other than the U.S. dollar, which will continue to increase as foreign sales increase;</w:t>
      </w: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surrounding the United Kingdom’s departure from the European Union (or “Brexit”);</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may affect our reported profitability;</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Implications of the Organization for Economic Cooperation and Development’s base erosion and profit shifting project;</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proceedings which may be brought against us by the Securities and Exchange Commission (the “SEC”), the FDA, the FTC or other governmental agencies or bodies;</w:t>
      </w:r>
    </w:p>
    <w:p>
      <w:pPr>
        <w:ind w:left="680" w:right="2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and/or possibility of future shareholder derivative actions or shareholder securities litigation that may be filed against us and/or against certain of our officers and directors, and the possibility of other private shareholder litigation;</w:t>
      </w:r>
    </w:p>
    <w:p>
      <w:pPr>
        <w:jc w:val="both"/>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product liability or consumer fraud litigation and/or class action litigation (or its analog in foreign jurisdictions)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significant liabilities due to litigation, legal or regulatory proceedings;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injunctions;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resolution of tax matters;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volatility in the domestic and global economies, including risk of counterparty default or failure;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any significant deficiencies or material weakness in our internal controls over financial reporting;</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sufficient cash flows to support our expansion plans and general operating activities;</w:t>
      </w:r>
    </w:p>
    <w:p>
      <w:pPr>
        <w:spacing w:after="0" w:line="9"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resulting from changes in consumer preferences, including changes in demand for different packages, sizes and configurations, obesity and other perceived health concerns, including concerns relating to certain ingredients in our products or packaging, product safety concerns and/or from decreased consumer discretionary spending power;</w:t>
      </w:r>
    </w:p>
    <w:p>
      <w:pPr>
        <w:spacing w:after="0" w:line="1" w:lineRule="exact"/>
        <w:rPr>
          <w:rFonts w:ascii="Times New Roman" w:cs="Times New Roman" w:eastAsia="Times New Roman" w:hAnsi="Times New Roman"/>
          <w:sz w:val="18"/>
          <w:szCs w:val="18"/>
          <w:color w:val="auto"/>
        </w:rPr>
      </w:pPr>
    </w:p>
    <w:p>
      <w:pPr>
        <w:ind w:left="680" w:hanging="321"/>
        <w:spacing w:after="0" w:line="26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surrounding obesity and health concerns related to our products, water usage, environmental impact, human rights and labor and workplace laws;</w:t>
      </w:r>
    </w:p>
    <w:p>
      <w:pPr>
        <w:sectPr>
          <w:pgSz w:w="11900" w:h="16838" w:orient="portrait"/>
          <w:cols w:equalWidth="0" w:num="1">
            <w:col w:w="9920"/>
          </w:cols>
          <w:pgMar w:left="980" w:top="661"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57"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that are weather related and/or for other reasons, including changes in product category and/or package consumption and changes in cost and availability of certain key ingredients including aluminum cans, as well as disruptions to the supply chain, as a result of climate change and extreme weather conditions;</w:t>
      </w:r>
    </w:p>
    <w:p>
      <w:pPr>
        <w:spacing w:after="0" w:line="1"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unstable political conditions, civil unrest, large scale terrorist acts, the outbreak or escalation of armed hostilities, major natural disasters and extreme weather conditions, or widespread outbreaks of infectious diseases;</w:t>
      </w:r>
    </w:p>
    <w:p>
      <w:pPr>
        <w:jc w:val="both"/>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competitive products and pricing pressures and our ability to gain or maintain our share of sales in the marketplace as a result of actions by competitors, including unsubstantiated and/or misleading claims, false advertising claims and tortious interference, as well as competitors selling misbranded products;</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trademark and trade dress infringement proceedings brought against us relating to our brands, including our Reign Total Body Fuel® high performance energy drinks, which could result in an injunction barring us from selling certain of our products and/or require changes to be made to our current trade dress;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and the impact of the COVID-19 pandemic on our innovation activities;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and/or maintain price increases;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achieve volume growth through product and packaging initiatives;</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the current level of sales and/or achieve growth for our Monster Energy® brand energy drinks and/or our other products, including our Strategic Brands;</w:t>
      </w:r>
    </w:p>
    <w:p>
      <w:pPr>
        <w:jc w:val="both"/>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criticism of our energy drink products and/or the energy drink market generally and/or legislation enacted (whether as a result of such criticism or otherwise) that restricts the marketing or sale of energy drinks (including prohibiting the sale of energy drinks at certain establishments or pursuant to certain governmental programs), limits caffeine content in beverages, requires certain product labeling disclosures and/or warnings, imposes excise and/or sales taxes, limits product sizes and/or imposes age restrictions for the sale of energy drinks;</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and/or resulting lower consumer demand and/or lower profit margins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as well as changes in any other food, drug or similar laws in the United States and internationally, especially those changes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impose sugar taxes, limit product sizes, or impose age restrictions for the sale of energy drinks, as well as laws and regulations or rules made or enforced by the Bureau of Alcohol, Tobacco, Firearms and Explosives and/or the FTC or their foreign counterparts;</w:t>
      </w:r>
    </w:p>
    <w:p>
      <w:pPr>
        <w:spacing w:after="0" w:line="4"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timely import or export of our products and/or ingredients due to port strikes and related labor issues;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or adverse public relations, press, articles, comments and/or media attention;</w:t>
      </w:r>
    </w:p>
    <w:p>
      <w:pPr>
        <w:spacing w:after="0" w:line="9"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quality and availability of containers, packaging materials, aluminum cans,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shortages that may be experienced in the procurement of containers and/or other raw materials including, without limitation, aluminum cans generally, PET containers used for our Monster Hydro® energy drinks and 24-ounce aluminum cap cans;</w:t>
      </w:r>
    </w:p>
    <w:p>
      <w:pPr>
        <w:spacing w:after="0" w:line="1"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cost of sales of corporate activity among the limited number of suppliers from whom we purchase certain raw materials;</w:t>
      </w:r>
    </w:p>
    <w:p>
      <w:pPr>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pass on to our customers all or a portion of any increases in the costs of raw materials, ingredients, commodities and/or other cost inputs affecting our business;</w:t>
      </w:r>
    </w:p>
    <w:p>
      <w:pPr>
        <w:jc w:val="both"/>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Times New Roman" w:cs="Times New Roman" w:eastAsia="Times New Roman" w:hAnsi="Times New Roman"/>
          <w:sz w:val="18"/>
          <w:szCs w:val="18"/>
          <w:color w:val="auto"/>
        </w:rPr>
      </w:pPr>
    </w:p>
    <w:p>
      <w:pPr>
        <w:ind w:left="680" w:hanging="321"/>
        <w:spacing w:after="0" w:line="26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new domestic and/or international markets and/or gain approval or mitigate the delay in securing approval for the sale of our products in various countries;</w:t>
      </w:r>
    </w:p>
    <w:p>
      <w:pPr>
        <w:sectPr>
          <w:pgSz w:w="11900" w:h="16838" w:orient="portrait"/>
          <w:cols w:equalWidth="0" w:num="1">
            <w:col w:w="9920"/>
          </w:cols>
          <w:pgMar w:left="980" w:top="661"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61"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and/or marketing efforts by us and/or by the bottlers/distributors of our products, most of whom distribute products that may be regarded as competitive with our products;</w:t>
      </w:r>
    </w:p>
    <w:p>
      <w:pPr>
        <w:jc w:val="both"/>
        <w:ind w:left="68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Unilateral decisions by bottlers/distributors, buying groups, convenience chains, grocery chains, mass merchandisers, specialty chain stores, club stores and other customers to discontinue carrying all or any of our products that they are carrying at any time, restrict the range of our products they carry and/or devote less resources to the sale of our products;</w:t>
      </w:r>
    </w:p>
    <w:p>
      <w:pPr>
        <w:spacing w:after="0" w:line="1"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possible trading disputes between our bottler/distributors and their customers and/or one or more buying groups which may result in the delisting of certain of the Company products, temporarily or otherwise;</w:t>
      </w:r>
    </w:p>
    <w:p>
      <w:pPr>
        <w:ind w:left="68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retailer consolidation on our business and our ability to successfully adapt to the rapidly changing retail landscape.</w:t>
      </w: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bottler/distributor consolidation on our business;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and/or effectiveness, now or in the future, of our advertising, marketing and promotional strategies;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sports marketing, social media and other general marketing endeavors both domestically and internationally;</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adapt to the changing landscape of advertising, marketing, promotional, sponsorship and endorsement opportunities created by the COVID-19 pandemic;</w:t>
      </w: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economic and political changes and local or international catastrophic events;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recalls of our products and/or defective production;</w:t>
      </w:r>
    </w:p>
    <w:p>
      <w:pPr>
        <w:spacing w:after="0" w:line="9"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suitable arrangements for the timely procurement of non-defective raw materials;</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and/or the loss of our intellectual property rights and/or our inability to use our trademarks, trade names or designs and/or trade dress in certain countries;</w:t>
      </w:r>
    </w:p>
    <w:p>
      <w:pPr>
        <w:ind w:left="680" w:right="2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stock prices which may restrict stock sales, stock purchases or other opportunities as well as negatively impact the motivation of equity award grantees;</w:t>
      </w:r>
    </w:p>
    <w:p>
      <w:pPr>
        <w:ind w:left="68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organizational documents and/or control by insiders which may prevent changes in control even if such changes would be beneficial to other stockholders;</w:t>
      </w: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bottlers and/or co-packers to manufacture our products on a timely basis or at all;</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reductions in productivity and disruptions to our business routines while most office-based employees of the Company work remotely;</w:t>
      </w:r>
    </w:p>
    <w:p>
      <w:pPr>
        <w:jc w:val="both"/>
        <w:ind w:left="68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and/or lack of effectiveness of our information technology systems, including a breach of cyber security, that disrupts our business or negatively impacts customer relationships, as well as cybersecurity incidents involving data shared with third parties; and</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retention of senior management, other key employees and our employee base in general.</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foregoing list of important factors and other risks detailed from time to time in our reports filed with the SEC is not exhaustive. See the section entitled “Risk Factors” in our Form 10-K and in Item 1A of this Quarterly Report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during the three-months ended September 30, 2020 compared with the disclosures in Part II, Item 7A of our Form 10-K.</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 Under the supervision and with the participation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 There were no changes in the Company’s internal controls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during the quarter ended September 30, 2020, that have materially affected, or are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Notes to Condensed Consolidated Financial Statements - Note 12. Commitments and Contingencies: Legal Proceedings in Part I, Item 1, of this Quarterly Report on Form 10-Q.</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including Management’s Discussion and Analysis of Financial Condition and Results of Operations and the condensed consolidated financial statements and related notes, you should carefully consider the risks discussed in “Part I, Item 1A – Risk Factors” in our Form 10-K, as updated and supplemented in “Part II, Item 1A – Risk Factors” in our Quarterly Report on Form 10-Q for the quarter ended March 31, 2020 and in "Part II, Item 1A - Risk Factors" in our Quarterly Report on Form 10-Q for the quarter ended June 30, 2020, and as further updated and supplemented below. If any of these risks actually occur or continue to occur, our business, reputation, financial condition and/or operating results could be materially adversely affected. The risk factors summarized below are not the only risks we face. Additional risks and uncertainties not currently known to us or that we currently deem to be immaterial may also materially adversely affect our business, reputation, financial condition and/or operating results.</w:t>
      </w:r>
    </w:p>
    <w:p>
      <w:pPr>
        <w:spacing w:after="0" w:line="18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COVID-19 pandemic has had, and we expect will continue to have, certain negative impacts on our business and operations, and such impacts may have a material adverse effect on our business and results of operations.</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current COVID-19 pandemic has presented and continues to present a substantial public health and economic challenge around the world and is affecting our employees, communities and business operations, as well as the global economy and financial markets. The human and economic consequences of the COVID-19 pandemic as well as the measures taken or that may be taken in the future by governments, businesses (including the Company and our suppliers, bottlers/distributors, co-packers and other service providers) and the public at large to limit the COVID-19 pandemic, have and will directly and indirectly impact our business and results of operations, including, without limitation, the following:</w:t>
      </w:r>
    </w:p>
    <w:p>
      <w:pPr>
        <w:spacing w:after="0" w:line="187" w:lineRule="exact"/>
        <w:rPr>
          <w:sz w:val="20"/>
          <w:szCs w:val="20"/>
          <w:color w:val="auto"/>
        </w:rPr>
      </w:pPr>
    </w:p>
    <w:p>
      <w:pPr>
        <w:jc w:val="both"/>
        <w:ind w:left="680" w:hanging="321"/>
        <w:spacing w:after="0" w:line="254"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decreases in sales of our products in many of our markets around the world that have been affected by the COVID-19 pandemic, predominately during the early part of the 2020 second quarter. While some of the restrictions imposed as a result of the initial COVID-19 outbreak have been lifted or eased in many jurisdictions as the rates of COVID-19 infections have decreased or stabilized, resurgence of the COVID-19 pandemic in some markets has slowed or reversed the reopening process, and markets are moving through varying stages of restrictions and re-opening at different times. However, we have recently seen a resurgence of the COVID-19 pandemic in the Northern Hemisphere. As a result, a number of countries, particularly in EMEA, have reinstituted lockdowns and other restrictions, which could further impact customer demand. If the COVID-19 pandemic and related unfavorable economic conditions continue to intensify, the negative impact on our sales, including our new product innovation launches, could be prolonged and may become more severe.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58"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 and continued financial uncertainties in many of our major markets due to the COVID-19 pandemic, such as increased and prolonged unemployment, decreases in per capita income and the level of disposable income, declines in consumer confidence, or economic slowdowns or recessions, could affect consumer purchasing power and consumers’ ability to purchase our products, thereby reducing demand for our products. In addition, public concern among consumers regarding the risk of contracting COVID-19 may also reduce demand for our products.</w:t>
      </w:r>
    </w:p>
    <w:p>
      <w:pPr>
        <w:spacing w:after="0" w:line="183"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closures of, and continued restrictions on, on-premise retailers and other establishments that sell our products as a result of the COVID-19 pandemic have adversely impacted and may continue to adversely impact our sales and results of operations.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55"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advertising, marketing, promotional, sponsorship and endorsement activities have been, and will continue to be, disrupted by reduced opportunities for such activities due to measures taken to limit the spread of the COVID-19 pandemic and the cancellations of or reduced capacity at sporting events, concerts and other events may result in decreased demand for our products. Our product sampling programs, which are part of our strategy to develop brand awareness, have been, and will continue to be, disrupted by the COVID-19 pandemic. If we are unable to successfully adapt to the changing landscape of advertising, marketing, promotional, sponsorship and endorsement opportunities created by the COVID-19 pandemic, our sales, market share, volume growth and overall financial results could be negatively affected.</w:t>
      </w:r>
    </w:p>
    <w:p>
      <w:pPr>
        <w:spacing w:after="0" w:line="188"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innovation activities, including our ability to introduce new products in certain markets, have been delayed and/or adversely impacted by the COVID-19 pandemic. If such innovation activities are disrupted and we continue to delay the launch of new products and/or we are unable to secure sufficient distribution levels for such new products, our business and results of operations could be adversely affected.</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suppliers, bottlers/distributors and co-packers may experience plant closures, production slowdowns and disruptions in operations as a result of the impact of the COVID-19 pandemic. This could result in a disruption to our operations.</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receiving certain raw materials as a result of shipping delays due to, among other things, additional safety requirements imposed by port authorities, closures of or congestion at ports, reduced availability of commercial transportation, border restrictions and capacity constraints.</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increased demand in at home beverage consumption, aluminum cans remain in tight supply, which could impact our operations.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relationships with third parties for cloud data storage and other information technology services for certain functions or for services in support of our operations. These third parties are subject to risks and uncertainties related to the COVID-19 pandemic, which may interfere with their ability to fulfill their respective commitments and responsibilities to us in a timely manner and in accordance with the agreed-upon terms.</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56"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COVID-19 pandemic, including related governmental measures, restrictions, directives and guidance, we have required most of our office-based employees to work remotely. We may experience reductions in productivity and disruptions to our business routines while our remote work policy remains in place. If our employees working remotely do not maintain appropriate measures to mitigate potential risks to our technology and operations from information technology-related disruptions, we may face cybersecurity threats. Employees of our third-party service providers who are working remotely, with whom we may share data, are subject to similar cybersecurity risks.</w:t>
      </w:r>
    </w:p>
    <w:p>
      <w:pPr>
        <w:spacing w:after="0" w:line="187"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authorities at the U.S. federal, state and/or municipal level and in certain foreign jurisdictions may increase or impose new income taxes, indirect taxes or other taxes or revise interpretations of existing tax rules and regulations as a means of financing the costs of stimulus or may take other measures to protect populations and economies from the impact of the COVID-19 pandemic. Increases in direct and indirect tax rates could affect our net income, and increases in consumer taxes could affect our products’ affordability and reduce our sales.</w:t>
      </w:r>
    </w:p>
    <w:p>
      <w:pPr>
        <w:spacing w:after="0" w:line="183"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record significant impairment charges with respect to goodwill or intangible assets whose fair values may be negatively affected by the effects of the COVID-19 pandemic.</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66"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financial impact of the COVID-19 pandemic may cause one or more of the financial institutions we do business with to fail or default in their obligations to us or to become insolvent or file for bankruptcy, which could cause us to incur significant losses and negatively impact our results of operations and financial condition.</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we have taken or may take, or decisions we have made or may make, as a consequence of the COVID-19 pandemic may result in negative publicity and the Company becoming a party to litigation claims and/or legal proceedings, which could consume significant financial and managerial resources, result in decreased demand for our products and injury to our reputation.</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resumption of normal business operations after the disruptions caused by the COVID-19 pandemic may be delayed or constrained by the COVID-19 pandemic's lingering effects on our suppliers, bottlers/distributors, co-packers, contractors, business partners and/or other service providers.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of the negative impacts of the COVID-19 pandemic, including those described above, alone or in combination with others, may have a material adverse effect on our business, reputation, operating results and/or financial condition. Any of these negative impacts, alone or in combination with others, could exacerbate many of the risk factors discussed in “Part I, Item 1A – Risk Factors” in our Form 10-K and “Part II, Item 1A – Risk Factors” in our Quarterly Report on Form 10-Q for the quarter ended March 31, 2020 and "Part II, Item 1A - Risk Factors" in our Quarterly Report on Form 10-Q for the quarter ended June 30, 2020, any of which could materially affect our business, reputation, operating results and/or financial condition. The full extent to which the COVID-19 pandemic will negatively affect our business, reputation, operating results and/or financial condition will depend on future developments that are highly uncertain and cannot be predicted, including the scope and duration of the COVID-19 pandemic, the duration of various shelter-in-place orders and reopening plans across the globe, and actions taken, or that may be taken in the future, by governmental authorities and other third parties in response to the COVID-19 pandemic.</w:t>
      </w:r>
    </w:p>
    <w:p>
      <w:pPr>
        <w:spacing w:after="0" w:line="19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three-months ended September 30, 2020, 1,779 shares of common stock were purchased from employees in lieu of cash payments for options exercised or withholding taxes due for a total amount of $0.1 million. While such purchases are considered common stock repurchases, they are not counted as purchases against our authorized share repurchase programs. Such shares are included in common stock in treasury in the accompanying condensed consolidated balance sheet at September 30, 2020.</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13, 2020, the Company’s Board of Directors authorized a new share repurchase program for the purchase of up to $500.0 million of the Company’s outstanding common stock (the “March 2020 Repurchase Plan”). During the three-months ended September 30, 2020, no shares were purchased by the Company under the March 2020 Repurchase Plan. As of November 6, 2020, $441.5 million remained available for repurchase under the March 2020 Repurchase Plan.</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43" w:lineRule="exact"/>
        <w:rPr>
          <w:sz w:val="20"/>
          <w:szCs w:val="20"/>
          <w:color w:val="auto"/>
        </w:rPr>
      </w:pPr>
    </w:p>
    <w:p>
      <w:pPr>
        <w:spacing w:after="0"/>
        <w:tabs>
          <w:tab w:leader="none" w:pos="8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54">
        <w:r>
          <w:rPr>
            <w:rFonts w:ascii="Times New Roman" w:cs="Times New Roman" w:eastAsia="Times New Roman" w:hAnsi="Times New Roman"/>
            <w:sz w:val="18"/>
            <w:szCs w:val="18"/>
            <w:u w:val="single" w:color="auto"/>
            <w:color w:val="0000EE"/>
          </w:rPr>
          <w:t>Certification of Chief Executive Officer Pursuant to Section 302 of the Sarbanes-Oxley Act of 2002</w:t>
        </w:r>
      </w:hyperlink>
    </w:p>
    <w:p>
      <w:pPr>
        <w:spacing w:after="0" w:line="225" w:lineRule="exact"/>
        <w:rPr>
          <w:sz w:val="20"/>
          <w:szCs w:val="20"/>
          <w:color w:val="auto"/>
        </w:rPr>
      </w:pPr>
    </w:p>
    <w:p>
      <w:pPr>
        <w:spacing w:after="0"/>
        <w:tabs>
          <w:tab w:leader="none" w:pos="8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w:anchor="page55">
        <w:r>
          <w:rPr>
            <w:rFonts w:ascii="Times New Roman" w:cs="Times New Roman" w:eastAsia="Times New Roman" w:hAnsi="Times New Roman"/>
            <w:sz w:val="17"/>
            <w:szCs w:val="17"/>
            <w:u w:val="single" w:color="auto"/>
            <w:color w:val="0000EE"/>
          </w:rPr>
          <w:t>Certification of Chief Financial Officer Pursuant to Section 302 of the Sarbanes-Oxley Act of 2002</w:t>
        </w:r>
      </w:hyperlink>
    </w:p>
    <w:p>
      <w:pPr>
        <w:spacing w:after="0" w:line="225" w:lineRule="exact"/>
        <w:rPr>
          <w:sz w:val="20"/>
          <w:szCs w:val="20"/>
          <w:color w:val="auto"/>
        </w:rPr>
      </w:pPr>
    </w:p>
    <w:p>
      <w:pPr>
        <w:jc w:val="both"/>
        <w:ind w:left="840" w:hanging="836"/>
        <w:spacing w:after="0" w:line="282" w:lineRule="auto"/>
        <w:tabs>
          <w:tab w:leader="none" w:pos="8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32.1*</w:t>
      </w:r>
      <w:r>
        <w:rPr>
          <w:sz w:val="20"/>
          <w:szCs w:val="20"/>
          <w:color w:val="auto"/>
        </w:rPr>
        <w:tab/>
      </w:r>
      <w:hyperlink w:anchor="page56">
        <w:r>
          <w:rPr>
            <w:rFonts w:ascii="Times New Roman" w:cs="Times New Roman" w:eastAsia="Times New Roman" w:hAnsi="Times New Roman"/>
            <w:sz w:val="18"/>
            <w:szCs w:val="18"/>
            <w:u w:val="single" w:color="auto"/>
            <w:color w:val="0000EE"/>
          </w:rPr>
          <w:t>Certification of Chief Executive Officer Pursuant to 18 U.S.C. Section 1350, as Adopted Pursuant to Section 906 of the</w:t>
        </w:r>
      </w:hyperlink>
      <w:r>
        <w:rPr>
          <w:rFonts w:ascii="Times New Roman" w:cs="Times New Roman" w:eastAsia="Times New Roman" w:hAnsi="Times New Roman"/>
          <w:sz w:val="18"/>
          <w:szCs w:val="18"/>
          <w:u w:val="single" w:color="auto"/>
          <w:color w:val="0000EE"/>
        </w:rPr>
        <w:t xml:space="preserve"> </w:t>
      </w:r>
      <w:hyperlink w:anchor="page56">
        <w:r>
          <w:rPr>
            <w:rFonts w:ascii="Times New Roman" w:cs="Times New Roman" w:eastAsia="Times New Roman" w:hAnsi="Times New Roman"/>
            <w:sz w:val="18"/>
            <w:szCs w:val="18"/>
            <w:u w:val="single" w:color="auto"/>
            <w:color w:val="0000EE"/>
          </w:rPr>
          <w:t>Sarbanes-Oxley Act of 2002</w:t>
        </w:r>
      </w:hyperlink>
    </w:p>
    <w:p>
      <w:pPr>
        <w:spacing w:after="0" w:line="162" w:lineRule="exact"/>
        <w:rPr>
          <w:sz w:val="20"/>
          <w:szCs w:val="20"/>
          <w:color w:val="auto"/>
        </w:rPr>
      </w:pPr>
    </w:p>
    <w:p>
      <w:pPr>
        <w:jc w:val="both"/>
        <w:ind w:left="840" w:hanging="836"/>
        <w:spacing w:after="0" w:line="282" w:lineRule="auto"/>
        <w:tabs>
          <w:tab w:leader="none" w:pos="8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32.2*</w:t>
      </w:r>
      <w:r>
        <w:rPr>
          <w:sz w:val="20"/>
          <w:szCs w:val="20"/>
          <w:color w:val="auto"/>
        </w:rPr>
        <w:tab/>
      </w:r>
      <w:hyperlink w:anchor="page57">
        <w:r>
          <w:rPr>
            <w:rFonts w:ascii="Times New Roman" w:cs="Times New Roman" w:eastAsia="Times New Roman" w:hAnsi="Times New Roman"/>
            <w:sz w:val="18"/>
            <w:szCs w:val="18"/>
            <w:u w:val="single" w:color="auto"/>
            <w:color w:val="0000EE"/>
          </w:rPr>
          <w:t>Certification by Chief Financial Officer Pursuant to 18 U.S.C. Section 1350, as Adopted Pursuant to Section 906 of the</w:t>
        </w:r>
      </w:hyperlink>
      <w:r>
        <w:rPr>
          <w:rFonts w:ascii="Times New Roman" w:cs="Times New Roman" w:eastAsia="Times New Roman" w:hAnsi="Times New Roman"/>
          <w:sz w:val="18"/>
          <w:szCs w:val="18"/>
          <w:u w:val="single" w:color="auto"/>
          <w:color w:val="0000EE"/>
        </w:rPr>
        <w:t xml:space="preserve"> </w:t>
      </w:r>
      <w:hyperlink w:anchor="page57">
        <w:r>
          <w:rPr>
            <w:rFonts w:ascii="Times New Roman" w:cs="Times New Roman" w:eastAsia="Times New Roman" w:hAnsi="Times New Roman"/>
            <w:sz w:val="18"/>
            <w:szCs w:val="18"/>
            <w:u w:val="single" w:color="auto"/>
            <w:color w:val="0000EE"/>
          </w:rPr>
          <w:t>Sarbanes-Oxley Act of 2002</w:t>
        </w:r>
      </w:hyperlink>
    </w:p>
    <w:p>
      <w:pPr>
        <w:spacing w:after="0" w:line="162" w:lineRule="exact"/>
        <w:rPr>
          <w:sz w:val="20"/>
          <w:szCs w:val="20"/>
          <w:color w:val="auto"/>
        </w:rPr>
      </w:pPr>
    </w:p>
    <w:p>
      <w:pPr>
        <w:jc w:val="both"/>
        <w:ind w:left="840" w:hanging="839"/>
        <w:spacing w:after="0" w:line="254" w:lineRule="auto"/>
        <w:tabs>
          <w:tab w:leader="none" w:pos="8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financial information from Monster Beverage Corporation’s Quarterly Report on Form 10-Q for the quarter ended September 30, 2020, formatted in iXBRL (Inline eXtensible Business Reporting Language): (i) Condensed Consolidated Balance Sheets as of September 30, 2020 and December 31, 2019, (ii) Condensed Consolidated Statements of Income for the three- and nine-months ended September 30, 2020 and 2019, (iii) Condensed Consolidated Statements of Comprehensive Income for the three- and nine-months ended September 30, 2020 and 2019, (iv) Condensed Consolidated Statements of Stockholders’ Equity for the three- and nine-months ended September 30, 2020 and 2019, (v) Condensed Consolidated Statements of Cash Flows for the nine- months ended September 30, 2020 and 2019, and (vi) the Notes to Condensed Consolidated Financial Statements.</w:t>
      </w:r>
    </w:p>
    <w:p>
      <w:pPr>
        <w:spacing w:after="0" w:line="19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Monster Beverage Corporation’s Quarterly Report on Form 10-Q for the quarter ended September 30,</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2020, formatted in iXBRL (Inline eXtensible Business Reporting Language) and contained in Exhibit 101.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MONSTER BEVERAGE CORPORATION</w:t>
            </w:r>
          </w:p>
        </w:tc>
      </w:tr>
      <w:tr>
        <w:trPr>
          <w:trHeight w:val="234"/>
        </w:trPr>
        <w:tc>
          <w:tcPr>
            <w:tcW w:w="496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0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2020</w:t>
            </w: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RODNEY C. SACKS</w:t>
            </w:r>
          </w:p>
        </w:tc>
      </w:tr>
      <w:tr>
        <w:trPr>
          <w:trHeight w:val="218"/>
        </w:trPr>
        <w:tc>
          <w:tcPr>
            <w:tcW w:w="4960" w:type="dxa"/>
            <w:vAlign w:val="bottom"/>
          </w:tcPr>
          <w:p>
            <w:pPr>
              <w:spacing w:after="0"/>
              <w:rPr>
                <w:sz w:val="18"/>
                <w:szCs w:val="18"/>
                <w:color w:val="auto"/>
              </w:rPr>
            </w:pPr>
          </w:p>
        </w:tc>
        <w:tc>
          <w:tcPr>
            <w:tcW w:w="1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Rodney C. Sacks</w:t>
            </w:r>
          </w:p>
        </w:tc>
        <w:tc>
          <w:tcPr>
            <w:tcW w:w="138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4"/>
        </w:trPr>
        <w:tc>
          <w:tcPr>
            <w:tcW w:w="496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32"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Rodney Sacks, certify that:</w:t>
      </w:r>
    </w:p>
    <w:p>
      <w:pPr>
        <w:spacing w:after="0" w:line="229" w:lineRule="exact"/>
        <w:rPr>
          <w:sz w:val="20"/>
          <w:szCs w:val="20"/>
          <w:color w:val="auto"/>
        </w:rPr>
      </w:pPr>
    </w:p>
    <w:p>
      <w:pPr>
        <w:ind w:left="300" w:hanging="292"/>
        <w:spacing w:after="0"/>
        <w:tabs>
          <w:tab w:leader="none" w:pos="3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10-Q of Monster Beverage Corporation;</w:t>
      </w:r>
    </w:p>
    <w:p>
      <w:pPr>
        <w:spacing w:after="0" w:line="215"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3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12"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59"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20"/>
          <w:szCs w:val="20"/>
          <w:color w:val="auto"/>
        </w:rPr>
      </w:pPr>
    </w:p>
    <w:p>
      <w:pPr>
        <w:jc w:val="both"/>
        <w:ind w:left="1620" w:hanging="316"/>
        <w:spacing w:after="0" w:line="254" w:lineRule="auto"/>
        <w:tabs>
          <w:tab w:leader="none" w:pos="164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705"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7" w:lineRule="exact"/>
        <w:rPr>
          <w:rFonts w:ascii="Times New Roman" w:cs="Times New Roman" w:eastAsia="Times New Roman" w:hAnsi="Times New Roman"/>
          <w:sz w:val="20"/>
          <w:szCs w:val="20"/>
          <w:color w:val="auto"/>
        </w:rPr>
      </w:pPr>
    </w:p>
    <w:p>
      <w:pPr>
        <w:jc w:val="both"/>
        <w:ind w:left="1620" w:hanging="316"/>
        <w:spacing w:after="0" w:line="254" w:lineRule="auto"/>
        <w:tabs>
          <w:tab w:leader="none" w:pos="163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Times New Roman" w:cs="Times New Roman" w:eastAsia="Times New Roman" w:hAnsi="Times New Roman"/>
          <w:sz w:val="20"/>
          <w:szCs w:val="20"/>
          <w:color w:val="auto"/>
        </w:rPr>
      </w:pPr>
    </w:p>
    <w:p>
      <w:pPr>
        <w:ind w:left="1620" w:right="20" w:hanging="316"/>
        <w:spacing w:after="0" w:line="269" w:lineRule="auto"/>
        <w:tabs>
          <w:tab w:leader="none" w:pos="1597"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Date:   November 06, 2020</w:t>
            </w:r>
          </w:p>
        </w:tc>
        <w:tc>
          <w:tcPr>
            <w:tcW w:w="5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/s/Rodney C. Sacks</w:t>
            </w:r>
          </w:p>
        </w:tc>
      </w:tr>
      <w:tr>
        <w:trPr>
          <w:trHeight w:val="200"/>
        </w:trPr>
        <w:tc>
          <w:tcPr>
            <w:tcW w:w="4400" w:type="dxa"/>
            <w:vAlign w:val="bottom"/>
          </w:tcPr>
          <w:p>
            <w:pPr>
              <w:spacing w:after="0"/>
              <w:rPr>
                <w:sz w:val="17"/>
                <w:szCs w:val="17"/>
                <w:color w:val="auto"/>
              </w:rPr>
            </w:pPr>
          </w:p>
        </w:tc>
        <w:tc>
          <w:tcPr>
            <w:tcW w:w="552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Rodney C. Sacks</w:t>
            </w:r>
          </w:p>
        </w:tc>
      </w:tr>
      <w:tr>
        <w:trPr>
          <w:trHeight w:val="230"/>
        </w:trPr>
        <w:tc>
          <w:tcPr>
            <w:tcW w:w="4400" w:type="dxa"/>
            <w:vAlign w:val="bottom"/>
          </w:tcPr>
          <w:p>
            <w:pPr>
              <w:spacing w:after="0"/>
              <w:rPr>
                <w:sz w:val="19"/>
                <w:szCs w:val="19"/>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Chairman of the Board of Directors</w:t>
            </w:r>
          </w:p>
        </w:tc>
      </w:tr>
      <w:tr>
        <w:trPr>
          <w:trHeight w:val="258"/>
        </w:trPr>
        <w:tc>
          <w:tcPr>
            <w:tcW w:w="4400" w:type="dxa"/>
            <w:vAlign w:val="bottom"/>
          </w:tcPr>
          <w:p>
            <w:pPr>
              <w:spacing w:after="0"/>
              <w:rPr>
                <w:sz w:val="22"/>
                <w:szCs w:val="22"/>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and Chief Executive Officer</w:t>
            </w:r>
          </w:p>
        </w:tc>
      </w:tr>
      <w:tr>
        <w:trPr>
          <w:trHeight w:val="770"/>
        </w:trPr>
        <w:tc>
          <w:tcPr>
            <w:tcW w:w="440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19"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Hilton Schlosberg, certify that:</w:t>
      </w:r>
    </w:p>
    <w:p>
      <w:pPr>
        <w:spacing w:after="0" w:line="216" w:lineRule="exact"/>
        <w:rPr>
          <w:sz w:val="20"/>
          <w:szCs w:val="20"/>
          <w:color w:val="auto"/>
        </w:rPr>
      </w:pPr>
    </w:p>
    <w:p>
      <w:pPr>
        <w:ind w:left="300" w:hanging="292"/>
        <w:spacing w:after="0"/>
        <w:tabs>
          <w:tab w:leader="none" w:pos="3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10-Q of Monster Beverage Corporation;</w:t>
      </w:r>
    </w:p>
    <w:p>
      <w:pPr>
        <w:spacing w:after="0" w:line="215"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3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12"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59"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20"/>
          <w:szCs w:val="20"/>
          <w:color w:val="auto"/>
        </w:rPr>
      </w:pPr>
    </w:p>
    <w:p>
      <w:pPr>
        <w:jc w:val="both"/>
        <w:ind w:left="1620" w:hanging="316"/>
        <w:spacing w:after="0" w:line="254" w:lineRule="auto"/>
        <w:tabs>
          <w:tab w:leader="none" w:pos="164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705"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4" w:lineRule="exact"/>
        <w:rPr>
          <w:rFonts w:ascii="Times New Roman" w:cs="Times New Roman" w:eastAsia="Times New Roman" w:hAnsi="Times New Roman"/>
          <w:sz w:val="20"/>
          <w:szCs w:val="20"/>
          <w:color w:val="auto"/>
        </w:rPr>
      </w:pPr>
    </w:p>
    <w:p>
      <w:pPr>
        <w:jc w:val="both"/>
        <w:ind w:left="1620" w:hanging="316"/>
        <w:spacing w:after="0" w:line="254" w:lineRule="auto"/>
        <w:tabs>
          <w:tab w:leader="none" w:pos="163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620" w:right="20" w:hanging="316"/>
        <w:spacing w:after="0" w:line="269" w:lineRule="auto"/>
        <w:tabs>
          <w:tab w:leader="none" w:pos="1597"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Date:  November 06, 2020</w:t>
            </w:r>
          </w:p>
        </w:tc>
        <w:tc>
          <w:tcPr>
            <w:tcW w:w="5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Hilton H. Schlosberg</w:t>
            </w:r>
          </w:p>
        </w:tc>
      </w:tr>
      <w:tr>
        <w:trPr>
          <w:trHeight w:val="200"/>
        </w:trPr>
        <w:tc>
          <w:tcPr>
            <w:tcW w:w="4600" w:type="dxa"/>
            <w:vAlign w:val="bottom"/>
          </w:tcPr>
          <w:p>
            <w:pPr>
              <w:spacing w:after="0"/>
              <w:rPr>
                <w:sz w:val="17"/>
                <w:szCs w:val="17"/>
                <w:color w:val="auto"/>
              </w:rPr>
            </w:pPr>
          </w:p>
        </w:tc>
        <w:tc>
          <w:tcPr>
            <w:tcW w:w="532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Hilton H. Schlosberg</w:t>
            </w:r>
          </w:p>
        </w:tc>
      </w:tr>
      <w:tr>
        <w:trPr>
          <w:trHeight w:val="229"/>
        </w:trPr>
        <w:tc>
          <w:tcPr>
            <w:tcW w:w="4600" w:type="dxa"/>
            <w:vAlign w:val="bottom"/>
          </w:tcPr>
          <w:p>
            <w:pPr>
              <w:spacing w:after="0"/>
              <w:rPr>
                <w:sz w:val="19"/>
                <w:szCs w:val="19"/>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Vice Chairman of the Board of Directors,</w:t>
            </w:r>
          </w:p>
        </w:tc>
      </w:tr>
      <w:tr>
        <w:trPr>
          <w:trHeight w:val="230"/>
        </w:trPr>
        <w:tc>
          <w:tcPr>
            <w:tcW w:w="4600" w:type="dxa"/>
            <w:vAlign w:val="bottom"/>
          </w:tcPr>
          <w:p>
            <w:pPr>
              <w:spacing w:after="0"/>
              <w:rPr>
                <w:sz w:val="19"/>
                <w:szCs w:val="19"/>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President, Chief Operating Officer, Chief</w:t>
            </w:r>
          </w:p>
        </w:tc>
      </w:tr>
      <w:tr>
        <w:trPr>
          <w:trHeight w:val="258"/>
        </w:trPr>
        <w:tc>
          <w:tcPr>
            <w:tcW w:w="4600" w:type="dxa"/>
            <w:vAlign w:val="bottom"/>
          </w:tcPr>
          <w:p>
            <w:pPr>
              <w:spacing w:after="0"/>
              <w:rPr>
                <w:sz w:val="22"/>
                <w:szCs w:val="22"/>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Financial Officer and Secretary</w:t>
            </w:r>
          </w:p>
        </w:tc>
      </w:tr>
      <w:tr>
        <w:trPr>
          <w:trHeight w:val="771"/>
        </w:trPr>
        <w:tc>
          <w:tcPr>
            <w:tcW w:w="46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 U.S.C. SECTION 1350,</w:t>
      </w:r>
    </w:p>
    <w:p>
      <w:pPr>
        <w:jc w:val="center"/>
        <w:spacing w:after="0"/>
        <w:rPr>
          <w:sz w:val="20"/>
          <w:szCs w:val="20"/>
          <w:color w:val="auto"/>
        </w:rPr>
      </w:pPr>
      <w:r>
        <w:rPr>
          <w:rFonts w:ascii="Times New Roman" w:cs="Times New Roman" w:eastAsia="Times New Roman" w:hAnsi="Times New Roman"/>
          <w:sz w:val="20"/>
          <w:szCs w:val="20"/>
          <w:color w:val="auto"/>
        </w:rPr>
        <w:t>AS ADOPTED PURSUANT TO</w:t>
      </w:r>
    </w:p>
    <w:p>
      <w:pPr>
        <w:jc w:val="center"/>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07"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Monster Beverage Corporation (the "Company") on Form 10-Q for the quarter ended September 30, 2020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93" w:lineRule="exact"/>
        <w:rPr>
          <w:sz w:val="20"/>
          <w:szCs w:val="20"/>
          <w:color w:val="auto"/>
        </w:rPr>
      </w:pPr>
    </w:p>
    <w:p>
      <w:pPr>
        <w:ind w:left="980" w:right="380" w:hanging="324"/>
        <w:spacing w:after="0" w:line="269" w:lineRule="auto"/>
        <w:tabs>
          <w:tab w:leader="none" w:pos="949"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186" w:lineRule="exact"/>
        <w:rPr>
          <w:rFonts w:ascii="Times New Roman" w:cs="Times New Roman" w:eastAsia="Times New Roman" w:hAnsi="Times New Roman"/>
          <w:sz w:val="20"/>
          <w:szCs w:val="20"/>
          <w:color w:val="auto"/>
        </w:rPr>
      </w:pPr>
    </w:p>
    <w:p>
      <w:pPr>
        <w:ind w:left="980" w:right="500" w:hanging="324"/>
        <w:spacing w:after="0" w:line="269" w:lineRule="auto"/>
        <w:tabs>
          <w:tab w:leader="none" w:pos="949"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Date:  November 06, 2020</w:t>
            </w:r>
          </w:p>
        </w:tc>
        <w:tc>
          <w:tcPr>
            <w:tcW w:w="5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Rodney C. Sacks</w:t>
            </w:r>
          </w:p>
        </w:tc>
      </w:tr>
      <w:tr>
        <w:trPr>
          <w:trHeight w:val="200"/>
        </w:trPr>
        <w:tc>
          <w:tcPr>
            <w:tcW w:w="4500" w:type="dxa"/>
            <w:vAlign w:val="bottom"/>
          </w:tcPr>
          <w:p>
            <w:pPr>
              <w:spacing w:after="0"/>
              <w:rPr>
                <w:sz w:val="17"/>
                <w:szCs w:val="17"/>
                <w:color w:val="auto"/>
              </w:rPr>
            </w:pPr>
          </w:p>
        </w:tc>
        <w:tc>
          <w:tcPr>
            <w:tcW w:w="542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Rodney C. Sacks</w:t>
            </w:r>
          </w:p>
        </w:tc>
      </w:tr>
      <w:tr>
        <w:trPr>
          <w:trHeight w:val="229"/>
        </w:trPr>
        <w:tc>
          <w:tcPr>
            <w:tcW w:w="4500" w:type="dxa"/>
            <w:vAlign w:val="bottom"/>
          </w:tcPr>
          <w:p>
            <w:pPr>
              <w:spacing w:after="0"/>
              <w:rPr>
                <w:sz w:val="19"/>
                <w:szCs w:val="19"/>
                <w:color w:val="auto"/>
              </w:rPr>
            </w:pPr>
          </w:p>
        </w:tc>
        <w:tc>
          <w:tcPr>
            <w:tcW w:w="5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Chairman of the Board of Directors</w:t>
            </w:r>
          </w:p>
        </w:tc>
      </w:tr>
      <w:tr>
        <w:trPr>
          <w:trHeight w:val="258"/>
        </w:trPr>
        <w:tc>
          <w:tcPr>
            <w:tcW w:w="4500" w:type="dxa"/>
            <w:vAlign w:val="bottom"/>
          </w:tcPr>
          <w:p>
            <w:pPr>
              <w:spacing w:after="0"/>
              <w:rPr>
                <w:sz w:val="22"/>
                <w:szCs w:val="22"/>
                <w:color w:val="auto"/>
              </w:rPr>
            </w:pPr>
          </w:p>
        </w:tc>
        <w:tc>
          <w:tcPr>
            <w:tcW w:w="5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and Chief Executive Officer</w:t>
            </w:r>
          </w:p>
        </w:tc>
      </w:tr>
      <w:tr>
        <w:trPr>
          <w:trHeight w:val="770"/>
        </w:trPr>
        <w:tc>
          <w:tcPr>
            <w:tcW w:w="45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 U.S.C. SECTION 1350,</w:t>
      </w:r>
    </w:p>
    <w:p>
      <w:pPr>
        <w:jc w:val="center"/>
        <w:spacing w:after="0"/>
        <w:rPr>
          <w:sz w:val="20"/>
          <w:szCs w:val="20"/>
          <w:color w:val="auto"/>
        </w:rPr>
      </w:pPr>
      <w:r>
        <w:rPr>
          <w:rFonts w:ascii="Times New Roman" w:cs="Times New Roman" w:eastAsia="Times New Roman" w:hAnsi="Times New Roman"/>
          <w:sz w:val="20"/>
          <w:szCs w:val="20"/>
          <w:color w:val="auto"/>
        </w:rPr>
        <w:t>AS ADOPTED PURSUANT TO</w:t>
      </w:r>
    </w:p>
    <w:p>
      <w:pPr>
        <w:jc w:val="center"/>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connection with the annual report of Monster Beverage Corporation (the "Company") on Form 10-Q for the quarter ended September 30, 2020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198" w:lineRule="exact"/>
        <w:rPr>
          <w:sz w:val="20"/>
          <w:szCs w:val="20"/>
          <w:color w:val="auto"/>
        </w:rPr>
      </w:pPr>
    </w:p>
    <w:p>
      <w:pPr>
        <w:ind w:left="980" w:right="380" w:hanging="324"/>
        <w:spacing w:after="0" w:line="269" w:lineRule="auto"/>
        <w:tabs>
          <w:tab w:leader="none" w:pos="94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186" w:lineRule="exact"/>
        <w:rPr>
          <w:rFonts w:ascii="Times New Roman" w:cs="Times New Roman" w:eastAsia="Times New Roman" w:hAnsi="Times New Roman"/>
          <w:sz w:val="20"/>
          <w:szCs w:val="20"/>
          <w:color w:val="auto"/>
        </w:rPr>
      </w:pPr>
    </w:p>
    <w:p>
      <w:pPr>
        <w:ind w:left="980" w:right="500" w:hanging="324"/>
        <w:spacing w:after="0" w:line="269" w:lineRule="auto"/>
        <w:tabs>
          <w:tab w:leader="none" w:pos="94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Date:  November 06, 2020</w:t>
            </w:r>
          </w:p>
        </w:tc>
        <w:tc>
          <w:tcPr>
            <w:tcW w:w="5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Hilton H. Schlosberg</w:t>
            </w:r>
          </w:p>
        </w:tc>
      </w:tr>
      <w:tr>
        <w:trPr>
          <w:trHeight w:val="200"/>
        </w:trPr>
        <w:tc>
          <w:tcPr>
            <w:tcW w:w="4620" w:type="dxa"/>
            <w:vAlign w:val="bottom"/>
          </w:tcPr>
          <w:p>
            <w:pPr>
              <w:spacing w:after="0"/>
              <w:rPr>
                <w:sz w:val="17"/>
                <w:szCs w:val="17"/>
                <w:color w:val="auto"/>
              </w:rPr>
            </w:pPr>
          </w:p>
        </w:tc>
        <w:tc>
          <w:tcPr>
            <w:tcW w:w="53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Hilton H. Schlosberg</w:t>
            </w:r>
          </w:p>
        </w:tc>
      </w:tr>
      <w:tr>
        <w:trPr>
          <w:trHeight w:val="229"/>
        </w:trPr>
        <w:tc>
          <w:tcPr>
            <w:tcW w:w="4620" w:type="dxa"/>
            <w:vAlign w:val="bottom"/>
          </w:tcPr>
          <w:p>
            <w:pPr>
              <w:spacing w:after="0"/>
              <w:rPr>
                <w:sz w:val="19"/>
                <w:szCs w:val="19"/>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Vice Chairman of the Board of Directors,</w:t>
            </w:r>
          </w:p>
        </w:tc>
      </w:tr>
      <w:tr>
        <w:trPr>
          <w:trHeight w:val="230"/>
        </w:trPr>
        <w:tc>
          <w:tcPr>
            <w:tcW w:w="4620" w:type="dxa"/>
            <w:vAlign w:val="bottom"/>
          </w:tcPr>
          <w:p>
            <w:pPr>
              <w:spacing w:after="0"/>
              <w:rPr>
                <w:sz w:val="19"/>
                <w:szCs w:val="19"/>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President, Chief Operating Officer, Chief</w:t>
            </w:r>
          </w:p>
        </w:tc>
      </w:tr>
      <w:tr>
        <w:trPr>
          <w:trHeight w:val="258"/>
        </w:trPr>
        <w:tc>
          <w:tcPr>
            <w:tcW w:w="4620" w:type="dxa"/>
            <w:vAlign w:val="bottom"/>
          </w:tcPr>
          <w:p>
            <w:pPr>
              <w:spacing w:after="0"/>
              <w:rPr>
                <w:sz w:val="22"/>
                <w:szCs w:val="22"/>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Financial Officer and Secretary</w:t>
            </w:r>
          </w:p>
        </w:tc>
      </w:tr>
      <w:tr>
        <w:trPr>
          <w:trHeight w:val="770"/>
        </w:trPr>
        <w:tc>
          <w:tcPr>
            <w:tcW w:w="46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1."/>
      <w:numFmt w:val="decimal"/>
      <w:start w:val="2"/>
    </w:lvl>
  </w:abstractNum>
  <w:abstractNum w:abstractNumId="2">
    <w:nsid w:val="7C83E458"/>
    <w:multiLevelType w:val="hybridMultilevel"/>
    <w:lvl w:ilvl="0">
      <w:lvlJc w:val="left"/>
      <w:lvlText w:val="%1."/>
      <w:numFmt w:val="decimal"/>
      <w:start w:val="3"/>
    </w:lvl>
  </w:abstractNum>
  <w:abstractNum w:abstractNumId="3">
    <w:nsid w:val="257130A3"/>
    <w:multiLevelType w:val="hybridMultilevel"/>
    <w:lvl w:ilvl="0">
      <w:lvlJc w:val="left"/>
      <w:lvlText w:val="(%1)"/>
      <w:numFmt w:val="lowerRoman"/>
      <w:start w:val="2"/>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4"/>
    </w:lvl>
  </w:abstractNum>
  <w:abstractNum w:abstractNumId="6">
    <w:nsid w:val="628C895D"/>
    <w:multiLevelType w:val="hybridMultilevel"/>
    <w:lvl w:ilvl="0">
      <w:lvlJc w:val="left"/>
      <w:lvlText w:val="%1."/>
      <w:numFmt w:val="decimal"/>
      <w:start w:val="842"/>
    </w:lvl>
  </w:abstractNum>
  <w:abstractNum w:abstractNumId="7">
    <w:nsid w:val="333AB105"/>
    <w:multiLevelType w:val="hybridMultilevel"/>
    <w:lvl w:ilvl="0">
      <w:lvlJc w:val="left"/>
      <w:lvlText w:val="%1."/>
      <w:numFmt w:val="decimal"/>
      <w:start w:val="5"/>
    </w:lvl>
  </w:abstractNum>
  <w:abstractNum w:abstractNumId="8">
    <w:nsid w:val="721DA317"/>
    <w:multiLevelType w:val="hybridMultilevel"/>
    <w:lvl w:ilvl="0">
      <w:lvlJc w:val="left"/>
      <w:lvlText w:val="%1."/>
      <w:numFmt w:val="decimal"/>
      <w:start w:val="6"/>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7"/>
    </w:lvl>
  </w:abstractNum>
  <w:abstractNum w:abstractNumId="11">
    <w:nsid w:val="6763845E"/>
    <w:multiLevelType w:val="hybridMultilevel"/>
    <w:lvl w:ilvl="0">
      <w:lvlJc w:val="left"/>
      <w:lvlText w:val="%1."/>
      <w:numFmt w:val="decimal"/>
      <w:start w:val="8"/>
    </w:lvl>
  </w:abstractNum>
  <w:abstractNum w:abstractNumId="12">
    <w:nsid w:val="75A2A8D4"/>
    <w:multiLevelType w:val="hybridMultilevel"/>
    <w:lvl w:ilvl="0">
      <w:lvlJc w:val="left"/>
      <w:lvlText w:val="%1."/>
      <w:numFmt w:val="decimal"/>
      <w:start w:val="10"/>
    </w:lvl>
  </w:abstractNum>
  <w:abstractNum w:abstractNumId="13">
    <w:nsid w:val="8EDBDAB"/>
    <w:multiLevelType w:val="hybridMultilevel"/>
    <w:lvl w:ilvl="0">
      <w:lvlJc w:val="left"/>
      <w:lvlText w:val="%1."/>
      <w:numFmt w:val="decimal"/>
      <w:start w:val="12"/>
    </w:lvl>
  </w:abstractNum>
  <w:abstractNum w:abstractNumId="14">
    <w:nsid w:val="79838CB2"/>
    <w:multiLevelType w:val="hybridMultilevel"/>
    <w:lvl w:ilvl="0">
      <w:lvlJc w:val="left"/>
      <w:lvlText w:val="%1."/>
      <w:numFmt w:val="decimal"/>
      <w:start w:val="13"/>
    </w:lvl>
  </w:abstractNum>
  <w:abstractNum w:abstractNumId="15">
    <w:nsid w:val="4353D0CD"/>
    <w:multiLevelType w:val="hybridMultilevel"/>
    <w:lvl w:ilvl="0">
      <w:lvlJc w:val="left"/>
      <w:lvlText w:val="%1."/>
      <w:numFmt w:val="decimal"/>
      <w:start w:val="14"/>
    </w:lvl>
  </w:abstractNum>
  <w:abstractNum w:abstractNumId="16">
    <w:nsid w:val="B03E0C6"/>
    <w:multiLevelType w:val="hybridMultilevel"/>
    <w:lvl w:ilvl="0">
      <w:lvlJc w:val="left"/>
      <w:lvlText w:val="%1."/>
      <w:numFmt w:val="decimal"/>
      <w:start w:val="15"/>
    </w:lvl>
  </w:abstractNum>
  <w:abstractNum w:abstractNumId="17">
    <w:nsid w:val="189A769B"/>
    <w:multiLevelType w:val="hybridMultilevel"/>
    <w:lvl w:ilvl="0">
      <w:lvlJc w:val="left"/>
      <w:lvlText w:val="%1."/>
      <w:numFmt w:val="decimal"/>
      <w:start w:val="16"/>
    </w:lvl>
  </w:abstractNum>
  <w:abstractNum w:abstractNumId="18">
    <w:nsid w:val="54E49EB4"/>
    <w:multiLevelType w:val="hybridMultilevel"/>
    <w:lvl w:ilvl="0">
      <w:lvlJc w:val="left"/>
      <w:lvlText w:val="%1."/>
      <w:numFmt w:val="decimal"/>
      <w:start w:val="17"/>
    </w:lvl>
  </w:abstractNum>
  <w:abstractNum w:abstractNumId="19">
    <w:nsid w:val="71F32454"/>
    <w:multiLevelType w:val="hybridMultilevel"/>
    <w:lvl w:ilvl="0">
      <w:lvlJc w:val="left"/>
      <w:lvlText w:val="%1."/>
      <w:numFmt w:val="decimal"/>
      <w:start w:val="18"/>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20"/>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2020-11-06T16:34:27Z</dcterms:created>
  <dcterms:modified xsi:type="dcterms:W3CDTF">2020-11-06T16:34:27Z</dcterms:modified>
</cp:coreProperties>
</file>