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10-K/A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19" w:lineRule="exact"/>
        <w:rPr>
          <w:sz w:val="24"/>
          <w:szCs w:val="24"/>
          <w:color w:val="auto"/>
        </w:rPr>
      </w:pPr>
    </w:p>
    <w:p>
      <w:pPr>
        <w:ind w:left="3940" w:right="3140" w:hanging="794"/>
        <w:spacing w:after="0" w:line="282" w:lineRule="auto"/>
        <w:tabs>
          <w:tab w:leader="none" w:pos="3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ANNUAL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2016</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234" w:lineRule="exact"/>
        <w:rPr>
          <w:sz w:val="24"/>
          <w:szCs w:val="24"/>
          <w:color w:val="auto"/>
        </w:rPr>
      </w:pPr>
    </w:p>
    <w:p>
      <w:pPr>
        <w:ind w:left="3940" w:right="3020" w:hanging="911"/>
        <w:spacing w:after="0" w:line="282" w:lineRule="auto"/>
        <w:tabs>
          <w:tab w:leader="none" w:pos="3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w:t>
      </w:r>
    </w:p>
    <w:p>
      <w:pPr>
        <w:spacing w:after="0" w:line="17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For the transition period from _____ to _____</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001-18761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MONSTER BEVERAGE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435" w:right="239" w:bottom="0" w:gutter="0" w:footer="0" w:header="0"/>
        </w:sectPr>
      </w:pPr>
    </w:p>
    <w:p>
      <w:pPr>
        <w:spacing w:after="0" w:line="107" w:lineRule="exact"/>
        <w:rPr>
          <w:sz w:val="24"/>
          <w:szCs w:val="24"/>
          <w:color w:val="auto"/>
        </w:rPr>
      </w:pPr>
    </w:p>
    <w:p>
      <w:pPr>
        <w:jc w:val="center"/>
        <w:ind w:left="940"/>
        <w:spacing w:after="0"/>
        <w:rPr>
          <w:sz w:val="20"/>
          <w:szCs w:val="20"/>
          <w:color w:val="auto"/>
        </w:rPr>
      </w:pPr>
      <w:r>
        <w:rPr>
          <w:rFonts w:ascii="Times New Roman" w:cs="Times New Roman" w:eastAsia="Times New Roman" w:hAnsi="Times New Roman"/>
          <w:sz w:val="19"/>
          <w:szCs w:val="19"/>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47-1809393</w:t>
      </w:r>
    </w:p>
    <w:p>
      <w:pPr>
        <w:spacing w:after="0" w:line="15" w:lineRule="exact"/>
        <w:rPr>
          <w:sz w:val="24"/>
          <w:szCs w:val="24"/>
          <w:color w:val="auto"/>
        </w:rPr>
      </w:pPr>
    </w:p>
    <w:p>
      <w:pPr>
        <w:sectPr>
          <w:pgSz w:w="11900" w:h="16838" w:orient="portrait"/>
          <w:cols w:equalWidth="0" w:num="2">
            <w:col w:w="6260" w:space="720"/>
            <w:col w:w="4440"/>
          </w:cols>
          <w:pgMar w:left="240" w:top="435" w:right="239" w:bottom="0" w:gutter="0" w:footer="0" w:header="0"/>
          <w:type w:val="continuous"/>
        </w:sectPr>
      </w:pPr>
    </w:p>
    <w:p>
      <w:pPr>
        <w:ind w:left="322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32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200" w:lineRule="exact"/>
        <w:rPr>
          <w:sz w:val="24"/>
          <w:szCs w:val="24"/>
          <w:color w:val="auto"/>
        </w:rPr>
      </w:pPr>
    </w:p>
    <w:p>
      <w:pPr>
        <w:sectPr>
          <w:pgSz w:w="11900" w:h="16838" w:orient="portrait"/>
          <w:cols w:equalWidth="0" w:num="2">
            <w:col w:w="6260" w:space="720"/>
            <w:col w:w="4440"/>
          </w:cols>
          <w:pgMar w:left="240" w:top="435" w:right="239"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Corona, California 92879</w:t>
      </w:r>
    </w:p>
    <w:p>
      <w:pPr>
        <w:jc w:val="center"/>
        <w:spacing w:after="0"/>
        <w:tabs>
          <w:tab w:leader="none" w:pos="120" w:val="left"/>
        </w:tabs>
        <w:rPr>
          <w:sz w:val="20"/>
          <w:szCs w:val="20"/>
          <w:color w:val="auto"/>
        </w:rPr>
      </w:pPr>
      <w:r>
        <w:rPr>
          <w:rFonts w:ascii="Times New Roman" w:cs="Times New Roman" w:eastAsia="Times New Roman" w:hAnsi="Times New Roman"/>
          <w:sz w:val="15"/>
          <w:szCs w:val="15"/>
          <w:color w:val="auto"/>
        </w:rPr>
        <w:t>(Address of principal executive offices)</w:t>
        <w:tab/>
        <w:t>(Zip Code)</w:t>
      </w:r>
    </w:p>
    <w:p>
      <w:pPr>
        <w:sectPr>
          <w:pgSz w:w="11900" w:h="16838" w:orient="portrait"/>
          <w:cols w:equalWidth="0" w:num="1">
            <w:col w:w="11420"/>
          </w:cols>
          <w:pgMar w:left="240" w:top="435" w:right="239" w:bottom="0" w:gutter="0" w:footer="0" w:header="0"/>
          <w:type w:val="continuous"/>
        </w:sect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(951) 739 - 6200</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6"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4920" w:type="dxa"/>
            <w:vAlign w:val="bottom"/>
            <w:gridSpan w:val="2"/>
          </w:tcPr>
          <w:p>
            <w:pPr>
              <w:jc w:val="center"/>
              <w:ind w:right="3540"/>
              <w:spacing w:after="0"/>
              <w:rPr>
                <w:sz w:val="20"/>
                <w:szCs w:val="20"/>
                <w:color w:val="auto"/>
              </w:rPr>
            </w:pPr>
            <w:r>
              <w:rPr>
                <w:rFonts w:ascii="Times New Roman" w:cs="Times New Roman" w:eastAsia="Times New Roman" w:hAnsi="Times New Roman"/>
                <w:sz w:val="18"/>
                <w:szCs w:val="18"/>
                <w:color w:val="auto"/>
              </w:rPr>
              <w:t>Title of Each Class</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5740" w:type="dxa"/>
            <w:vAlign w:val="bottom"/>
            <w:gridSpan w:val="3"/>
          </w:tcPr>
          <w:p>
            <w:pPr>
              <w:jc w:val="center"/>
              <w:ind w:right="2720"/>
              <w:spacing w:after="0"/>
              <w:rPr>
                <w:sz w:val="20"/>
                <w:szCs w:val="20"/>
                <w:color w:val="auto"/>
              </w:rPr>
            </w:pPr>
            <w:r>
              <w:rPr>
                <w:rFonts w:ascii="Times New Roman" w:cs="Times New Roman" w:eastAsia="Times New Roman" w:hAnsi="Times New Roman"/>
                <w:sz w:val="18"/>
                <w:szCs w:val="18"/>
                <w:color w:val="auto"/>
                <w:w w:val="99"/>
              </w:rPr>
              <w:t>Common Stock, $.005 par value per share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1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w:t>
      </w:r>
      <w:r>
        <w:rPr>
          <w:rFonts w:ascii="Times New Roman" w:cs="Times New Roman" w:eastAsia="Times New Roman" w:hAnsi="Times New Roman"/>
          <w:sz w:val="18"/>
          <w:szCs w:val="18"/>
          <w:color w:val="auto"/>
        </w:rPr>
        <w:t>o</w:t>
      </w:r>
    </w:p>
    <w:p>
      <w:pPr>
        <w:spacing w:after="0" w:line="239"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 Yes</w:t>
      </w: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 xml:space="preserve"> No</w:t>
      </w:r>
      <w:r>
        <w:rPr>
          <w:rFonts w:ascii="MS PGothic" w:cs="MS PGothic" w:eastAsia="MS PGothic" w:hAnsi="MS PGothic"/>
          <w:sz w:val="18"/>
          <w:szCs w:val="18"/>
          <w:color w:val="auto"/>
        </w:rPr>
        <w:t>☑</w:t>
      </w:r>
    </w:p>
    <w:p>
      <w:pPr>
        <w:spacing w:after="0" w:line="272" w:lineRule="exact"/>
        <w:rPr>
          <w:sz w:val="24"/>
          <w:szCs w:val="24"/>
          <w:color w:val="auto"/>
        </w:rPr>
      </w:pPr>
    </w:p>
    <w:p>
      <w:pPr>
        <w:ind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Times New Roman" w:cs="Times New Roman" w:eastAsia="Times New Roman" w:hAnsi="Times New Roman"/>
          <w:sz w:val="18"/>
          <w:szCs w:val="18"/>
          <w:color w:val="auto"/>
        </w:rPr>
        <w:t>o</w:t>
      </w:r>
    </w:p>
    <w:p>
      <w:pPr>
        <w:spacing w:after="0" w:line="197" w:lineRule="exact"/>
        <w:rPr>
          <w:sz w:val="24"/>
          <w:szCs w:val="24"/>
          <w:color w:val="auto"/>
        </w:rPr>
      </w:pPr>
    </w:p>
    <w:p>
      <w:pPr>
        <w:jc w:val="both"/>
        <w:ind w:right="360"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No </w:t>
      </w:r>
      <w:r>
        <w:rPr>
          <w:rFonts w:ascii="Times New Roman" w:cs="Times New Roman" w:eastAsia="Times New Roman" w:hAnsi="Times New Roman"/>
          <w:sz w:val="18"/>
          <w:szCs w:val="18"/>
          <w:color w:val="auto"/>
        </w:rPr>
        <w:t>o</w:t>
      </w:r>
    </w:p>
    <w:p>
      <w:pPr>
        <w:spacing w:after="0" w:line="197" w:lineRule="exact"/>
        <w:rPr>
          <w:sz w:val="24"/>
          <w:szCs w:val="24"/>
          <w:color w:val="auto"/>
        </w:rPr>
      </w:pPr>
    </w:p>
    <w:p>
      <w:pPr>
        <w:ind w:firstLine="648"/>
        <w:spacing w:after="0" w:line="288" w:lineRule="auto"/>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color w:val="auto"/>
        </w:rPr>
        <w:t>o</w:t>
      </w:r>
    </w:p>
    <w:p>
      <w:pPr>
        <w:spacing w:after="0" w:line="179" w:lineRule="exact"/>
        <w:rPr>
          <w:sz w:val="24"/>
          <w:szCs w:val="24"/>
          <w:color w:val="auto"/>
        </w:rPr>
      </w:pPr>
    </w:p>
    <w:p>
      <w:pPr>
        <w:ind w:right="120" w:firstLine="64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4260" w:firstLine="324"/>
        <w:spacing w:after="0" w:line="239"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Accelerated filer </w:t>
      </w: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 xml:space="preserve"> Non-accelerated filer </w:t>
      </w: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 xml:space="preserve"> Smaller reporting company </w:t>
      </w:r>
      <w:r>
        <w:rPr>
          <w:rFonts w:ascii="Times New Roman" w:cs="Times New Roman" w:eastAsia="Times New Roman" w:hAnsi="Times New Roman"/>
          <w:sz w:val="18"/>
          <w:szCs w:val="18"/>
          <w:color w:val="auto"/>
        </w:rPr>
        <w:t>o</w:t>
      </w:r>
      <w:r>
        <w:rPr>
          <w:rFonts w:ascii="Times New Roman" w:cs="Times New Roman" w:eastAsia="Times New Roman" w:hAnsi="Times New Roman"/>
          <w:sz w:val="16"/>
          <w:szCs w:val="16"/>
          <w:color w:val="auto"/>
        </w:rPr>
        <w:t xml:space="preserve"> (Do not check if a smaller reporting company)</w:t>
      </w:r>
    </w:p>
    <w:p>
      <w:pPr>
        <w:spacing w:after="0" w:line="360" w:lineRule="exact"/>
        <w:rPr>
          <w:sz w:val="24"/>
          <w:szCs w:val="24"/>
          <w:color w:val="auto"/>
        </w:rPr>
      </w:pPr>
    </w:p>
    <w:p>
      <w:pPr>
        <w:ind w:left="660"/>
        <w:spacing w:after="0" w:line="196" w:lineRule="exact"/>
        <w:tabs>
          <w:tab w:leader="none" w:pos="82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5"/>
          <w:szCs w:val="15"/>
          <w:color w:val="auto"/>
        </w:rPr>
        <w:t xml:space="preserve">Yes </w:t>
      </w:r>
      <w:r>
        <w:rPr>
          <w:rFonts w:ascii="Times New Roman" w:cs="Times New Roman" w:eastAsia="Times New Roman" w:hAnsi="Times New Roman"/>
          <w:sz w:val="17"/>
          <w:szCs w:val="17"/>
          <w:color w:val="auto"/>
        </w:rPr>
        <w:t>o</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283" w:lineRule="exact"/>
        <w:rPr>
          <w:sz w:val="24"/>
          <w:szCs w:val="24"/>
          <w:color w:val="auto"/>
        </w:rPr>
      </w:pPr>
    </w:p>
    <w:p>
      <w:pPr>
        <w:jc w:val="both"/>
        <w:ind w:firstLine="648"/>
        <w:spacing w:after="0" w:line="29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$27,920,735,052 computed by reference to the closing sale price for such stock on the NASDAQ Global Select Market on June 30, 2016, the last business day of the registrant’s most recently completed second fiscal quarter.</w:t>
      </w:r>
    </w:p>
    <w:p>
      <w:pPr>
        <w:spacing w:after="0" w:line="385" w:lineRule="exact"/>
        <w:rPr>
          <w:sz w:val="24"/>
          <w:szCs w:val="24"/>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common stock, $0.005 par value per share (being the only class of common stock of the registrant), outstanding on April 5, 2017 was 567,788,360 shares.</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ectPr>
          <w:pgSz w:w="11900" w:h="16838" w:orient="portrait"/>
          <w:cols w:equalWidth="0" w:num="1">
            <w:col w:w="11420"/>
          </w:cols>
          <w:pgMar w:left="240" w:top="435" w:right="239" w:bottom="0" w:gutter="0" w:footer="0" w:header="0"/>
          <w:type w:val="continuous"/>
        </w:sectPr>
      </w:pPr>
    </w:p>
    <w:bookmarkStart w:id="1" w:name="page2"/>
    <w:bookmarkEnd w:id="1"/>
    <w:p>
      <w:pPr>
        <w:jc w:val="both"/>
        <w:ind w:firstLine="441"/>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subsequent to the date hereof with the Commission pursuant to Regulation 14A in connection with the registrant’s 2017 Annual Meeting of Stockholders are incorporated by reference into Part III of this Report. Such Definitive Proxy Statement will be filed with the Securities and Exchange Commission no later than 120 days after the conclusion of the registrant’s fiscal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filing this Amendment No. 1 (“Amendment No. 1”) to our Annual Report on Form 10-K for the fiscal year ended December 31, 2016, as filed with the Securities and Exchange Commission (the “SEC”) on March 1, 2017 (the “Original Form 10-K”), to correct a typographical error in the content of Exhibit 23.1, Consent of Independent Registered Public Accounting Firm (the “Consent”). The Consent in the Original Form 10-K incorrectly referenced the audit reports of Deloitte &amp; Touche LLP as of February 29, 2016. The correct date for the audit reports referenced in the Original Form 10-K is March 1, 2017. A new consent with the correct date is filed as an exhibit attached hereto.</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(the “Exchange Act”), this Amendment No. 1 also contains new certifications pursuant to Section 302 of the Sarbanes-Oxley Act of 2002, which are attached hereto. Because no financial statements have been included in this Amendment No. 1 and this Amendment No. 1 does not contain or amend any disclosure with respect to Items 307 and 308 of Regulation S-K under the Exchange Act, paragraphs 3, 4 and 5 of the certifications have been omitted. Pursuant to Rule 13a-14 under the Exchange Act, this Amendment No. 1 also contains new certifications pursuant to Section 906 of the Sarbanes-Oxley Act of 2002, which are attached hereto.</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Other than this date correction to the Consent, no other changes have been made to the Original Form 10-K. This Amendment No. 1 does not reflect subsequent events occurring after the original filing date of the Original Form 10-K or modify or update in any way disclosures made in the Original Form 10-K. This Amendment No. 1 should be read in conjunction with the Original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Documents filed as part of the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The exhibits, listed on the accompanying exhibit index that is set forth after the signature page, are filed or furnished as part of this Amendment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Sections 13 or 15(d) of the Securities Exchange Act of 1934, as amended, the registrant has duly caused this Amendment No. 1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w w:val="95"/>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23"/>
        </w:trPr>
        <w:tc>
          <w:tcPr>
            <w:tcW w:w="45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MONSTER BEVERAGE</w:t>
            </w:r>
          </w:p>
        </w:tc>
        <w:tc>
          <w:tcPr>
            <w:tcW w:w="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6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CORPORATION</w:t>
            </w: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482"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435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Rodney C. Sacks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435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Rodney C. Sacks</w:t>
      </w:r>
    </w:p>
    <w:p>
      <w:pPr>
        <w:spacing w:after="0" w:line="200" w:lineRule="exact"/>
        <w:rPr>
          <w:sz w:val="20"/>
          <w:szCs w:val="20"/>
          <w:color w:val="auto"/>
        </w:rPr>
      </w:pPr>
    </w:p>
    <w:p>
      <w:pPr>
        <w:spacing w:after="0" w:line="230" w:lineRule="exact"/>
        <w:rPr>
          <w:sz w:val="20"/>
          <w:szCs w:val="20"/>
          <w:color w:val="auto"/>
        </w:rPr>
      </w:pPr>
    </w:p>
    <w:p>
      <w:pPr>
        <w:ind w:right="1240"/>
        <w:spacing w:after="0" w:line="310" w:lineRule="auto"/>
        <w:rPr>
          <w:sz w:val="20"/>
          <w:szCs w:val="20"/>
          <w:color w:val="auto"/>
        </w:rPr>
      </w:pPr>
      <w:r>
        <w:rPr>
          <w:rFonts w:ascii="Times New Roman" w:cs="Times New Roman" w:eastAsia="Times New Roman" w:hAnsi="Times New Roman"/>
          <w:sz w:val="19"/>
          <w:szCs w:val="19"/>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435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740" w:val="left"/>
        </w:tabs>
        <w:rPr>
          <w:sz w:val="20"/>
          <w:szCs w:val="20"/>
          <w:color w:val="auto"/>
        </w:rPr>
      </w:pPr>
      <w:r>
        <w:rPr>
          <w:rFonts w:ascii="Times New Roman" w:cs="Times New Roman" w:eastAsia="Times New Roman" w:hAnsi="Times New Roman"/>
          <w:sz w:val="20"/>
          <w:szCs w:val="20"/>
          <w:color w:val="auto"/>
        </w:rPr>
        <w:t>Rodney C. Sacks</w:t>
      </w:r>
      <w:r>
        <w:rPr>
          <w:sz w:val="20"/>
          <w:szCs w:val="20"/>
          <w:color w:val="auto"/>
        </w:rPr>
        <w:tab/>
      </w:r>
      <w:r>
        <w:rPr>
          <w:rFonts w:ascii="Times New Roman" w:cs="Times New Roman" w:eastAsia="Times New Roman" w:hAnsi="Times New Roman"/>
          <w:sz w:val="19"/>
          <w:szCs w:val="19"/>
          <w:color w:val="auto"/>
        </w:rPr>
        <w:t>April 13, 2017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of the Board</w:t>
      </w:r>
    </w:p>
    <w:p>
      <w:pPr>
        <w:spacing w:after="0" w:line="200" w:lineRule="exact"/>
        <w:rPr>
          <w:sz w:val="20"/>
          <w:szCs w:val="20"/>
          <w:color w:val="auto"/>
        </w:rPr>
      </w:pPr>
    </w:p>
    <w:p>
      <w:pPr>
        <w:spacing w:after="0" w:line="250"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0"/>
          <w:szCs w:val="20"/>
          <w:color w:val="auto"/>
        </w:rPr>
        <w:t>Chairman of the Board of</w:t>
      </w:r>
      <w:r>
        <w:rPr>
          <w:sz w:val="20"/>
          <w:szCs w:val="20"/>
          <w:color w:val="auto"/>
        </w:rPr>
        <w:tab/>
      </w:r>
      <w:r>
        <w:rPr>
          <w:rFonts w:ascii="Times New Roman" w:cs="Times New Roman" w:eastAsia="Times New Roman" w:hAnsi="Times New Roman"/>
          <w:sz w:val="19"/>
          <w:szCs w:val="19"/>
          <w:color w:val="auto"/>
        </w:rPr>
        <w:t>April 13, 2017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and Chief Executive Officer</w:t>
      </w:r>
    </w:p>
    <w:p>
      <w:pPr>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Chairman of the Board</w:t>
      </w:r>
    </w:p>
    <w:p>
      <w:pPr>
        <w:spacing w:after="0" w:line="21"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0"/>
          <w:szCs w:val="20"/>
          <w:color w:val="auto"/>
        </w:rPr>
        <w:t>of Directors, President, Chief</w:t>
      </w:r>
      <w:r>
        <w:rPr>
          <w:sz w:val="20"/>
          <w:szCs w:val="20"/>
          <w:color w:val="auto"/>
        </w:rPr>
        <w:tab/>
      </w:r>
      <w:r>
        <w:rPr>
          <w:rFonts w:ascii="Times New Roman" w:cs="Times New Roman" w:eastAsia="Times New Roman" w:hAnsi="Times New Roman"/>
          <w:sz w:val="19"/>
          <w:szCs w:val="19"/>
          <w:color w:val="auto"/>
        </w:rPr>
        <w:t>April 13, 2017</w:t>
      </w:r>
    </w:p>
    <w:p>
      <w:pPr>
        <w:spacing w:after="0"/>
        <w:rPr>
          <w:sz w:val="20"/>
          <w:szCs w:val="20"/>
          <w:color w:val="auto"/>
        </w:rPr>
      </w:pPr>
      <w:r>
        <w:rPr>
          <w:rFonts w:ascii="Times New Roman" w:cs="Times New Roman" w:eastAsia="Times New Roman" w:hAnsi="Times New Roman"/>
          <w:sz w:val="20"/>
          <w:szCs w:val="20"/>
          <w:color w:val="auto"/>
        </w:rPr>
        <w:t>Operating Officer, Chief Financial</w:t>
      </w:r>
    </w:p>
    <w:p>
      <w:pPr>
        <w:spacing w:after="0"/>
        <w:rPr>
          <w:sz w:val="20"/>
          <w:szCs w:val="20"/>
          <w:color w:val="auto"/>
        </w:rPr>
      </w:pPr>
      <w:r>
        <w:rPr>
          <w:rFonts w:ascii="Times New Roman" w:cs="Times New Roman" w:eastAsia="Times New Roman" w:hAnsi="Times New Roman"/>
          <w:sz w:val="20"/>
          <w:szCs w:val="20"/>
          <w:color w:val="auto"/>
        </w:rPr>
        <w:t>Officer and Secretary (principal</w:t>
      </w:r>
    </w:p>
    <w:p>
      <w:pPr>
        <w:spacing w:after="0"/>
        <w:rPr>
          <w:sz w:val="20"/>
          <w:szCs w:val="20"/>
          <w:color w:val="auto"/>
        </w:rPr>
      </w:pPr>
      <w:r>
        <w:rPr>
          <w:rFonts w:ascii="Times New Roman" w:cs="Times New Roman" w:eastAsia="Times New Roman" w:hAnsi="Times New Roman"/>
          <w:sz w:val="20"/>
          <w:szCs w:val="20"/>
          <w:color w:val="auto"/>
        </w:rPr>
        <w:t>financial officer, controller and</w:t>
      </w:r>
    </w:p>
    <w:p>
      <w:pPr>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780" w:space="720"/>
            <w:col w:w="6920"/>
          </w:cols>
          <w:pgMar w:left="240" w:top="355" w:right="239" w:bottom="482"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40" w:type="dxa"/>
            <w:vAlign w:val="bottom"/>
          </w:tcPr>
          <w:p>
            <w:pPr>
              <w:ind w:left="3660"/>
              <w:spacing w:after="0"/>
              <w:rPr>
                <w:sz w:val="20"/>
                <w:szCs w:val="20"/>
                <w:color w:val="auto"/>
              </w:rPr>
            </w:pPr>
            <w:r>
              <w:rPr>
                <w:rFonts w:ascii="Times New Roman" w:cs="Times New Roman" w:eastAsia="Times New Roman" w:hAnsi="Times New Roman"/>
                <w:sz w:val="20"/>
                <w:szCs w:val="20"/>
                <w:b w:val="1"/>
                <w:bCs w:val="1"/>
                <w:color w:val="auto"/>
              </w:rPr>
              <w:t>INDEX TO EXHIBITS</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4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23*</w:t>
            </w:r>
          </w:p>
        </w:tc>
        <w:tc>
          <w:tcPr>
            <w:tcW w:w="102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4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31.1*</w:t>
            </w:r>
          </w:p>
        </w:tc>
        <w:tc>
          <w:tcPr>
            <w:tcW w:w="102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w w:val="99"/>
              </w:rPr>
              <w:t>Certification by CEO pursuant to Rule 13A-14(a) or 15D-14(a) of the Securities Exchange Act of 1934, as adopted pursuant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0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Section 302 of the Sarbanes-Oxley Act of 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4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31.2*</w:t>
            </w:r>
          </w:p>
        </w:tc>
        <w:tc>
          <w:tcPr>
            <w:tcW w:w="102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w w:val="99"/>
              </w:rPr>
              <w:t>Certification by CFO pursuant to Rule 13A-14(a) or 15D-14(a) of the Securities Exchange Act of 1934, as adopted pursuant to</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0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Section 302 of the Sarbanes-Oxley Act of 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4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32.1*</w:t>
            </w:r>
          </w:p>
        </w:tc>
        <w:tc>
          <w:tcPr>
            <w:tcW w:w="102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Certification by CEO pursuant to 18 U.S.C. Section 1350, as adopted pursuant to Section 906 of the Sarbanes-Oxley Act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0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4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32.2*</w:t>
            </w:r>
          </w:p>
        </w:tc>
        <w:tc>
          <w:tcPr>
            <w:tcW w:w="102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Certification by CFO pursuant to 18 U.S.C. Section 1350, as adopted pursuant to Section 906 of the Sarbanes-Oxley Act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40" w:type="dxa"/>
            <w:vAlign w:val="bottom"/>
            <w:tcBorders>
              <w:left w:val="single" w:sz="8" w:color="auto"/>
              <w:bottom w:val="single" w:sz="8" w:color="auto"/>
              <w:right w:val="single" w:sz="8" w:color="auto"/>
            </w:tcBorders>
          </w:tcPr>
          <w:p>
            <w:pPr>
              <w:spacing w:after="0"/>
              <w:rPr>
                <w:sz w:val="21"/>
                <w:szCs w:val="21"/>
                <w:color w:val="auto"/>
              </w:rPr>
            </w:pPr>
          </w:p>
        </w:tc>
        <w:tc>
          <w:tcPr>
            <w:tcW w:w="10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2002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filed or furnished with this report.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4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333-215326, Post-Effective Amendment No. 1 to Registration Statement No. 333-41333, No. 333-89123, No. 333-112482, No. 333-131467, No. 333-170713 and No. 333-174614 and Post-Effective Amendment No. 2 to Registration Statement No. 033-92526 on Form S-8 of our reports dated March 1, 2017, relating to the consolidated financial statements and financial statement schedule of Monster Beverage Corporation and subsidiaries (the “Company”) and the effectiveness of the Company’s internal control over financial reporting, appearing in the Annual Report on Form 10-K of Monster Beverage Corporation and subsidiaries for the year ended December 31,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10-K/A of Monster Beverage Corporation; and</w:t>
      </w:r>
    </w:p>
    <w:p>
      <w:pPr>
        <w:spacing w:after="0" w:line="229" w:lineRule="exact"/>
        <w:rPr>
          <w:rFonts w:ascii="Times New Roman" w:cs="Times New Roman" w:eastAsia="Times New Roman" w:hAnsi="Times New Roman"/>
          <w:sz w:val="20"/>
          <w:szCs w:val="20"/>
          <w:color w:val="auto"/>
        </w:rPr>
      </w:pPr>
    </w:p>
    <w:p>
      <w:pPr>
        <w:ind w:left="340" w:right="120" w:hanging="332"/>
        <w:spacing w:after="0" w:line="254" w:lineRule="auto"/>
        <w:tabs>
          <w:tab w:leader="none" w:pos="3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1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April 13, 2017</w:t>
            </w:r>
          </w:p>
        </w:tc>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/s/Rodney C. Sacks</w:t>
            </w:r>
          </w:p>
        </w:tc>
        <w:tc>
          <w:tcPr>
            <w:tcW w:w="40" w:type="dxa"/>
            <w:vAlign w:val="bottom"/>
          </w:tcPr>
          <w:p>
            <w:pPr>
              <w:spacing w:after="0"/>
              <w:rPr>
                <w:sz w:val="21"/>
                <w:szCs w:val="21"/>
                <w:color w:val="auto"/>
              </w:rPr>
            </w:pPr>
          </w:p>
        </w:tc>
      </w:tr>
      <w:tr>
        <w:trPr>
          <w:trHeight w:val="200"/>
        </w:trPr>
        <w:tc>
          <w:tcPr>
            <w:tcW w:w="6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6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58"/>
        </w:trPr>
        <w:tc>
          <w:tcPr>
            <w:tcW w:w="68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Chairman of the Board of Directors and Chief Executive Officer</w:t>
            </w:r>
          </w:p>
        </w:tc>
        <w:tc>
          <w:tcPr>
            <w:tcW w:w="40" w:type="dxa"/>
            <w:vAlign w:val="bottom"/>
          </w:tcPr>
          <w:p>
            <w:pPr>
              <w:spacing w:after="0"/>
              <w:rPr>
                <w:sz w:val="22"/>
                <w:szCs w:val="22"/>
                <w:color w:val="auto"/>
              </w:rPr>
            </w:pPr>
          </w:p>
        </w:tc>
      </w:tr>
      <w:tr>
        <w:trPr>
          <w:trHeight w:val="355"/>
        </w:trPr>
        <w:tc>
          <w:tcPr>
            <w:tcW w:w="68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5" w:name="page6"/>
    <w:bookmarkEnd w:id="5"/>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10-K/A of Monster Beverage Corporation; and</w:t>
      </w:r>
    </w:p>
    <w:p>
      <w:pPr>
        <w:spacing w:after="0" w:line="229" w:lineRule="exact"/>
        <w:rPr>
          <w:rFonts w:ascii="Times New Roman" w:cs="Times New Roman" w:eastAsia="Times New Roman" w:hAnsi="Times New Roman"/>
          <w:sz w:val="20"/>
          <w:szCs w:val="20"/>
          <w:color w:val="auto"/>
        </w:rPr>
      </w:pPr>
    </w:p>
    <w:p>
      <w:pPr>
        <w:ind w:left="340" w:right="120" w:hanging="332"/>
        <w:spacing w:after="0" w:line="254" w:lineRule="auto"/>
        <w:tabs>
          <w:tab w:leader="none" w:pos="32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April 13, 2017</w:t>
            </w:r>
          </w:p>
        </w:tc>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6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Vice Chairman of the Board of Directors, President, Chief Operating</w:t>
            </w:r>
          </w:p>
        </w:tc>
        <w:tc>
          <w:tcPr>
            <w:tcW w:w="4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Officer, Chief Financial Officer and Secretary</w:t>
            </w:r>
          </w:p>
        </w:tc>
        <w:tc>
          <w:tcPr>
            <w:tcW w:w="40" w:type="dxa"/>
            <w:vAlign w:val="bottom"/>
          </w:tcPr>
          <w:p>
            <w:pPr>
              <w:spacing w:after="0"/>
              <w:rPr>
                <w:sz w:val="22"/>
                <w:szCs w:val="22"/>
                <w:color w:val="auto"/>
              </w:rPr>
            </w:pPr>
          </w:p>
        </w:tc>
      </w:tr>
      <w:tr>
        <w:trPr>
          <w:trHeight w:val="355"/>
        </w:trPr>
        <w:tc>
          <w:tcPr>
            <w:tcW w:w="8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6" w:name="page7"/>
    <w:bookmarkEnd w:id="6"/>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10-K/A for the year ended December 31, 2016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April 13, 2017</w:t>
            </w:r>
          </w:p>
        </w:tc>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/s/ Rodney C. Sacks</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6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58"/>
        </w:trPr>
        <w:tc>
          <w:tcPr>
            <w:tcW w:w="8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Chairman of the Board of Directors and Chief Executive Officer</w:t>
            </w:r>
          </w:p>
        </w:tc>
        <w:tc>
          <w:tcPr>
            <w:tcW w:w="40" w:type="dxa"/>
            <w:vAlign w:val="bottom"/>
          </w:tcPr>
          <w:p>
            <w:pPr>
              <w:spacing w:after="0"/>
              <w:rPr>
                <w:sz w:val="22"/>
                <w:szCs w:val="22"/>
                <w:color w:val="auto"/>
              </w:rPr>
            </w:pPr>
          </w:p>
        </w:tc>
      </w:tr>
      <w:tr>
        <w:trPr>
          <w:trHeight w:val="355"/>
        </w:trPr>
        <w:tc>
          <w:tcPr>
            <w:tcW w:w="8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7" w:name="page8"/>
    <w:bookmarkEnd w:id="7"/>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10-K/A for the year ended December 31, 2016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9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April 13, 2017</w:t>
            </w:r>
          </w:p>
        </w:tc>
        <w:tc>
          <w:tcPr>
            <w:tcW w:w="5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64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Vice Chairman of the Board of Directors, President, Chief Operating</w:t>
            </w:r>
          </w:p>
        </w:tc>
        <w:tc>
          <w:tcPr>
            <w:tcW w:w="40" w:type="dxa"/>
            <w:vAlign w:val="bottom"/>
          </w:tcPr>
          <w:p>
            <w:pPr>
              <w:spacing w:after="0"/>
              <w:rPr>
                <w:sz w:val="19"/>
                <w:szCs w:val="19"/>
                <w:color w:val="auto"/>
              </w:rPr>
            </w:pPr>
          </w:p>
        </w:tc>
      </w:tr>
      <w:tr>
        <w:trPr>
          <w:trHeight w:val="258"/>
        </w:trPr>
        <w:tc>
          <w:tcPr>
            <w:tcW w:w="8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56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Officer, Chief Financial Officer and Secretary</w:t>
            </w:r>
          </w:p>
        </w:tc>
        <w:tc>
          <w:tcPr>
            <w:tcW w:w="40" w:type="dxa"/>
            <w:vAlign w:val="bottom"/>
          </w:tcPr>
          <w:p>
            <w:pPr>
              <w:spacing w:after="0"/>
              <w:rPr>
                <w:sz w:val="22"/>
                <w:szCs w:val="22"/>
                <w:color w:val="auto"/>
              </w:rPr>
            </w:pPr>
          </w:p>
        </w:tc>
      </w:tr>
      <w:tr>
        <w:trPr>
          <w:trHeight w:val="355"/>
        </w:trPr>
        <w:tc>
          <w:tcPr>
            <w:tcW w:w="80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2019-12-05T17:41:56Z</dcterms:created>
  <dcterms:modified xsi:type="dcterms:W3CDTF">2019-12-05T17:41:56Z</dcterms:modified>
</cp:coreProperties>
</file>