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Quarterly Report Pursuant to Section 13 or 15(d)</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0" w:lineRule="exact"/>
        <w:rPr>
          <w:sz w:val="24"/>
          <w:szCs w:val="24"/>
          <w:color w:val="auto"/>
        </w:rPr>
      </w:pPr>
    </w:p>
    <w:p>
      <w:pPr>
        <w:ind w:left="660"/>
        <w:spacing w:after="0"/>
        <w:tabs>
          <w:tab w:leader="none" w:pos="6660" w:val="left"/>
        </w:tabs>
        <w:rPr>
          <w:sz w:val="20"/>
          <w:szCs w:val="20"/>
          <w:color w:val="auto"/>
        </w:rPr>
      </w:pPr>
      <w:r>
        <w:rPr>
          <w:rFonts w:ascii="Times New Roman" w:cs="Times New Roman" w:eastAsia="Times New Roman" w:hAnsi="Times New Roman"/>
          <w:sz w:val="18"/>
          <w:szCs w:val="18"/>
          <w:color w:val="auto"/>
        </w:rPr>
        <w:t>For the quarterly period ended June 30, 2022</w:t>
      </w:r>
      <w:r>
        <w:rPr>
          <w:sz w:val="20"/>
          <w:szCs w:val="20"/>
          <w:color w:val="auto"/>
        </w:rPr>
        <w:tab/>
      </w:r>
      <w:r>
        <w:rPr>
          <w:rFonts w:ascii="Times New Roman" w:cs="Times New Roman" w:eastAsia="Times New Roman" w:hAnsi="Times New Roman"/>
          <w:sz w:val="18"/>
          <w:szCs w:val="18"/>
          <w:color w:val="auto"/>
        </w:rPr>
        <w:t>Commission File Number 001-18761</w:t>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MONSTER BEVERAGE CORPORATION</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11"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334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Delaware</w:t>
            </w:r>
          </w:p>
        </w:tc>
        <w:tc>
          <w:tcPr>
            <w:tcW w:w="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38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47-1809393</w:t>
            </w:r>
          </w:p>
        </w:tc>
      </w:tr>
      <w:tr>
        <w:trPr>
          <w:trHeight w:val="148"/>
        </w:trPr>
        <w:tc>
          <w:tcPr>
            <w:tcW w:w="6080" w:type="dxa"/>
            <w:vAlign w:val="bottom"/>
            <w:gridSpan w:val="3"/>
          </w:tcPr>
          <w:p>
            <w:pPr>
              <w:ind w:left="2540"/>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840" w:type="dxa"/>
            <w:vAlign w:val="bottom"/>
          </w:tcPr>
          <w:p>
            <w:pPr>
              <w:ind w:left="280"/>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6080" w:type="dxa"/>
            <w:vAlign w:val="bottom"/>
            <w:gridSpan w:val="3"/>
          </w:tcPr>
          <w:p>
            <w:pPr>
              <w:ind w:left="2540"/>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8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Identification No.)</w:t>
            </w:r>
          </w:p>
        </w:tc>
      </w:tr>
      <w:tr>
        <w:trPr>
          <w:trHeight w:val="316"/>
        </w:trPr>
        <w:tc>
          <w:tcPr>
            <w:tcW w:w="3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Monster Way</w:t>
            </w:r>
          </w:p>
        </w:tc>
        <w:tc>
          <w:tcPr>
            <w:tcW w:w="3840" w:type="dxa"/>
            <w:vAlign w:val="bottom"/>
          </w:tcPr>
          <w:p>
            <w:pPr>
              <w:spacing w:after="0"/>
              <w:rPr>
                <w:sz w:val="24"/>
                <w:szCs w:val="24"/>
                <w:color w:val="auto"/>
              </w:rPr>
            </w:pPr>
          </w:p>
        </w:tc>
      </w:tr>
      <w:tr>
        <w:trPr>
          <w:trHeight w:val="212"/>
        </w:trPr>
        <w:tc>
          <w:tcPr>
            <w:tcW w:w="3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Corona, California 92879</w:t>
            </w:r>
          </w:p>
        </w:tc>
        <w:tc>
          <w:tcPr>
            <w:tcW w:w="3840" w:type="dxa"/>
            <w:vAlign w:val="bottom"/>
          </w:tcPr>
          <w:p>
            <w:pPr>
              <w:spacing w:after="0"/>
              <w:rPr>
                <w:sz w:val="18"/>
                <w:szCs w:val="18"/>
                <w:color w:val="auto"/>
              </w:rPr>
            </w:pPr>
          </w:p>
        </w:tc>
      </w:tr>
      <w:tr>
        <w:trPr>
          <w:trHeight w:val="188"/>
        </w:trPr>
        <w:tc>
          <w:tcPr>
            <w:tcW w:w="3340" w:type="dxa"/>
            <w:vAlign w:val="bottom"/>
          </w:tcPr>
          <w:p>
            <w:pPr>
              <w:spacing w:after="0"/>
              <w:rPr>
                <w:sz w:val="16"/>
                <w:szCs w:val="16"/>
                <w:color w:val="auto"/>
              </w:rPr>
            </w:pPr>
          </w:p>
        </w:tc>
        <w:tc>
          <w:tcPr>
            <w:tcW w:w="6580" w:type="dxa"/>
            <w:vAlign w:val="bottom"/>
            <w:gridSpan w:val="3"/>
          </w:tcPr>
          <w:p>
            <w:pPr>
              <w:jc w:val="center"/>
              <w:ind w:right="3257"/>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tc>
      </w:tr>
      <w:tr>
        <w:trPr>
          <w:trHeight w:val="311"/>
        </w:trPr>
        <w:tc>
          <w:tcPr>
            <w:tcW w:w="3340" w:type="dxa"/>
            <w:vAlign w:val="bottom"/>
          </w:tcPr>
          <w:p>
            <w:pPr>
              <w:spacing w:after="0"/>
              <w:rPr>
                <w:sz w:val="24"/>
                <w:szCs w:val="24"/>
                <w:color w:val="auto"/>
              </w:rPr>
            </w:pPr>
          </w:p>
        </w:tc>
        <w:tc>
          <w:tcPr>
            <w:tcW w:w="2740" w:type="dxa"/>
            <w:vAlign w:val="bottom"/>
            <w:gridSpan w:val="2"/>
          </w:tcPr>
          <w:p>
            <w:pPr>
              <w:jc w:val="center"/>
              <w:ind w:left="442"/>
              <w:spacing w:after="0"/>
              <w:rPr>
                <w:sz w:val="20"/>
                <w:szCs w:val="20"/>
                <w:color w:val="auto"/>
              </w:rPr>
            </w:pPr>
            <w:r>
              <w:rPr>
                <w:rFonts w:ascii="Times New Roman" w:cs="Times New Roman" w:eastAsia="Times New Roman" w:hAnsi="Times New Roman"/>
                <w:sz w:val="18"/>
                <w:szCs w:val="18"/>
                <w:color w:val="auto"/>
              </w:rPr>
              <w:t>(951) 739 - 6200</w:t>
            </w:r>
          </w:p>
        </w:tc>
        <w:tc>
          <w:tcPr>
            <w:tcW w:w="3840" w:type="dxa"/>
            <w:vAlign w:val="bottom"/>
          </w:tcPr>
          <w:p>
            <w:pPr>
              <w:spacing w:after="0"/>
              <w:rPr>
                <w:sz w:val="24"/>
                <w:szCs w:val="24"/>
                <w:color w:val="auto"/>
              </w:rPr>
            </w:pPr>
          </w:p>
        </w:tc>
      </w:tr>
      <w:tr>
        <w:trPr>
          <w:trHeight w:val="188"/>
        </w:trPr>
        <w:tc>
          <w:tcPr>
            <w:tcW w:w="3340" w:type="dxa"/>
            <w:vAlign w:val="bottom"/>
          </w:tcPr>
          <w:p>
            <w:pPr>
              <w:spacing w:after="0"/>
              <w:rPr>
                <w:sz w:val="16"/>
                <w:szCs w:val="16"/>
                <w:color w:val="auto"/>
              </w:rPr>
            </w:pPr>
          </w:p>
        </w:tc>
        <w:tc>
          <w:tcPr>
            <w:tcW w:w="6580" w:type="dxa"/>
            <w:vAlign w:val="bottom"/>
            <w:gridSpan w:val="3"/>
          </w:tcPr>
          <w:p>
            <w:pPr>
              <w:jc w:val="center"/>
              <w:ind w:right="3257"/>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r>
      <w:tr>
        <w:trPr>
          <w:trHeight w:val="334"/>
        </w:trPr>
        <w:tc>
          <w:tcPr>
            <w:tcW w:w="608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840" w:type="dxa"/>
            <w:vAlign w:val="bottom"/>
          </w:tcPr>
          <w:p>
            <w:pPr>
              <w:spacing w:after="0"/>
              <w:rPr>
                <w:sz w:val="24"/>
                <w:szCs w:val="24"/>
                <w:color w:val="auto"/>
              </w:rPr>
            </w:pPr>
          </w:p>
        </w:tc>
      </w:tr>
      <w:tr>
        <w:trPr>
          <w:trHeight w:val="135"/>
        </w:trPr>
        <w:tc>
          <w:tcPr>
            <w:tcW w:w="334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200" w:type="dxa"/>
            <w:vAlign w:val="bottom"/>
            <w:tcBorders>
              <w:bottom w:val="single" w:sz="8" w:color="auto"/>
            </w:tcBorders>
          </w:tcPr>
          <w:p>
            <w:pPr>
              <w:spacing w:after="0"/>
              <w:rPr>
                <w:sz w:val="11"/>
                <w:szCs w:val="11"/>
                <w:color w:val="auto"/>
              </w:rPr>
            </w:pPr>
          </w:p>
        </w:tc>
        <w:tc>
          <w:tcPr>
            <w:tcW w:w="3840" w:type="dxa"/>
            <w:vAlign w:val="bottom"/>
            <w:tcBorders>
              <w:bottom w:val="single" w:sz="8" w:color="auto"/>
            </w:tcBorders>
          </w:tcPr>
          <w:p>
            <w:pPr>
              <w:spacing w:after="0"/>
              <w:rPr>
                <w:sz w:val="11"/>
                <w:szCs w:val="11"/>
                <w:color w:val="auto"/>
              </w:rPr>
            </w:pPr>
          </w:p>
        </w:tc>
      </w:tr>
      <w:tr>
        <w:trPr>
          <w:trHeight w:val="209"/>
        </w:trPr>
        <w:tc>
          <w:tcPr>
            <w:tcW w:w="3340" w:type="dxa"/>
            <w:vAlign w:val="bottom"/>
            <w:tcBorders>
              <w:left w:val="single" w:sz="8" w:color="auto"/>
              <w:bottom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54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10"/>
        </w:trPr>
        <w:tc>
          <w:tcPr>
            <w:tcW w:w="3340" w:type="dxa"/>
            <w:vAlign w:val="bottom"/>
            <w:tcBorders>
              <w:left w:val="single" w:sz="8" w:color="auto"/>
              <w:bottom w:val="single" w:sz="8" w:color="auto"/>
            </w:tcBorders>
          </w:tcPr>
          <w:p>
            <w:pPr>
              <w:jc w:val="center"/>
              <w:ind w:left="456"/>
              <w:spacing w:after="0"/>
              <w:rPr>
                <w:sz w:val="20"/>
                <w:szCs w:val="20"/>
                <w:color w:val="auto"/>
              </w:rPr>
            </w:pPr>
            <w:r>
              <w:rPr>
                <w:rFonts w:ascii="Times New Roman" w:cs="Times New Roman" w:eastAsia="Times New Roman" w:hAnsi="Times New Roman"/>
                <w:sz w:val="18"/>
                <w:szCs w:val="18"/>
                <w:color w:val="auto"/>
                <w:w w:val="99"/>
              </w:rPr>
              <w:t>Common Stock</w:t>
            </w:r>
          </w:p>
        </w:tc>
        <w:tc>
          <w:tcPr>
            <w:tcW w:w="54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MNST</w:t>
            </w:r>
          </w:p>
        </w:tc>
        <w:tc>
          <w:tcPr>
            <w:tcW w:w="3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03"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95"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ab/>
        <w:t>No__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95" w:lineRule="exact"/>
        <w:rPr>
          <w:sz w:val="24"/>
          <w:szCs w:val="24"/>
          <w:color w:val="auto"/>
        </w:rPr>
      </w:pPr>
    </w:p>
    <w:p>
      <w:pPr>
        <w:jc w:val="center"/>
        <w:ind w:right="-19"/>
        <w:spacing w:after="0"/>
        <w:tabs>
          <w:tab w:leader="none" w:pos="160" w:val="left"/>
        </w:tabs>
        <w:rPr>
          <w:sz w:val="20"/>
          <w:szCs w:val="20"/>
          <w:color w:val="auto"/>
        </w:rPr>
      </w:pPr>
      <w:r>
        <w:rPr>
          <w:rFonts w:ascii="Times New Roman" w:cs="Times New Roman" w:eastAsia="Times New Roman" w:hAnsi="Times New Roman"/>
          <w:sz w:val="18"/>
          <w:szCs w:val="18"/>
          <w:color w:val="auto"/>
        </w:rPr>
        <w:t xml:space="preserve">Yes </w:t>
      </w:r>
      <w:r>
        <w:rPr>
          <w:rFonts w:ascii="Times New Roman" w:cs="Times New Roman" w:eastAsia="Times New Roman" w:hAnsi="Times New Roman"/>
          <w:sz w:val="18"/>
          <w:szCs w:val="18"/>
          <w:u w:val="single" w:color="auto"/>
          <w:color w:val="auto"/>
        </w:rPr>
        <w:t>X</w:t>
      </w:r>
      <w:r>
        <w:rPr>
          <w:sz w:val="20"/>
          <w:szCs w:val="20"/>
          <w:color w:val="auto"/>
        </w:rPr>
        <w:tab/>
      </w:r>
      <w:r>
        <w:rPr>
          <w:rFonts w:ascii="Times New Roman" w:cs="Times New Roman" w:eastAsia="Times New Roman" w:hAnsi="Times New Roman"/>
          <w:sz w:val="17"/>
          <w:szCs w:val="17"/>
          <w:color w:val="auto"/>
        </w:rPr>
        <w:t>No __</w:t>
      </w:r>
    </w:p>
    <w:p>
      <w:pPr>
        <w:spacing w:after="0" w:line="144"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4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35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54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97" w:lineRule="exact"/>
        <w:rPr>
          <w:sz w:val="24"/>
          <w:szCs w:val="24"/>
          <w:color w:val="auto"/>
        </w:rPr>
      </w:pPr>
    </w:p>
    <w:p>
      <w:pPr>
        <w:ind w:right="20" w:firstLine="648"/>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44"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8"/>
          <w:szCs w:val="18"/>
          <w:color w:val="auto"/>
        </w:rPr>
        <w:t xml:space="preserve">Yes __ No  </w:t>
      </w:r>
      <w:r>
        <w:rPr>
          <w:rFonts w:ascii="Times New Roman" w:cs="Times New Roman" w:eastAsia="Times New Roman" w:hAnsi="Times New Roman"/>
          <w:sz w:val="18"/>
          <w:szCs w:val="18"/>
          <w:u w:val="single" w:color="auto"/>
          <w:color w:val="auto"/>
        </w:rPr>
        <w:t>X</w:t>
      </w:r>
    </w:p>
    <w:p>
      <w:pPr>
        <w:spacing w:after="0" w:line="144" w:lineRule="exact"/>
        <w:rPr>
          <w:sz w:val="24"/>
          <w:szCs w:val="24"/>
          <w:color w:val="auto"/>
        </w:rPr>
      </w:pPr>
    </w:p>
    <w:p>
      <w:pPr>
        <w:jc w:val="center"/>
        <w:ind w:right="180"/>
        <w:spacing w:after="0"/>
        <w:rPr>
          <w:sz w:val="20"/>
          <w:szCs w:val="20"/>
          <w:color w:val="auto"/>
        </w:rPr>
      </w:pPr>
      <w:r>
        <w:rPr>
          <w:rFonts w:ascii="Times New Roman" w:cs="Times New Roman" w:eastAsia="Times New Roman" w:hAnsi="Times New Roman"/>
          <w:sz w:val="18"/>
          <w:szCs w:val="18"/>
          <w:color w:val="auto"/>
        </w:rPr>
        <w:t>The registrant had 526,885,495 shares of common stock, par value $0.005 per share, outstanding as of July 29,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506095</wp:posOffset>
            </wp:positionV>
            <wp:extent cx="629221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68580</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102870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9180" w:type="dxa"/>
            <w:vAlign w:val="bottom"/>
            <w:gridSpan w:val="30"/>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6"/>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780" w:type="dxa"/>
            <w:vAlign w:val="bottom"/>
            <w:gridSpan w:val="18"/>
          </w:tcPr>
          <w:p>
            <w:pPr>
              <w:jc w:val="center"/>
              <w:ind w:right="1660"/>
              <w:spacing w:after="0"/>
              <w:rPr>
                <w:sz w:val="20"/>
                <w:szCs w:val="20"/>
                <w:color w:val="auto"/>
              </w:rPr>
            </w:pPr>
            <w:r>
              <w:rPr>
                <w:rFonts w:ascii="Times New Roman" w:cs="Times New Roman" w:eastAsia="Times New Roman" w:hAnsi="Times New Roman"/>
                <w:sz w:val="18"/>
                <w:szCs w:val="18"/>
                <w:b w:val="1"/>
                <w:bCs w:val="1"/>
                <w:color w:val="auto"/>
                <w:w w:val="99"/>
              </w:rPr>
              <w:t>MONSTER BEVERAGE CORPORATION AND SUBSIDIARIES</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140" w:type="dxa"/>
            <w:vAlign w:val="bottom"/>
            <w:tcBorders>
              <w:top w:val="single" w:sz="8" w:color="auto"/>
              <w:bottom w:val="single" w:sz="8" w:color="auto"/>
            </w:tcBorders>
            <w:gridSpan w:val="7"/>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JUNE 30, 2022</w:t>
            </w:r>
          </w:p>
        </w:tc>
        <w:tc>
          <w:tcPr>
            <w:tcW w:w="1980" w:type="dxa"/>
            <w:vAlign w:val="bottom"/>
            <w:tcBorders>
              <w:top w:val="single" w:sz="8" w:color="auto"/>
            </w:tcBorders>
            <w:gridSpan w:val="3"/>
          </w:tcPr>
          <w:p>
            <w:pPr>
              <w:spacing w:after="0"/>
              <w:rPr>
                <w:sz w:val="17"/>
                <w:szCs w:val="17"/>
                <w:color w:val="auto"/>
              </w:rPr>
            </w:pPr>
          </w:p>
        </w:tc>
        <w:tc>
          <w:tcPr>
            <w:tcW w:w="1660" w:type="dxa"/>
            <w:vAlign w:val="bottom"/>
            <w:gridSpan w:val="3"/>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920" w:type="dxa"/>
            <w:vAlign w:val="bottom"/>
            <w:gridSpan w:val="10"/>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5"/>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w:t>
            </w: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500" w:type="dxa"/>
            <w:vAlign w:val="bottom"/>
            <w:vMerge w:val="restart"/>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520" w:type="dxa"/>
            <w:vAlign w:val="bottom"/>
            <w:gridSpan w:val="3"/>
            <w:vMerge w:val="restart"/>
          </w:tcPr>
          <w:p>
            <w:pPr>
              <w:spacing w:after="0" w:line="20" w:lineRule="exact"/>
              <w:rPr>
                <w:sz w:val="1"/>
                <w:szCs w:val="1"/>
                <w:color w:val="auto"/>
              </w:rPr>
            </w:pPr>
          </w:p>
        </w:tc>
        <w:tc>
          <w:tcPr>
            <w:tcW w:w="4260" w:type="dxa"/>
            <w:vAlign w:val="bottom"/>
            <w:gridSpan w:val="17"/>
            <w:vMerge w:val="restart"/>
          </w:tcPr>
          <w:p>
            <w:pPr>
              <w:spacing w:after="0"/>
              <w:rPr>
                <w:sz w:val="20"/>
                <w:szCs w:val="20"/>
                <w:color w:val="auto"/>
              </w:rPr>
            </w:pPr>
            <w:r>
              <w:rPr>
                <w:rFonts w:ascii="Times New Roman" w:cs="Times New Roman" w:eastAsia="Times New Roman" w:hAnsi="Times New Roman"/>
                <w:sz w:val="18"/>
                <w:szCs w:val="18"/>
                <w:color w:val="0000EE"/>
                <w:w w:val="99"/>
              </w:rPr>
              <w:t>Condensed Consolidated Financial Statements (Unaudited)</w:t>
            </w:r>
          </w:p>
        </w:tc>
        <w:tc>
          <w:tcPr>
            <w:tcW w:w="3900" w:type="dxa"/>
            <w:vAlign w:val="bottom"/>
            <w:gridSpan w:val="9"/>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0"/>
        </w:trPr>
        <w:tc>
          <w:tcPr>
            <w:tcW w:w="500" w:type="dxa"/>
            <w:vAlign w:val="bottom"/>
            <w:tcBorders>
              <w:bottom w:val="single" w:sz="8" w:color="0000EE"/>
            </w:tcBorders>
            <w:vMerge w:val="continue"/>
          </w:tcPr>
          <w:p>
            <w:pPr>
              <w:spacing w:after="0"/>
              <w:rPr>
                <w:sz w:val="24"/>
                <w:szCs w:val="24"/>
                <w:color w:val="auto"/>
              </w:rPr>
            </w:pPr>
          </w:p>
        </w:tc>
        <w:tc>
          <w:tcPr>
            <w:tcW w:w="520" w:type="dxa"/>
            <w:vAlign w:val="bottom"/>
            <w:gridSpan w:val="3"/>
            <w:vMerge w:val="continue"/>
          </w:tcPr>
          <w:p>
            <w:pPr>
              <w:spacing w:after="0"/>
              <w:rPr>
                <w:sz w:val="24"/>
                <w:szCs w:val="24"/>
                <w:color w:val="auto"/>
              </w:rPr>
            </w:pPr>
          </w:p>
        </w:tc>
        <w:tc>
          <w:tcPr>
            <w:tcW w:w="4260" w:type="dxa"/>
            <w:vAlign w:val="bottom"/>
            <w:tcBorders>
              <w:bottom w:val="single" w:sz="8" w:color="0000EE"/>
            </w:tcBorders>
            <w:gridSpan w:val="17"/>
            <w:vMerge w:val="continue"/>
          </w:tcPr>
          <w:p>
            <w:pPr>
              <w:spacing w:after="0"/>
              <w:rPr>
                <w:sz w:val="24"/>
                <w:szCs w:val="24"/>
                <w:color w:val="auto"/>
              </w:rPr>
            </w:pPr>
          </w:p>
        </w:tc>
        <w:tc>
          <w:tcPr>
            <w:tcW w:w="3900" w:type="dxa"/>
            <w:vAlign w:val="bottom"/>
            <w:gridSpan w:val="9"/>
            <w:vMerge w:val="continue"/>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1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Condensed Consolidated Balance Sheets as of June 30, 2022 and December 31, 2021</w:t>
            </w:r>
          </w:p>
        </w:tc>
        <w:tc>
          <w:tcPr>
            <w:tcW w:w="2020" w:type="dxa"/>
            <w:vAlign w:val="bottom"/>
            <w:gridSpan w:val="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92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Income for the Three- and Six-Months Ended June 30, 2022 and 2021</w:t>
            </w:r>
          </w:p>
        </w:tc>
        <w:tc>
          <w:tcPr>
            <w:tcW w:w="2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Condensed Consolidated Statements of Comprehensive Income for the Three- and Six-Months Ended June 30,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708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tcBorders>
              <w:bottom w:val="single" w:sz="8" w:color="0000EE"/>
            </w:tcBorders>
            <w:gridSpan w:val="26"/>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for the Three- and Six-Months Ended June 30,</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8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2022 and 2021</w:t>
            </w:r>
          </w:p>
        </w:tc>
        <w:tc>
          <w:tcPr>
            <w:tcW w:w="7080" w:type="dxa"/>
            <w:vAlign w:val="bottom"/>
            <w:gridSpan w:val="21"/>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Cash Flows for the Six-Months Ended June 30, 2022 and 2021</w:t>
            </w:r>
          </w:p>
        </w:tc>
        <w:tc>
          <w:tcPr>
            <w:tcW w:w="76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0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4160" w:type="dxa"/>
            <w:vAlign w:val="bottom"/>
            <w:gridSpan w:val="11"/>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520" w:type="dxa"/>
            <w:vAlign w:val="bottom"/>
            <w:gridSpan w:val="3"/>
          </w:tcPr>
          <w:p>
            <w:pPr>
              <w:spacing w:after="0"/>
              <w:rPr>
                <w:sz w:val="24"/>
                <w:szCs w:val="24"/>
                <w:color w:val="auto"/>
              </w:rPr>
            </w:pPr>
          </w:p>
        </w:tc>
        <w:tc>
          <w:tcPr>
            <w:tcW w:w="646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1700" w:type="dxa"/>
            <w:vAlign w:val="bottom"/>
            <w:gridSpan w:val="4"/>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6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3800" w:type="dxa"/>
            <w:vAlign w:val="bottom"/>
            <w:gridSpan w:val="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Controls and Procedures</w:t>
            </w:r>
          </w:p>
        </w:tc>
        <w:tc>
          <w:tcPr>
            <w:tcW w:w="6380" w:type="dxa"/>
            <w:vAlign w:val="bottom"/>
            <w:gridSpan w:val="17"/>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412"/>
        </w:trPr>
        <w:tc>
          <w:tcPr>
            <w:tcW w:w="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0000EE"/>
                <w:w w:val="98"/>
              </w:rPr>
              <w:t>Part II.</w:t>
            </w:r>
          </w:p>
        </w:tc>
        <w:tc>
          <w:tcPr>
            <w:tcW w:w="440" w:type="dxa"/>
            <w:vAlign w:val="bottom"/>
            <w:gridSpan w:val="2"/>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b w:val="1"/>
                <w:bCs w:val="1"/>
                <w:color w:val="0000EE"/>
              </w:rPr>
              <w:t>OTHER INFORMATION</w:t>
            </w: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1.</w:t>
            </w:r>
          </w:p>
        </w:tc>
        <w:tc>
          <w:tcPr>
            <w:tcW w:w="80" w:type="dxa"/>
            <w:vAlign w:val="bottom"/>
            <w:tcBorders>
              <w:top w:val="single" w:sz="8" w:color="0000EE"/>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134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3"/>
          </w:tcPr>
          <w:p>
            <w:pPr>
              <w:spacing w:after="0"/>
              <w:rPr>
                <w:sz w:val="24"/>
                <w:szCs w:val="24"/>
                <w:color w:val="auto"/>
              </w:rPr>
            </w:pPr>
          </w:p>
        </w:tc>
        <w:tc>
          <w:tcPr>
            <w:tcW w:w="6140" w:type="dxa"/>
            <w:vAlign w:val="bottom"/>
            <w:gridSpan w:val="16"/>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10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Item 1A.</w:t>
            </w: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7"/>
          </w:tcPr>
          <w:p>
            <w:pPr>
              <w:spacing w:after="0" w:line="20" w:lineRule="exact"/>
              <w:rPr>
                <w:sz w:val="1"/>
                <w:szCs w:val="1"/>
                <w:color w:val="auto"/>
              </w:rPr>
            </w:pPr>
          </w:p>
        </w:tc>
        <w:tc>
          <w:tcPr>
            <w:tcW w:w="3820" w:type="dxa"/>
            <w:vAlign w:val="bottom"/>
            <w:gridSpan w:val="8"/>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2.</w:t>
            </w:r>
          </w:p>
        </w:tc>
        <w:tc>
          <w:tcPr>
            <w:tcW w:w="140" w:type="dxa"/>
            <w:vAlign w:val="bottom"/>
            <w:gridSpan w:val="2"/>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3.</w:t>
            </w:r>
          </w:p>
        </w:tc>
        <w:tc>
          <w:tcPr>
            <w:tcW w:w="520" w:type="dxa"/>
            <w:vAlign w:val="bottom"/>
            <w:gridSpan w:val="3"/>
          </w:tcPr>
          <w:p>
            <w:pPr>
              <w:spacing w:after="0"/>
              <w:rPr>
                <w:sz w:val="24"/>
                <w:szCs w:val="24"/>
                <w:color w:val="auto"/>
              </w:rPr>
            </w:pPr>
          </w:p>
        </w:tc>
        <w:tc>
          <w:tcPr>
            <w:tcW w:w="4340" w:type="dxa"/>
            <w:vAlign w:val="bottom"/>
            <w:tcBorders>
              <w:top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3820" w:type="dxa"/>
            <w:vAlign w:val="bottom"/>
            <w:gridSpan w:val="8"/>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50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4.</w:t>
            </w:r>
          </w:p>
        </w:tc>
        <w:tc>
          <w:tcPr>
            <w:tcW w:w="520" w:type="dxa"/>
            <w:vAlign w:val="bottom"/>
            <w:gridSpan w:val="3"/>
          </w:tcPr>
          <w:p>
            <w:pPr>
              <w:spacing w:after="0"/>
              <w:rPr>
                <w:sz w:val="24"/>
                <w:szCs w:val="24"/>
                <w:color w:val="auto"/>
              </w:rPr>
            </w:pPr>
          </w:p>
        </w:tc>
        <w:tc>
          <w:tcPr>
            <w:tcW w:w="17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24"/>
                <w:szCs w:val="24"/>
                <w:color w:val="auto"/>
              </w:rPr>
            </w:pPr>
          </w:p>
        </w:tc>
        <w:tc>
          <w:tcPr>
            <w:tcW w:w="5840" w:type="dxa"/>
            <w:vAlign w:val="bottom"/>
            <w:gridSpan w:val="15"/>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5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0"/>
              </w:rPr>
              <w:t>Item 5.</w:t>
            </w:r>
          </w:p>
        </w:tc>
        <w:tc>
          <w:tcPr>
            <w:tcW w:w="520" w:type="dxa"/>
            <w:vAlign w:val="bottom"/>
            <w:gridSpan w:val="3"/>
          </w:tcPr>
          <w:p>
            <w:pPr>
              <w:spacing w:after="0"/>
              <w:rPr>
                <w:sz w:val="24"/>
                <w:szCs w:val="24"/>
                <w:color w:val="auto"/>
              </w:rPr>
            </w:pP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6840" w:type="dxa"/>
            <w:vAlign w:val="bottom"/>
            <w:gridSpan w:val="20"/>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0000EE"/>
                <w:w w:val="90"/>
              </w:rPr>
              <w:t>Item 6.</w:t>
            </w:r>
          </w:p>
        </w:tc>
        <w:tc>
          <w:tcPr>
            <w:tcW w:w="520" w:type="dxa"/>
            <w:vAlign w:val="bottom"/>
            <w:gridSpan w:val="3"/>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Exhibits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0" w:type="dxa"/>
            <w:vAlign w:val="bottom"/>
            <w:gridSpan w:val="2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16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48" w:right="9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 (UNAUDITED)</w:t>
      </w:r>
    </w:p>
    <w:p>
      <w:pPr>
        <w:spacing w:after="0" w:line="225" w:lineRule="exact"/>
        <w:rPr>
          <w:sz w:val="20"/>
          <w:szCs w:val="20"/>
          <w:color w:val="auto"/>
        </w:rPr>
      </w:pPr>
    </w:p>
    <w:p>
      <w:pPr>
        <w:ind w:right="4800"/>
        <w:spacing w:after="0" w:line="259"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BALANCE SHEETS AS OF JUNE 30, 2022 AND DECEMBER 31, 2021</w:t>
      </w:r>
    </w:p>
    <w:p>
      <w:pPr>
        <w:spacing w:after="0"/>
        <w:rPr>
          <w:sz w:val="20"/>
          <w:szCs w:val="20"/>
          <w:color w:val="auto"/>
        </w:rPr>
      </w:pPr>
      <w:r>
        <w:rPr>
          <w:rFonts w:ascii="Times New Roman" w:cs="Times New Roman" w:eastAsia="Times New Roman" w:hAnsi="Times New Roman"/>
          <w:sz w:val="18"/>
          <w:szCs w:val="18"/>
          <w:b w:val="1"/>
          <w:bCs w:val="1"/>
          <w:color w:val="auto"/>
        </w:rPr>
        <w:t>(In Thousands, Except Par Value)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300" w:type="dxa"/>
            <w:vAlign w:val="bottom"/>
            <w:tcBorders>
              <w:bottom w:val="single" w:sz="8" w:color="CCEEFF"/>
            </w:tcBorders>
          </w:tcPr>
          <w:p>
            <w:pPr>
              <w:spacing w:after="0"/>
              <w:rPr>
                <w:sz w:val="15"/>
                <w:szCs w:val="15"/>
                <w:color w:val="auto"/>
              </w:rPr>
            </w:pPr>
          </w:p>
        </w:tc>
        <w:tc>
          <w:tcPr>
            <w:tcW w:w="2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shd w:val="clear" w:color="auto" w:fill="CCEEFF"/>
          </w:tcPr>
          <w:p>
            <w:pPr>
              <w:spacing w:after="0"/>
              <w:rPr>
                <w:sz w:val="10"/>
                <w:szCs w:val="10"/>
                <w:color w:val="auto"/>
              </w:rPr>
            </w:pPr>
          </w:p>
        </w:tc>
        <w:tc>
          <w:tcPr>
            <w:tcW w:w="5340" w:type="dxa"/>
            <w:vAlign w:val="bottom"/>
            <w:gridSpan w:val="4"/>
            <w:shd w:val="clear" w:color="auto" w:fill="CCEEFF"/>
          </w:tcPr>
          <w:p>
            <w:pPr>
              <w:jc w:val="center"/>
              <w:ind w:right="2200"/>
              <w:spacing w:after="0" w:line="115" w:lineRule="exact"/>
              <w:rPr>
                <w:sz w:val="20"/>
                <w:szCs w:val="20"/>
                <w:color w:val="auto"/>
              </w:rPr>
            </w:pPr>
            <w:r>
              <w:rPr>
                <w:rFonts w:ascii="Times New Roman" w:cs="Times New Roman" w:eastAsia="Times New Roman" w:hAnsi="Times New Roman"/>
                <w:sz w:val="13"/>
                <w:szCs w:val="13"/>
                <w:b w:val="1"/>
                <w:bCs w:val="1"/>
                <w:color w:val="auto"/>
              </w:rPr>
              <w:t>ASSETS</w:t>
            </w:r>
          </w:p>
        </w:tc>
        <w:tc>
          <w:tcPr>
            <w:tcW w:w="20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280" w:type="dxa"/>
            <w:vAlign w:val="bottom"/>
            <w:tcBorders>
              <w:top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40" w:type="dxa"/>
            <w:vAlign w:val="bottom"/>
            <w:tcBorders>
              <w:top w:val="single" w:sz="8" w:color="auto"/>
            </w:tcBorders>
          </w:tcPr>
          <w:p>
            <w:pPr>
              <w:spacing w:after="0"/>
              <w:rPr>
                <w:sz w:val="12"/>
                <w:szCs w:val="12"/>
                <w:color w:val="auto"/>
              </w:rPr>
            </w:pPr>
          </w:p>
        </w:tc>
        <w:tc>
          <w:tcPr>
            <w:tcW w:w="3500" w:type="dxa"/>
            <w:vAlign w:val="bottom"/>
            <w:tcBorders>
              <w:top w:val="single" w:sz="8" w:color="CCEEFF"/>
            </w:tcBorders>
            <w:gridSpan w:val="2"/>
          </w:tcPr>
          <w:p>
            <w:pPr>
              <w:spacing w:after="0"/>
              <w:rPr>
                <w:sz w:val="12"/>
                <w:szCs w:val="12"/>
                <w:color w:val="auto"/>
              </w:rPr>
            </w:pPr>
          </w:p>
        </w:tc>
        <w:tc>
          <w:tcPr>
            <w:tcW w:w="200" w:type="dxa"/>
            <w:vAlign w:val="bottom"/>
            <w:tcBorders>
              <w:top w:val="single" w:sz="8" w:color="CCEEFF"/>
            </w:tcBorders>
          </w:tcPr>
          <w:p>
            <w:pPr>
              <w:spacing w:after="0"/>
              <w:rPr>
                <w:sz w:val="12"/>
                <w:szCs w:val="12"/>
                <w:color w:val="auto"/>
              </w:rPr>
            </w:pPr>
          </w:p>
        </w:tc>
        <w:tc>
          <w:tcPr>
            <w:tcW w:w="98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80" w:type="dxa"/>
            <w:vAlign w:val="bottom"/>
            <w:tcBorders>
              <w:top w:val="single" w:sz="8" w:color="CCEEFF"/>
            </w:tcBorders>
          </w:tcPr>
          <w:p>
            <w:pPr>
              <w:spacing w:after="0"/>
              <w:rPr>
                <w:sz w:val="12"/>
                <w:szCs w:val="12"/>
                <w:color w:val="auto"/>
              </w:rPr>
            </w:pPr>
          </w:p>
        </w:tc>
        <w:tc>
          <w:tcPr>
            <w:tcW w:w="1080" w:type="dxa"/>
            <w:vAlign w:val="bottom"/>
            <w:tcBorders>
              <w:top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1,132,039</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1,326,462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1,337,792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1,749,727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1,175,587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896,658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Inventories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885,948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593,357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132,273</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82,668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Prepaid income taxes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33,238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4,696,620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4,682,110</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INVESTMENTS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64,119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464,541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313,753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203,287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225,221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1,412,941</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1,331,643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1,223,114</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1,072,386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110,390</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80,252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Borders>
              <w:bottom w:val="single" w:sz="8" w:color="CCEEFF"/>
            </w:tcBorders>
            <w:shd w:val="clear" w:color="auto" w:fill="CCEEFF"/>
          </w:tcPr>
          <w:p>
            <w:pPr>
              <w:spacing w:after="0"/>
              <w:rPr>
                <w:sz w:val="12"/>
                <w:szCs w:val="12"/>
                <w:color w:val="auto"/>
              </w:rPr>
            </w:pPr>
          </w:p>
        </w:tc>
        <w:tc>
          <w:tcPr>
            <w:tcW w:w="5340" w:type="dxa"/>
            <w:vAlign w:val="bottom"/>
            <w:tcBorders>
              <w:bottom w:val="single" w:sz="8" w:color="CCEEFF"/>
            </w:tcBorders>
            <w:gridSpan w:val="4"/>
            <w:shd w:val="clear" w:color="auto" w:fill="CCEEFF"/>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8,175,012</w:t>
            </w:r>
          </w:p>
        </w:tc>
        <w:tc>
          <w:tcPr>
            <w:tcW w:w="22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980" w:type="dxa"/>
            <w:vAlign w:val="bottom"/>
            <w:tcBorders>
              <w:bottom w:val="single" w:sz="8" w:color="CCEEFF"/>
            </w:tcBorders>
            <w:shd w:val="clear" w:color="auto" w:fill="CCEEFF"/>
          </w:tcPr>
          <w:p>
            <w:pPr>
              <w:spacing w:after="0"/>
              <w:rPr>
                <w:sz w:val="11"/>
                <w:szCs w:val="11"/>
                <w:color w:val="auto"/>
              </w:rPr>
            </w:pPr>
          </w:p>
        </w:tc>
        <w:tc>
          <w:tcPr>
            <w:tcW w:w="3140" w:type="dxa"/>
            <w:vAlign w:val="bottom"/>
            <w:tcBorders>
              <w:bottom w:val="single" w:sz="8" w:color="auto"/>
            </w:tcBorders>
            <w:gridSpan w:val="3"/>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220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CCEEFF"/>
            </w:tcBorders>
            <w:shd w:val="clear" w:color="auto" w:fill="CCEEFF"/>
          </w:tcPr>
          <w:p>
            <w:pPr>
              <w:spacing w:after="0"/>
              <w:rPr>
                <w:sz w:val="11"/>
                <w:szCs w:val="11"/>
                <w:color w:val="auto"/>
              </w:rPr>
            </w:pPr>
          </w:p>
        </w:tc>
        <w:tc>
          <w:tcPr>
            <w:tcW w:w="98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80" w:type="dxa"/>
            <w:vAlign w:val="bottom"/>
            <w:tcBorders>
              <w:bottom w:val="single" w:sz="8" w:color="CCEEFF"/>
            </w:tcBorders>
            <w:shd w:val="clear" w:color="auto" w:fill="CCEEFF"/>
          </w:tcPr>
          <w:p>
            <w:pPr>
              <w:spacing w:after="0"/>
              <w:rPr>
                <w:sz w:val="11"/>
                <w:szCs w:val="11"/>
                <w:color w:val="auto"/>
              </w:rPr>
            </w:pPr>
          </w:p>
        </w:tc>
        <w:tc>
          <w:tcPr>
            <w:tcW w:w="1080" w:type="dxa"/>
            <w:vAlign w:val="bottom"/>
            <w:tcBorders>
              <w:bottom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color w:val="auto"/>
              </w:rPr>
              <w:t>CURRENT LIABILITIES:</w:t>
            </w: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shd w:val="clear" w:color="auto" w:fill="CCEEFF"/>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492,858</w:t>
            </w:r>
          </w:p>
        </w:tc>
        <w:tc>
          <w:tcPr>
            <w:tcW w:w="220" w:type="dxa"/>
            <w:vAlign w:val="bottom"/>
            <w:shd w:val="clear" w:color="auto" w:fill="CCEEFF"/>
          </w:tcPr>
          <w:p>
            <w:pPr>
              <w:spacing w:after="0"/>
              <w:rPr>
                <w:sz w:val="12"/>
                <w:szCs w:val="12"/>
                <w:color w:val="auto"/>
              </w:rPr>
            </w:pPr>
          </w:p>
        </w:tc>
        <w:tc>
          <w:tcPr>
            <w:tcW w:w="1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404,263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Accrued liabilities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209,154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210,964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promotional allowances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277,618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211,461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44,344</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Accrued compensation</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53,717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tcBorders>
              <w:bottom w:val="single" w:sz="8" w:color="CCEEFF"/>
            </w:tcBorders>
            <w:gridSpan w:val="5"/>
          </w:tcPr>
          <w:p>
            <w:pPr>
              <w:spacing w:after="0" w:line="149" w:lineRule="exact"/>
              <w:rPr>
                <w:sz w:val="20"/>
                <w:szCs w:val="20"/>
                <w:color w:val="auto"/>
              </w:rPr>
            </w:pPr>
            <w:r>
              <w:rPr>
                <w:rFonts w:ascii="Times New Roman" w:cs="Times New Roman" w:eastAsia="Times New Roman" w:hAnsi="Times New Roman"/>
                <w:sz w:val="14"/>
                <w:szCs w:val="14"/>
                <w:color w:val="auto"/>
              </w:rPr>
              <w:t>Income taxes payable</w:t>
            </w: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15,917</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30,399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1,093,608</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965,076</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232,170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243,249</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40,056</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29,508</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COMMITMENTS AND CONTINGENCIES (Note 12)</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19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STOCKHOLDERS’ EQUITY:</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 $0.005 par value; 1,250,000 shares authorized; 640,944 shares issued and 526,772 shares outstanding as</w:t>
            </w:r>
          </w:p>
        </w:tc>
        <w:tc>
          <w:tcPr>
            <w:tcW w:w="200" w:type="dxa"/>
            <w:vAlign w:val="bottom"/>
          </w:tcPr>
          <w:p>
            <w:pPr>
              <w:spacing w:after="0"/>
              <w:rPr>
                <w:sz w:val="10"/>
                <w:szCs w:val="1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3,205</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3,200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of June 30, 2022; 640,043 shares issued and 529,323 shares outstanding as of December 31, 2021</w:t>
            </w:r>
          </w:p>
        </w:tc>
        <w:tc>
          <w:tcPr>
            <w:tcW w:w="2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4,707,569</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4,652,620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2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8,377,112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7,809,549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32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loss</w:t>
            </w:r>
          </w:p>
        </w:tc>
        <w:tc>
          <w:tcPr>
            <w:tcW w:w="20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(152,957)</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(69,165)</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320" w:type="dxa"/>
            <w:vAlign w:val="bottom"/>
            <w:gridSpan w:val="5"/>
          </w:tcPr>
          <w:p>
            <w:pPr>
              <w:spacing w:after="0" w:line="126" w:lineRule="exact"/>
              <w:rPr>
                <w:sz w:val="20"/>
                <w:szCs w:val="20"/>
                <w:color w:val="auto"/>
              </w:rPr>
            </w:pPr>
            <w:r>
              <w:rPr>
                <w:rFonts w:ascii="Times New Roman" w:cs="Times New Roman" w:eastAsia="Times New Roman" w:hAnsi="Times New Roman"/>
                <w:sz w:val="14"/>
                <w:szCs w:val="14"/>
                <w:color w:val="auto"/>
              </w:rPr>
              <w:t>Common stock in treasury, at cost; 114,172 shares and 110,720 shares as of June 30, 2022 and December 31, 2021,</w:t>
            </w:r>
          </w:p>
        </w:tc>
        <w:tc>
          <w:tcPr>
            <w:tcW w:w="200" w:type="dxa"/>
            <w:vAlign w:val="bottom"/>
          </w:tcPr>
          <w:p>
            <w:pPr>
              <w:spacing w:after="0"/>
              <w:rPr>
                <w:sz w:val="10"/>
                <w:szCs w:val="10"/>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(6,125,751)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(5,829,253)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320" w:type="dxa"/>
            <w:vAlign w:val="bottom"/>
            <w:gridSpan w:val="5"/>
          </w:tcPr>
          <w:p>
            <w:pPr>
              <w:ind w:left="120"/>
              <w:spacing w:after="0"/>
              <w:rPr>
                <w:sz w:val="20"/>
                <w:szCs w:val="20"/>
                <w:color w:val="auto"/>
              </w:rPr>
            </w:pPr>
            <w:r>
              <w:rPr>
                <w:rFonts w:ascii="Times New Roman" w:cs="Times New Roman" w:eastAsia="Times New Roman" w:hAnsi="Times New Roman"/>
                <w:sz w:val="14"/>
                <w:szCs w:val="14"/>
                <w:color w:val="auto"/>
              </w:rPr>
              <w:t>respectively</w:t>
            </w:r>
          </w:p>
        </w:tc>
        <w:tc>
          <w:tcPr>
            <w:tcW w:w="20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320" w:type="dxa"/>
            <w:vAlign w:val="bottom"/>
            <w:tcBorders>
              <w:top w:val="single" w:sz="8" w:color="CCEEFF"/>
            </w:tcBorders>
            <w:gridSpan w:val="5"/>
            <w:shd w:val="clear" w:color="auto" w:fill="CCEEFF"/>
          </w:tcPr>
          <w:p>
            <w:pPr>
              <w:ind w:left="1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6,809,178</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6,566,951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5340" w:type="dxa"/>
            <w:vAlign w:val="bottom"/>
            <w:gridSpan w:val="4"/>
          </w:tcPr>
          <w:p>
            <w:pPr>
              <w:jc w:val="center"/>
              <w:ind w:right="2200"/>
              <w:spacing w:after="0" w:line="142"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200" w:type="dxa"/>
            <w:vAlign w:val="bottom"/>
            <w:tcBorders>
              <w:bottom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8,175,012</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5"/>
                <w:szCs w:val="5"/>
                <w:color w:val="auto"/>
                <w:w w:val="78"/>
              </w:rPr>
              <w:t>$</w:t>
            </w:r>
          </w:p>
        </w:tc>
        <w:tc>
          <w:tcPr>
            <w:tcW w:w="10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7,804,784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800"/>
        <w:spacing w:after="0" w:line="278" w:lineRule="auto"/>
        <w:rPr>
          <w:sz w:val="20"/>
          <w:szCs w:val="20"/>
          <w:color w:val="auto"/>
        </w:rPr>
      </w:pPr>
      <w:r>
        <w:rPr>
          <w:rFonts w:ascii="Times New Roman" w:cs="Times New Roman" w:eastAsia="Times New Roman" w:hAnsi="Times New Roman"/>
          <w:sz w:val="17"/>
          <w:szCs w:val="17"/>
          <w:b w:val="1"/>
          <w:bCs w:val="1"/>
          <w:color w:val="auto"/>
        </w:rPr>
        <w:t>MONSTER BEVERAGE CORPORATION AND SUBSIDIARIES CONDENSED CONSOLIDATED STATEMENTS OF INCOME</w:t>
      </w:r>
    </w:p>
    <w:p>
      <w:pPr>
        <w:spacing w:after="0" w:line="1" w:lineRule="exact"/>
        <w:rPr>
          <w:sz w:val="20"/>
          <w:szCs w:val="20"/>
          <w:color w:val="auto"/>
        </w:rPr>
      </w:pPr>
    </w:p>
    <w:p>
      <w:pPr>
        <w:ind w:right="3980"/>
        <w:spacing w:after="0" w:line="260" w:lineRule="auto"/>
        <w:rPr>
          <w:sz w:val="20"/>
          <w:szCs w:val="20"/>
          <w:color w:val="auto"/>
        </w:rPr>
      </w:pPr>
      <w:r>
        <w:rPr>
          <w:rFonts w:ascii="Times New Roman" w:cs="Times New Roman" w:eastAsia="Times New Roman" w:hAnsi="Times New Roman"/>
          <w:sz w:val="18"/>
          <w:szCs w:val="18"/>
          <w:b w:val="1"/>
          <w:bCs w:val="1"/>
          <w:color w:val="auto"/>
        </w:rPr>
        <w:t>FOR THE THREE- AND SIX- MONTHS ENDED JUNE 30, 2022 AND 2021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2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Three-Months Ended</w:t>
            </w:r>
          </w:p>
        </w:tc>
        <w:tc>
          <w:tcPr>
            <w:tcW w:w="160" w:type="dxa"/>
            <w:vAlign w:val="bottom"/>
          </w:tcPr>
          <w:p>
            <w:pPr>
              <w:spacing w:after="0"/>
              <w:rPr>
                <w:sz w:val="17"/>
                <w:szCs w:val="17"/>
                <w:color w:val="auto"/>
              </w:rPr>
            </w:pPr>
          </w:p>
        </w:tc>
        <w:tc>
          <w:tcPr>
            <w:tcW w:w="1880" w:type="dxa"/>
            <w:vAlign w:val="bottom"/>
            <w:gridSpan w:val="5"/>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Six-Months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SALES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1,655,260</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1,461,934</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3,173,833</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2,705,751</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SALES</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875,399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625,096</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1,617,306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1,153,976</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779,861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836,838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1,556,527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1,551,775</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406,910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310,863</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784,088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611,652</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372,951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525,975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772,439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940,123</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and OTHER (EXPENSE) INCOME, net</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(6,781)</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(14,080)</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PROVISION FOR INCOME TAXES</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366,170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526,847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758,359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940,234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FOR INCOME TAXES</w:t>
            </w:r>
          </w:p>
        </w:tc>
        <w:tc>
          <w:tcPr>
            <w:tcW w:w="2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92,810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123,085</w:t>
            </w:r>
          </w:p>
        </w:tc>
        <w:tc>
          <w:tcPr>
            <w:tcW w:w="16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190,796</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221,278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273,360</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403,762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567,563</w:t>
            </w:r>
          </w:p>
        </w:tc>
        <w:tc>
          <w:tcPr>
            <w:tcW w:w="80" w:type="dxa"/>
            <w:vAlign w:val="bottom"/>
            <w:shd w:val="clear" w:color="auto" w:fill="CCEEFF"/>
          </w:tcPr>
          <w:p>
            <w:pPr>
              <w:spacing w:after="0"/>
              <w:rPr>
                <w:sz w:val="17"/>
                <w:szCs w:val="17"/>
                <w:color w:val="auto"/>
              </w:rPr>
            </w:pPr>
          </w:p>
        </w:tc>
        <w:tc>
          <w:tcPr>
            <w:tcW w:w="3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COMMON SHARE:</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0.52</w:t>
            </w:r>
          </w:p>
        </w:tc>
        <w:tc>
          <w:tcPr>
            <w:tcW w:w="80" w:type="dxa"/>
            <w:vAlign w:val="bottom"/>
          </w:tcPr>
          <w:p>
            <w:pPr>
              <w:spacing w:after="0"/>
              <w:rPr>
                <w:sz w:val="21"/>
                <w:szCs w:val="21"/>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0.76</w:t>
            </w:r>
          </w:p>
        </w:tc>
        <w:tc>
          <w:tcPr>
            <w:tcW w:w="1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tcPr>
          <w:p>
            <w:pPr>
              <w:spacing w:after="0"/>
              <w:rPr>
                <w:sz w:val="21"/>
                <w:szCs w:val="21"/>
                <w:color w:val="auto"/>
              </w:rPr>
            </w:pPr>
          </w:p>
        </w:tc>
        <w:tc>
          <w:tcPr>
            <w:tcW w:w="30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top w:val="single" w:sz="8" w:color="CCEEFF"/>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0.75</w:t>
            </w:r>
          </w:p>
        </w:tc>
        <w:tc>
          <w:tcPr>
            <w:tcW w:w="1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5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OF COMMON STOCK AND</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COMMON STOCK EQUIVALENTS:</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528,617</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528,653</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529,009</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528,425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480" w:type="dxa"/>
            <w:vAlign w:val="bottom"/>
            <w:tcBorders>
              <w:bottom w:val="single" w:sz="8" w:color="CCEEFF"/>
            </w:tcBorders>
            <w:shd w:val="clear" w:color="auto" w:fill="CCEEFF"/>
          </w:tcPr>
          <w:p>
            <w:pPr>
              <w:ind w:left="100"/>
              <w:spacing w:after="0" w:line="171" w:lineRule="exact"/>
              <w:rPr>
                <w:sz w:val="20"/>
                <w:szCs w:val="20"/>
                <w:color w:val="auto"/>
              </w:rPr>
            </w:pPr>
            <w:r>
              <w:rPr>
                <w:rFonts w:ascii="Times New Roman" w:cs="Times New Roman" w:eastAsia="Times New Roman" w:hAnsi="Times New Roman"/>
                <w:sz w:val="16"/>
                <w:szCs w:val="16"/>
                <w:color w:val="auto"/>
              </w:rPr>
              <w:t>Diluted</w:t>
            </w:r>
          </w:p>
        </w:tc>
        <w:tc>
          <w:tcPr>
            <w:tcW w:w="2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534,811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535,557</w:t>
            </w:r>
          </w:p>
        </w:tc>
        <w:tc>
          <w:tcPr>
            <w:tcW w:w="1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535,209</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31" w:lineRule="exact"/>
        <w:rPr>
          <w:sz w:val="20"/>
          <w:szCs w:val="20"/>
          <w:color w:val="auto"/>
        </w:rPr>
      </w:pPr>
    </w:p>
    <w:p>
      <w:pPr>
        <w:ind w:right="3280"/>
        <w:spacing w:after="0" w:line="255" w:lineRule="auto"/>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FOR THE THREE- AND SIX- MONTHS ENDED JUNE 30, 2022 AND 2021 (In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wp:posOffset>
            </wp:positionV>
            <wp:extent cx="629221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Three-Months Ended</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4"/>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Six-Months Ended</w:t>
            </w:r>
          </w:p>
        </w:tc>
      </w:tr>
      <w:tr>
        <w:trPr>
          <w:trHeight w:val="238"/>
        </w:trPr>
        <w:tc>
          <w:tcPr>
            <w:tcW w:w="5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680" w:type="dxa"/>
            <w:vAlign w:val="bottom"/>
            <w:tcBorders>
              <w:bottom w:val="single" w:sz="8" w:color="auto"/>
            </w:tcBorders>
          </w:tcPr>
          <w:p>
            <w:pPr>
              <w:spacing w:after="0"/>
              <w:rPr>
                <w:sz w:val="20"/>
                <w:szCs w:val="20"/>
                <w:color w:val="auto"/>
              </w:rPr>
            </w:pPr>
          </w:p>
        </w:tc>
      </w:tr>
      <w:tr>
        <w:trPr>
          <w:trHeight w:val="209"/>
        </w:trPr>
        <w:tc>
          <w:tcPr>
            <w:tcW w:w="5280" w:type="dxa"/>
            <w:vAlign w:val="bottom"/>
            <w:tcBorders>
              <w:bottom w:val="single" w:sz="8" w:color="CCEEFF"/>
            </w:tcBorders>
          </w:tcPr>
          <w:p>
            <w:pPr>
              <w:spacing w:after="0"/>
              <w:rPr>
                <w:sz w:val="18"/>
                <w:szCs w:val="18"/>
                <w:color w:val="auto"/>
              </w:rPr>
            </w:pP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2021</w:t>
            </w:r>
          </w:p>
        </w:tc>
      </w:tr>
      <w:tr>
        <w:trPr>
          <w:trHeight w:val="209"/>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as reported</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273,360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567,563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718,956</w:t>
            </w: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foreign currency translation adjustment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(79,707)</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(78,628)</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(19,696)</w:t>
            </w: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Available-for-sale investments: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16"/>
        </w:trPr>
        <w:tc>
          <w:tcPr>
            <w:tcW w:w="5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net unrealized (losses) gains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(1,105)</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(5,164)</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5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Reclassification adjustment for net gains included in net income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528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change in available-for-sale investments</w:t>
            </w:r>
          </w:p>
        </w:tc>
        <w:tc>
          <w:tcPr>
            <w:tcW w:w="4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09"/>
        </w:trPr>
        <w:tc>
          <w:tcPr>
            <w:tcW w:w="5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4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(80,812)</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8,052</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r>
      <w:tr>
        <w:trPr>
          <w:trHeight w:val="209"/>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4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192,548</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411,814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483,771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699,100</w:t>
            </w:r>
          </w:p>
        </w:tc>
      </w:tr>
      <w:tr>
        <w:trPr>
          <w:trHeight w:val="20"/>
        </w:trPr>
        <w:tc>
          <w:tcPr>
            <w:tcW w:w="5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r>
        <w:rPr>
          <w:rFonts w:ascii="Times New Roman" w:cs="Times New Roman" w:eastAsia="Times New Roman" w:hAnsi="Times New Roman"/>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MONSTER BEVERAGE CORPORATION AND SUBSIDIARIES</w:t>
      </w:r>
    </w:p>
    <w:p>
      <w:pPr>
        <w:spacing w:after="0" w:line="20" w:lineRule="exact"/>
        <w:rPr>
          <w:sz w:val="20"/>
          <w:szCs w:val="20"/>
          <w:color w:val="auto"/>
        </w:rPr>
      </w:pPr>
    </w:p>
    <w:p>
      <w:pPr>
        <w:ind w:right="338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 FOR THE THREE- AND SIX-MONTHS ENDED JUNE 30, 2022 AND 2021</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2021</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640,043</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4,652,620</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$ 7,809,549</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(69,165)</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(110,720)</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(5,829,253)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6,566,951</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16,175</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4,507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4,510</w:t>
            </w: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available-for-sale</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(4,059)</w:t>
            </w: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(4,059)</w:t>
            </w:r>
          </w:p>
        </w:tc>
        <w:tc>
          <w:tcPr>
            <w:tcW w:w="0" w:type="dxa"/>
            <w:vAlign w:val="bottom"/>
          </w:tcPr>
          <w:p>
            <w:pPr>
              <w:spacing w:after="0"/>
              <w:rPr>
                <w:sz w:val="1"/>
                <w:szCs w:val="1"/>
                <w:color w:val="auto"/>
              </w:rPr>
            </w:pPr>
          </w:p>
        </w:tc>
      </w:tr>
      <w:tr>
        <w:trPr>
          <w:trHeight w:val="171"/>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(12,187)</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6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294,203</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294,203</w:t>
            </w:r>
          </w:p>
        </w:tc>
        <w:tc>
          <w:tcPr>
            <w:tcW w:w="0" w:type="dxa"/>
            <w:vAlign w:val="bottom"/>
          </w:tcPr>
          <w:p>
            <w:pPr>
              <w:spacing w:after="0"/>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2022</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640,528</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3,203</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4,673,302</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8,103,752</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(72,145)</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(110,886)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(5,841,440)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6,866,672</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16,157</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16,157</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18,110</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18,112</w:t>
            </w: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available-for-sale</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(1,105)</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(1,105)</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(284,311)</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(284,311)</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(79,707)</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(79,707)</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273,360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273,360</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2022</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640,944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3,205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4,707,569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$ 8,377,112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(152,957)</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(114,172)</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(6,125,751)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6,809,178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6"/>
        </w:trPr>
        <w:tc>
          <w:tcPr>
            <w:tcW w:w="26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2"/>
                <w:szCs w:val="12"/>
                <w:color w:val="auto"/>
              </w:rPr>
            </w:pPr>
          </w:p>
        </w:tc>
        <w:tc>
          <w:tcPr>
            <w:tcW w:w="8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80" w:type="dxa"/>
            <w:vAlign w:val="bottom"/>
          </w:tcPr>
          <w:p>
            <w:pPr>
              <w:spacing w:after="0"/>
              <w:rPr>
                <w:sz w:val="12"/>
                <w:szCs w:val="12"/>
                <w:color w:val="auto"/>
              </w:rPr>
            </w:pPr>
          </w:p>
        </w:tc>
        <w:tc>
          <w:tcPr>
            <w:tcW w:w="104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640" w:type="dxa"/>
            <w:vAlign w:val="bottom"/>
            <w:gridSpan w:val="5"/>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8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640" w:type="dxa"/>
            <w:vAlign w:val="bottom"/>
            <w:gridSpan w:val="5"/>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262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2"/>
                <w:szCs w:val="12"/>
                <w:color w:val="auto"/>
              </w:rPr>
            </w:pPr>
          </w:p>
        </w:tc>
        <w:tc>
          <w:tcPr>
            <w:tcW w:w="96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2"/>
                <w:szCs w:val="12"/>
                <w:color w:val="auto"/>
              </w:rPr>
            </w:pPr>
          </w:p>
        </w:tc>
        <w:tc>
          <w:tcPr>
            <w:tcW w:w="900" w:type="dxa"/>
            <w:vAlign w:val="bottom"/>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(Loss) Income</w:t>
            </w:r>
          </w:p>
        </w:tc>
        <w:tc>
          <w:tcPr>
            <w:tcW w:w="74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2020</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638,662</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3,193</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4,537,982</w:t>
            </w:r>
          </w:p>
        </w:tc>
        <w:tc>
          <w:tcPr>
            <w:tcW w:w="14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$ 6,432,074</w:t>
            </w: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3,034</w:t>
            </w:r>
          </w:p>
        </w:tc>
        <w:tc>
          <w:tcPr>
            <w:tcW w:w="16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(110,565)</w:t>
            </w: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(5,815,423)</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5,160,860</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17,949</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17,949</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6,758</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6,761</w:t>
            </w:r>
          </w:p>
        </w:tc>
        <w:tc>
          <w:tcPr>
            <w:tcW w:w="0" w:type="dxa"/>
            <w:vAlign w:val="bottom"/>
          </w:tcPr>
          <w:p>
            <w:pPr>
              <w:spacing w:after="0"/>
              <w:rPr>
                <w:sz w:val="1"/>
                <w:szCs w:val="1"/>
                <w:color w:val="auto"/>
              </w:rPr>
            </w:pPr>
          </w:p>
        </w:tc>
      </w:tr>
      <w:tr>
        <w:trPr>
          <w:trHeight w:val="126"/>
        </w:trPr>
        <w:tc>
          <w:tcPr>
            <w:tcW w:w="26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Unrealized gain, net on available-for-sale</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60" w:type="dxa"/>
            <w:vAlign w:val="bottom"/>
          </w:tcPr>
          <w:p>
            <w:pPr>
              <w:spacing w:after="0"/>
              <w:rPr>
                <w:sz w:val="10"/>
                <w:szCs w:val="10"/>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171"/>
        </w:trPr>
        <w:tc>
          <w:tcPr>
            <w:tcW w:w="2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7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(150)</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(13,419)</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(27,932)</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(27,932)</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315,194</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315,194</w:t>
            </w:r>
          </w:p>
        </w:tc>
        <w:tc>
          <w:tcPr>
            <w:tcW w:w="0" w:type="dxa"/>
            <w:vAlign w:val="bottom"/>
          </w:tcPr>
          <w:p>
            <w:pPr>
              <w:spacing w:after="0"/>
              <w:rPr>
                <w:sz w:val="1"/>
                <w:szCs w:val="1"/>
                <w:color w:val="auto"/>
              </w:rPr>
            </w:pPr>
          </w:p>
        </w:tc>
      </w:tr>
      <w:tr>
        <w:trPr>
          <w:trHeight w:val="142"/>
        </w:trPr>
        <w:tc>
          <w:tcPr>
            <w:tcW w:w="2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2021</w:t>
            </w: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639,154</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3,196</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4,562,689</w:t>
            </w:r>
          </w:p>
        </w:tc>
        <w:tc>
          <w:tcPr>
            <w:tcW w:w="140" w:type="dxa"/>
            <w:vAlign w:val="bottom"/>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6,747,268</w:t>
            </w: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(24,874)</w:t>
            </w:r>
          </w:p>
        </w:tc>
        <w:tc>
          <w:tcPr>
            <w:tcW w:w="160" w:type="dxa"/>
            <w:vAlign w:val="bottom"/>
          </w:tcPr>
          <w:p>
            <w:pPr>
              <w:spacing w:after="0"/>
              <w:rPr>
                <w:sz w:val="12"/>
                <w:szCs w:val="12"/>
                <w:color w:val="auto"/>
              </w:rPr>
            </w:pPr>
          </w:p>
        </w:tc>
        <w:tc>
          <w:tcPr>
            <w:tcW w:w="6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(110,715)</w:t>
            </w: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(5,828,842)</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5,459,437</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16,921</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16,921</w:t>
            </w: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422</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17,723</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17,725</w:t>
            </w:r>
          </w:p>
        </w:tc>
        <w:tc>
          <w:tcPr>
            <w:tcW w:w="0" w:type="dxa"/>
            <w:vAlign w:val="bottom"/>
          </w:tcPr>
          <w:p>
            <w:pPr>
              <w:spacing w:after="0"/>
              <w:rPr>
                <w:sz w:val="1"/>
                <w:szCs w:val="1"/>
                <w:color w:val="auto"/>
              </w:rPr>
            </w:pPr>
          </w:p>
        </w:tc>
      </w:tr>
      <w:tr>
        <w:trPr>
          <w:trHeight w:val="126"/>
        </w:trPr>
        <w:tc>
          <w:tcPr>
            <w:tcW w:w="26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Unrealized loss, net on available-for-sale</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(183)</w:t>
            </w:r>
          </w:p>
        </w:tc>
        <w:tc>
          <w:tcPr>
            <w:tcW w:w="7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0" w:type="dxa"/>
            <w:vAlign w:val="bottom"/>
          </w:tcPr>
          <w:p>
            <w:pPr>
              <w:spacing w:after="0"/>
              <w:rPr>
                <w:sz w:val="1"/>
                <w:szCs w:val="1"/>
                <w:color w:val="auto"/>
              </w:rPr>
            </w:pPr>
          </w:p>
        </w:tc>
      </w:tr>
      <w:tr>
        <w:trPr>
          <w:trHeight w:val="171"/>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securities</w:t>
            </w:r>
          </w:p>
        </w:tc>
        <w:tc>
          <w:tcPr>
            <w:tcW w:w="7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Repurchase of common stock</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2"/>
                <w:szCs w:val="12"/>
                <w:color w:val="auto"/>
              </w:rPr>
            </w:pPr>
          </w:p>
        </w:tc>
        <w:tc>
          <w:tcPr>
            <w:tcW w:w="7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(399)</w:t>
            </w:r>
          </w:p>
        </w:tc>
        <w:tc>
          <w:tcPr>
            <w:tcW w:w="0" w:type="dxa"/>
            <w:vAlign w:val="bottom"/>
          </w:tcPr>
          <w:p>
            <w:pPr>
              <w:spacing w:after="0"/>
              <w:rPr>
                <w:sz w:val="1"/>
                <w:szCs w:val="1"/>
                <w:color w:val="auto"/>
              </w:rPr>
            </w:pPr>
          </w:p>
        </w:tc>
      </w:tr>
      <w:tr>
        <w:trPr>
          <w:trHeight w:val="148"/>
        </w:trPr>
        <w:tc>
          <w:tcPr>
            <w:tcW w:w="26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1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8,235</w:t>
            </w:r>
          </w:p>
        </w:tc>
        <w:tc>
          <w:tcPr>
            <w:tcW w:w="0" w:type="dxa"/>
            <w:vAlign w:val="bottom"/>
          </w:tcPr>
          <w:p>
            <w:pPr>
              <w:spacing w:after="0"/>
              <w:rPr>
                <w:sz w:val="1"/>
                <w:szCs w:val="1"/>
                <w:color w:val="auto"/>
              </w:rPr>
            </w:pPr>
          </w:p>
        </w:tc>
      </w:tr>
      <w:tr>
        <w:trPr>
          <w:trHeight w:val="148"/>
        </w:trPr>
        <w:tc>
          <w:tcPr>
            <w:tcW w:w="2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403,762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403,762</w:t>
            </w:r>
          </w:p>
        </w:tc>
        <w:tc>
          <w:tcPr>
            <w:tcW w:w="0" w:type="dxa"/>
            <w:vAlign w:val="bottom"/>
          </w:tcPr>
          <w:p>
            <w:pPr>
              <w:spacing w:after="0"/>
              <w:rPr>
                <w:sz w:val="1"/>
                <w:szCs w:val="1"/>
                <w:color w:val="auto"/>
              </w:rPr>
            </w:pPr>
          </w:p>
        </w:tc>
      </w:tr>
      <w:tr>
        <w:trPr>
          <w:trHeight w:val="142"/>
        </w:trPr>
        <w:tc>
          <w:tcPr>
            <w:tcW w:w="262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June 30, 2021</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639,576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3,198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4,597,333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$ 7,151,030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(16,822)</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6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(110,719)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(5,829,241)</w:t>
            </w: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5,905,498</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500"/>
        <w:spacing w:after="0" w:line="238"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SIX-MONTHS ENDED JUNE 30, 2022 AND 2021</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13335</wp:posOffset>
            </wp:positionV>
            <wp:extent cx="629221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Six-Months Ended</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0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4"/>
          </w:tcPr>
          <w:p>
            <w:pPr>
              <w:jc w:val="right"/>
              <w:ind w:right="32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567,563</w:t>
            </w:r>
          </w:p>
        </w:tc>
        <w:tc>
          <w:tcPr>
            <w:tcW w:w="240" w:type="dxa"/>
            <w:vAlign w:val="bottom"/>
          </w:tcPr>
          <w:p>
            <w:pPr>
              <w:spacing w:after="0"/>
              <w:rPr>
                <w:sz w:val="17"/>
                <w:szCs w:val="17"/>
                <w:color w:val="auto"/>
              </w:rPr>
            </w:pPr>
          </w:p>
        </w:tc>
        <w:tc>
          <w:tcPr>
            <w:tcW w:w="440" w:type="dxa"/>
            <w:vAlign w:val="bottom"/>
            <w:gridSpan w:val="2"/>
          </w:tcPr>
          <w:p>
            <w:pPr>
              <w:jc w:val="right"/>
              <w:ind w:right="30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718,956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30,432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25,499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Non-cash lease expense</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Gain on disposal of property and equipment</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(69)</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Stock-based compensation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32,609</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35,691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Deferred income taxes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21,934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Effect on cash of changes in operating assets and liabilities net of acquisition: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receivable</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(289,236)</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(239,540)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Inventories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(299,076)</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(55,663)</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Prepaid income taxes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(1,220)</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Accounts payable</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85,499</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63,619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(789)</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Accrued promotional allowances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77,746</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Accrued compensation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Income taxes payable</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(14,666)</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liabilities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(3,211)</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Deferred revenue</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(9,101)</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130,663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586,586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Sales of available-for-sale investments</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1,409,707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660,965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available-for-sale investments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(964,267)</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(795,467)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Acquisition of CANarchy, net of cash</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(329,472)</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(99,446)</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sale of property and equipment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Additions to intangibles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(9,894)</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Increase in other assets</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(12,738)</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(5,738)</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(180,162)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Borrowings on debt</w:t>
            </w:r>
          </w:p>
        </w:tc>
        <w:tc>
          <w:tcPr>
            <w:tcW w:w="3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4,924</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Issuance of common stock</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22,622</w:t>
            </w: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spacing w:after="0"/>
              <w:rPr>
                <w:sz w:val="20"/>
                <w:szCs w:val="20"/>
                <w:color w:val="auto"/>
              </w:rPr>
            </w:pPr>
            <w:r>
              <w:rPr>
                <w:rFonts w:ascii="Times New Roman" w:cs="Times New Roman" w:eastAsia="Times New Roman" w:hAnsi="Times New Roman"/>
                <w:sz w:val="16"/>
                <w:szCs w:val="16"/>
                <w:color w:val="auto"/>
              </w:rPr>
              <w:t>Purchases of common stock held in treasury</w:t>
            </w:r>
          </w:p>
        </w:tc>
        <w:tc>
          <w:tcPr>
            <w:tcW w:w="300" w:type="dxa"/>
            <w:vAlign w:val="bottom"/>
          </w:tcPr>
          <w:p>
            <w:pPr>
              <w:spacing w:after="0"/>
              <w:rPr>
                <w:sz w:val="17"/>
                <w:szCs w:val="17"/>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(296,499)</w:t>
            </w: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(13,818)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top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300" w:type="dxa"/>
            <w:vAlign w:val="bottom"/>
            <w:tcBorders>
              <w:top w:val="single" w:sz="8" w:color="auto"/>
              <w:bottom w:val="single" w:sz="8" w:color="auto"/>
            </w:tcBorders>
            <w:shd w:val="clear" w:color="auto" w:fill="CCEEFF"/>
          </w:tcPr>
          <w:p>
            <w:pPr>
              <w:spacing w:after="0"/>
              <w:rPr>
                <w:sz w:val="17"/>
                <w:szCs w:val="17"/>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(268,953)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(50,395)</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(16,890)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(DECREASE) INCREASE IN CASH AND CASH EQUIVALENTS</w:t>
            </w:r>
          </w:p>
        </w:tc>
        <w:tc>
          <w:tcPr>
            <w:tcW w:w="30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(194,423)</w:t>
            </w: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403,826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1,326,462</w:t>
            </w:r>
          </w:p>
        </w:tc>
        <w:tc>
          <w:tcPr>
            <w:tcW w:w="2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1,180,413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 end of period</w:t>
            </w:r>
          </w:p>
        </w:tc>
        <w:tc>
          <w:tcPr>
            <w:tcW w:w="30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1,132,039</w:t>
            </w:r>
          </w:p>
        </w:tc>
        <w:tc>
          <w:tcPr>
            <w:tcW w:w="2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1,584,239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70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SUPPLEMENTAL INFORMATION:</w:t>
            </w:r>
          </w:p>
        </w:tc>
        <w:tc>
          <w:tcPr>
            <w:tcW w:w="3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0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w:t>
            </w:r>
          </w:p>
        </w:tc>
        <w:tc>
          <w:tcPr>
            <w:tcW w:w="30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w:t>
            </w:r>
          </w:p>
        </w:tc>
        <w:tc>
          <w:tcPr>
            <w:tcW w:w="240" w:type="dxa"/>
            <w:vAlign w:val="bottom"/>
            <w:shd w:val="clear" w:color="auto" w:fill="CCEEFF"/>
          </w:tcPr>
          <w:p>
            <w:pPr>
              <w:spacing w:after="0"/>
              <w:rPr>
                <w:sz w:val="17"/>
                <w:szCs w:val="17"/>
                <w:color w:val="auto"/>
              </w:rPr>
            </w:pPr>
          </w:p>
        </w:tc>
        <w:tc>
          <w:tcPr>
            <w:tcW w:w="440" w:type="dxa"/>
            <w:vAlign w:val="bottom"/>
            <w:gridSpan w:val="2"/>
            <w:shd w:val="clear" w:color="auto" w:fill="CCEEFF"/>
          </w:tcPr>
          <w:p>
            <w:pPr>
              <w:jc w:val="right"/>
              <w:ind w:right="304"/>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Borders>
              <w:top w:val="single" w:sz="8" w:color="CCEEFF"/>
              <w:bottom w:val="single" w:sz="8" w:color="CCEEFF"/>
            </w:tcBorders>
            <w:vMerge w:val="restart"/>
          </w:tcPr>
          <w:p>
            <w:pPr>
              <w:ind w:left="200"/>
              <w:spacing w:after="0"/>
              <w:rPr>
                <w:sz w:val="20"/>
                <w:szCs w:val="20"/>
                <w:color w:val="auto"/>
              </w:rPr>
            </w:pPr>
            <w:r>
              <w:rPr>
                <w:rFonts w:ascii="Times New Roman" w:cs="Times New Roman" w:eastAsia="Times New Roman" w:hAnsi="Times New Roman"/>
                <w:sz w:val="16"/>
                <w:szCs w:val="16"/>
                <w:color w:val="auto"/>
              </w:rPr>
              <w:t>Income taxes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000" w:type="dxa"/>
            <w:vAlign w:val="bottom"/>
            <w:vMerge w:val="continue"/>
          </w:tcPr>
          <w:p>
            <w:pPr>
              <w:spacing w:after="0"/>
              <w:rPr>
                <w:sz w:val="15"/>
                <w:szCs w:val="15"/>
                <w:color w:val="auto"/>
              </w:rPr>
            </w:pPr>
          </w:p>
        </w:tc>
        <w:tc>
          <w:tcPr>
            <w:tcW w:w="30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209,513</w:t>
            </w:r>
          </w:p>
        </w:tc>
        <w:tc>
          <w:tcPr>
            <w:tcW w:w="240" w:type="dxa"/>
            <w:vAlign w:val="bottom"/>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215,803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374650</wp:posOffset>
            </wp:positionV>
            <wp:extent cx="629221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right="4480"/>
        <w:spacing w:after="0" w:line="262" w:lineRule="auto"/>
        <w:rPr>
          <w:sz w:val="20"/>
          <w:szCs w:val="20"/>
          <w:color w:val="auto"/>
        </w:rPr>
      </w:pPr>
      <w:r>
        <w:rPr>
          <w:rFonts w:ascii="Times New Roman" w:cs="Times New Roman" w:eastAsia="Times New Roman" w:hAnsi="Times New Roman"/>
          <w:sz w:val="18"/>
          <w:szCs w:val="18"/>
          <w:b w:val="1"/>
          <w:bCs w:val="1"/>
          <w:color w:val="auto"/>
        </w:rPr>
        <w:t>MONSTER BEVERAGE CORPORATION AND SUBSIDIARIES CONDENSED CONSOLIDATED STATEMENTS OF CASH FLOWS FOR THE SIX-MONTHS ENDED JUNE 30, 2022 AND 2021 (In Thousands) (Unaudited) (Continued)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-1905</wp:posOffset>
            </wp:positionV>
            <wp:extent cx="629221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DISCLOSURE OF NON-CASH ITEMS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Included in accrued liabilities as of June 30, 2022 and 2021 were $3.4 million and $1.3 million, respectively, related to net additions to other intangible assets.</w:t>
      </w:r>
    </w:p>
    <w:p>
      <w:pPr>
        <w:spacing w:after="0" w:line="1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Included in accounts payable as of June 30, 2022 were available-for-sale short-term investment purchases of $3.4 million.</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661" w:right="10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BASIS OF PRESENTATION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Reference is made to the Notes to Consolidated Financial Statements, in Monster Beverage Corporation and Subsidiaries (the “Company”) Annual Report on Form 10-K for the year ended December 31, 2021 for a summary of significant accounting policies utilized by the Company and its consolidated subsidiaries and other disclosures, which should be read in conjunction with this Quarterly Report on Form 10-Q (“Form 10-Q”).</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condensed consolidated financial statements included in this Form 10-Q have been prepared in accordance with accounting principles generally accepted in the United States of America (“GAAP”) and Securities and Exchange Commission (“SEC”) rules and regulations applicable to interim financial reporting. They do not include all the information and footnote disclosures normally included in annual financial statements prepared in accordance with GAAP. The information set forth in these interim condensed consolidated financial statements for the three- and six-months ended June 30, 2022 and 2021, respectively, is unaudited and reflects all adjustments, which include only normal recurring adjustments and which in the opinion of management are necessary to make the interim condensed consolidated financial statements not misleading. Results of operations for periods covered by this report may not necessarily be indicative of results of operations for the full year.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necessarily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periods.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recently issued or adopted accounting pronouncements that would materially impact the Company from those disclosed in our Annual Report on Form 10-K for the fiscal year ended December 31, 2021.</w:t>
      </w:r>
    </w:p>
    <w:p>
      <w:pPr>
        <w:spacing w:after="0" w:line="162"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w:t>
      </w:r>
    </w:p>
    <w:p>
      <w:pPr>
        <w:spacing w:after="0" w:line="225" w:lineRule="exact"/>
        <w:rPr>
          <w:sz w:val="20"/>
          <w:szCs w:val="20"/>
          <w:color w:val="auto"/>
        </w:rPr>
      </w:pPr>
    </w:p>
    <w:p>
      <w:pPr>
        <w:jc w:val="both"/>
        <w:ind w:firstLine="648"/>
        <w:spacing w:after="0" w:line="231" w:lineRule="auto"/>
        <w:rPr>
          <w:sz w:val="20"/>
          <w:szCs w:val="20"/>
          <w:color w:val="auto"/>
        </w:rPr>
      </w:pPr>
      <w:r>
        <w:rPr>
          <w:rFonts w:ascii="Times New Roman" w:cs="Times New Roman" w:eastAsia="Times New Roman" w:hAnsi="Times New Roman"/>
          <w:sz w:val="17"/>
          <w:szCs w:val="17"/>
          <w:color w:val="auto"/>
        </w:rPr>
        <w:t>On February 17, 2022, the Company completed its acquisition of CANarchy Craft Brewery Collective LLC (“CANarchy”), a craft beer and hard seltzer company, for $330.4 million in cash, subject to adjustments (the “CANarchy Transaction”). The CANarchy Transaction facilitates the Company’s entry into the alcohol beverage sector and brings the Cigar City</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Jai Alai® IPA and Florida Man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IPA, the Oskar Blues </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Dale’s Pale Ale® and Wild Basin</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Hard Seltzers, the Deep Ellum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Dallas Blonde® and Deep Ellum</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IPA, the Perrin Brewing</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7"/>
          <w:szCs w:val="17"/>
          <w:color w:val="auto"/>
        </w:rPr>
        <w:t xml:space="preserve"> family of brands including Black Ale, the Squatters® family of brands including Hop Rising® Double IPA and Juicy IPA, the Wasatch® family of brands including Apricot Hefeweizen, as well as certain other brands (collectively the “CANarchy Brands”) to the Company’s beverage portfolio. The transaction does not include CANarchy’s stand-alone restaurants. The Company’s organizational structure for its existing energy beverage business will remain unchanged. CANarchy will function independently, retaining its own organizational structure and team.</w:t>
      </w:r>
    </w:p>
    <w:p>
      <w:pPr>
        <w:spacing w:after="0" w:line="20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accounted for the CANarchy Transaction in accordance with Financial Accounting Standards Board (“FASB”) Accounting Standards Codification (“ASC”) 805 “Business Combinations”.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fair value allocations of the CANarchy Transaction:</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Identifiable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280" w:type="dxa"/>
            <w:vAlign w:val="bottom"/>
            <w:gridSpan w:val="4"/>
          </w:tcPr>
          <w:p>
            <w:pPr>
              <w:jc w:val="center"/>
              <w:ind w:left="830"/>
              <w:spacing w:after="0"/>
              <w:rPr>
                <w:sz w:val="20"/>
                <w:szCs w:val="20"/>
                <w:color w:val="auto"/>
              </w:rPr>
            </w:pPr>
            <w:r>
              <w:rPr>
                <w:rFonts w:ascii="Times New Roman" w:cs="Times New Roman" w:eastAsia="Times New Roman" w:hAnsi="Times New Roman"/>
                <w:sz w:val="18"/>
                <w:szCs w:val="18"/>
                <w:color w:val="auto"/>
                <w:w w:val="98"/>
              </w:rPr>
              <w:t>Acquired and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Liabilities</w:t>
            </w:r>
          </w:p>
        </w:tc>
        <w:tc>
          <w:tcPr>
            <w:tcW w:w="2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Consideration</w:t>
            </w:r>
          </w:p>
        </w:tc>
      </w:tr>
      <w:tr>
        <w:trPr>
          <w:trHeight w:val="234"/>
        </w:trPr>
        <w:tc>
          <w:tcPr>
            <w:tcW w:w="46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Assumed</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Transferred</w:t>
            </w:r>
          </w:p>
        </w:tc>
      </w:tr>
      <w:tr>
        <w:trPr>
          <w:trHeight w:val="210"/>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trademarks (non-amortizing)</w:t>
            </w:r>
          </w:p>
        </w:tc>
        <w:tc>
          <w:tcPr>
            <w:tcW w:w="1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94,500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Intangibles - customer relationships (amortizing)</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54,500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Intangibles - permits (non-amortizing)</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Right-of -use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Working capital (excluding inventory)</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1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10"/>
        </w:trPr>
        <w:tc>
          <w:tcPr>
            <w:tcW w:w="4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332,721</w:t>
            </w:r>
          </w:p>
        </w:tc>
      </w:tr>
      <w:tr>
        <w:trPr>
          <w:trHeight w:val="20"/>
        </w:trPr>
        <w:tc>
          <w:tcPr>
            <w:tcW w:w="46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determined the fair values as follows:</w:t>
      </w:r>
    </w:p>
    <w:p>
      <w:pPr>
        <w:spacing w:after="0" w:line="225" w:lineRule="exact"/>
        <w:rPr>
          <w:sz w:val="20"/>
          <w:szCs w:val="20"/>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Trademarks – relief-from-royalty method of the income approach</w:t>
      </w:r>
    </w:p>
    <w:p>
      <w:pPr>
        <w:spacing w:after="0" w:line="27"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relationships – distributor method of the income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Permits – with-and-without method of the income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and equipment – cost approach</w:t>
      </w:r>
    </w:p>
    <w:p>
      <w:pPr>
        <w:spacing w:after="0" w:line="9" w:lineRule="exact"/>
        <w:rPr>
          <w:rFonts w:ascii="Times New Roman" w:cs="Times New Roman" w:eastAsia="Times New Roman" w:hAnsi="Times New Roman"/>
          <w:sz w:val="18"/>
          <w:szCs w:val="18"/>
          <w:color w:val="auto"/>
        </w:rPr>
      </w:pPr>
    </w:p>
    <w:p>
      <w:pPr>
        <w:ind w:left="1340" w:hanging="333"/>
        <w:spacing w:after="0"/>
        <w:tabs>
          <w:tab w:leader="none" w:pos="1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Inventory – comparative sales method and replacement cost method</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book value of the working capital (excluding inventory) approximates fair value.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determined goodwill in accordance with ASC 805-30-30-1, “Business Combinations,” which requires the recognition of goodwill for the excess of the aggregate consideration over the net amounts of identifiable assets acquired and liabilities assumed as of the acquisition date.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tax purposes, the CANarchy Transaction was recorded as an asset purchase. As such, the Company received a step-up in tax basis of the CANarchy assets, net, equal to the purchase price.</w:t>
      </w:r>
    </w:p>
    <w:p>
      <w:pPr>
        <w:spacing w:after="0" w:line="162"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In accordance with Regulation S-X, pro forma unaudited condensed financial information for the CANarchy Transaction has not been provided as the impact of the transaction on the Company’s financial position, results of operations and liquidity was not material.</w:t>
      </w:r>
    </w:p>
    <w:p>
      <w:pPr>
        <w:spacing w:after="0" w:line="14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May 5, 2022, the Company acquired certain real property and equipment in Norwalk, California for a purchase price of $62.5 million. The acquisition was treated as an asset acquisition for accounting purposes. The preliminary fair value allocations include $50.6 million for land, $10.0 million for building and $1.9 million for equipment. The Company intends to utilize the property as a manufacturing facility for certain of its products.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certain products sold by American Fruits and Flavors, LLC, a wholly-owned subsidiary of the Company, to independent third-party customers (the “AFF Third-Party Products”).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generates net operating revenues by selling ready-to-drink packaged energy drinks primarily to bottlers and full service beverage bottlers/distributors (“bottlers/distributors”). In some cases, the Company sells ready-to-drink packaged energy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canned beer as well as hard seltzers primarily to distributors in the United States.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majority of the Company’s revenue is recognized when it satisfies a single performance obligation by transferring control of its products to a customer. Control is generally transferred when the Company’s products are either shipped or delivered based on the terms contained within the underlying contracts or agreements. Certain of the Company’s bottlers/distributors may also perform a separate function as a co-packer on the Company’s behalf. In such cases, control of the Company’s products passes to such bottlers/distributors when they notify the Company that they have taken possession or transferred the relevant portion of the Company’s finished goods. The Company’s general payment terms are short-term in duration. The Company does not have significant financing components or payment terms. The Company did not have any material unsatisfied performance obligations as of June 30, 2022 and December 31, 2021.</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excludes from revenues all taxes assessed by a governmental authority that are imposed on the sale of its products and collected from customers.</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Distribution expenses to transport the Company’s products, where applicable, and warehousing expense after manufacture are accounted for within operating expenses.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Promotional and other allowances (variable consideration) recorded as a reduction to net sales, primarily include consideration given to the Company’s bottlers/distributors or retail customers including, but not limited to the following:</w:t>
      </w:r>
    </w:p>
    <w:p>
      <w:pPr>
        <w:spacing w:after="0" w:line="162" w:lineRule="exact"/>
        <w:rPr>
          <w:sz w:val="20"/>
          <w:szCs w:val="20"/>
          <w:color w:val="auto"/>
        </w:rPr>
      </w:pPr>
    </w:p>
    <w:p>
      <w:pPr>
        <w:ind w:left="1340" w:hanging="333"/>
        <w:spacing w:after="0"/>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discounts granted off list prices to support price promotions to end-consumers by retailers;</w:t>
      </w:r>
    </w:p>
    <w:p>
      <w:pPr>
        <w:spacing w:after="0" w:line="27" w:lineRule="exact"/>
        <w:rPr>
          <w:rFonts w:ascii="Times New Roman" w:cs="Times New Roman" w:eastAsia="Times New Roman" w:hAnsi="Times New Roman"/>
          <w:sz w:val="18"/>
          <w:szCs w:val="18"/>
          <w:color w:val="auto"/>
        </w:rPr>
      </w:pPr>
    </w:p>
    <w:p>
      <w:pPr>
        <w:ind w:left="1340" w:right="20" w:hanging="333"/>
        <w:spacing w:after="0" w:line="25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reimbursements given to the Company’s bottlers/distributors for agreed portions of their promotional spend with retailers, including slotting, shelf space allowances and other fees for both new and existing products;</w:t>
      </w:r>
    </w:p>
    <w:p>
      <w:pPr>
        <w:ind w:left="1340" w:right="20" w:hanging="333"/>
        <w:spacing w:after="0" w:line="25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fees given to bottlers/distributors and/or directly to retailers for advertising, in-store marketing and promotional activities;</w:t>
      </w:r>
    </w:p>
    <w:p>
      <w:pPr>
        <w:ind w:left="1340" w:hanging="333"/>
        <w:spacing w:after="0" w:line="260" w:lineRule="auto"/>
        <w:tabs>
          <w:tab w:leader="none" w:pos="1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agreed share of slotting, shelf space allowances and other fees given directly to retailers, club stores and/or wholesalers;</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1340" w:right="20" w:hanging="333"/>
        <w:spacing w:after="0" w:line="261"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incentives given to the Company’s bottlers/distributors and/or retailers for achieving or exceeding certain predetermined sales goals;</w:t>
      </w:r>
    </w:p>
    <w:p>
      <w:pPr>
        <w:ind w:left="1340" w:hanging="333"/>
        <w:spacing w:after="0"/>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discounted or free products;</w:t>
      </w:r>
    </w:p>
    <w:p>
      <w:pPr>
        <w:spacing w:after="0" w:line="9" w:lineRule="exact"/>
        <w:rPr>
          <w:rFonts w:ascii="Times New Roman" w:cs="Times New Roman" w:eastAsia="Times New Roman" w:hAnsi="Times New Roman"/>
          <w:sz w:val="18"/>
          <w:szCs w:val="18"/>
          <w:color w:val="auto"/>
        </w:rPr>
      </w:pPr>
    </w:p>
    <w:p>
      <w:pPr>
        <w:ind w:left="1340" w:hanging="333"/>
        <w:spacing w:after="0" w:line="250"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fees given to the Company’s bottlers/distributors related to sales made directly by the Company to certain customers that fall within the bottlers’/distributors’ sales territories; and</w:t>
      </w:r>
    </w:p>
    <w:p>
      <w:pPr>
        <w:jc w:val="both"/>
        <w:ind w:left="1340" w:hanging="333"/>
        <w:spacing w:after="0" w:line="255" w:lineRule="auto"/>
        <w:tabs>
          <w:tab w:leader="none" w:pos="1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to TCCC based on the Company’s sales to wholly-owned subsidiaries of TCCC (the “TCCC Subsidiaries”) and/or to TCCC bottlers/distributors accounted for under the equity method by TCCC (the “TCCC Related Parties”).</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Company’s promotional allowance programs with its bottlers/distributors and/or retailers are executed through separate agreements in the ordinary course of business. These agreements generally provide for one or more of the arrangements described above and are of varying durations, typically ranging from one week to one year. The Company’s promotional and other allowances are calculated based on various programs with bottlers/distributors and retail customers, and accruals are established at the time of initial product sale for the Company’s anticipated liabilities. These accruals are based on agreed upon terms as well as the Company’s historical experience with similar programs and require management’s judgment with respect to estimating consumer participation and/or bottler/distributor and retail customer performance levels. Differences between such estimated expenses and actual expenses for promotional and other allowance costs have historically been insignificant and are recognized in earnings in the period such differences are determined.</w:t>
      </w:r>
    </w:p>
    <w:p>
      <w:pPr>
        <w:spacing w:after="0" w:line="18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Amounts received pursuant to new and/or amended distribution agreements entered into with certain bottlers/distributors relating to the costs associated with terminating the Company’s prior distributors, are accounted for as deferred revenue and recognized as revenue ratably over the anticipated life of the respective distribution agreements, generally over 20 years.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also enters into license agreements that generate revenues associated with third-party sales of non-beverage products bearing the Company’s trademarks including, but not limited to, clothing, hats, t-shirts, jackets, helmets and automotive wheels.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believes that adequate provision has been made for cash discounts, returns and spoilage based on the Company’s historical experience.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disaggregate the Company’s revenue by geographical markets and reportable segments: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gridSpan w:val="21"/>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Three-Months Ended June 30, 2022</w:t>
            </w:r>
          </w:p>
        </w:tc>
        <w:tc>
          <w:tcPr>
            <w:tcW w:w="1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12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America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3"/>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Caribbean</w:t>
            </w:r>
          </w:p>
        </w:tc>
        <w:tc>
          <w:tcPr>
            <w:tcW w:w="1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973,674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308,839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116,788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138,389</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1,537,690</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38,368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29,171</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4,126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Alcohol Brands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0" w:type="dxa"/>
            <w:vAlign w:val="bottom"/>
          </w:tcPr>
          <w:p>
            <w:pPr>
              <w:spacing w:after="0"/>
              <w:rPr>
                <w:sz w:val="1"/>
                <w:szCs w:val="1"/>
                <w:color w:val="auto"/>
              </w:rPr>
            </w:pPr>
          </w:p>
        </w:tc>
      </w:tr>
      <w:tr>
        <w:trPr>
          <w:trHeight w:val="216"/>
        </w:trPr>
        <w:tc>
          <w:tcPr>
            <w:tcW w:w="35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0" w:type="dxa"/>
            <w:vAlign w:val="bottom"/>
          </w:tcPr>
          <w:p>
            <w:pPr>
              <w:spacing w:after="0"/>
              <w:rPr>
                <w:sz w:val="1"/>
                <w:szCs w:val="1"/>
                <w:color w:val="auto"/>
              </w:rPr>
            </w:pPr>
          </w:p>
        </w:tc>
      </w:tr>
      <w:tr>
        <w:trPr>
          <w:trHeight w:val="209"/>
        </w:trPr>
        <w:tc>
          <w:tcPr>
            <w:tcW w:w="3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1,050,470</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338,010</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124,265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142,515</w:t>
            </w:r>
          </w:p>
        </w:tc>
        <w:tc>
          <w:tcPr>
            <w:tcW w:w="2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64"/>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1,655,260</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1"/>
          </w:tcPr>
          <w:p>
            <w:pPr>
              <w:jc w:val="center"/>
              <w:ind w:right="160"/>
              <w:spacing w:after="0"/>
              <w:rPr>
                <w:sz w:val="20"/>
                <w:szCs w:val="20"/>
                <w:color w:val="auto"/>
              </w:rPr>
            </w:pPr>
            <w:r>
              <w:rPr>
                <w:rFonts w:ascii="Times New Roman" w:cs="Times New Roman" w:eastAsia="Times New Roman" w:hAnsi="Times New Roman"/>
                <w:sz w:val="18"/>
                <w:szCs w:val="18"/>
                <w:color w:val="auto"/>
                <w:w w:val="99"/>
              </w:rPr>
              <w:t>Three-Months Ended June 30, 2021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24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America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80" w:type="dxa"/>
            <w:vAlign w:val="bottom"/>
            <w:gridSpan w:val="5"/>
          </w:tcPr>
          <w:p>
            <w:pPr>
              <w:jc w:val="center"/>
              <w:ind w:right="120"/>
              <w:spacing w:after="0"/>
              <w:rPr>
                <w:sz w:val="20"/>
                <w:szCs w:val="20"/>
                <w:color w:val="auto"/>
              </w:rPr>
            </w:pPr>
            <w:r>
              <w:rPr>
                <w:rFonts w:ascii="Times New Roman" w:cs="Times New Roman" w:eastAsia="Times New Roman" w:hAnsi="Times New Roman"/>
                <w:sz w:val="18"/>
                <w:szCs w:val="18"/>
                <w:color w:val="auto"/>
              </w:rPr>
              <w:t>Asia Pacific</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Caribbean</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895,362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269,807</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118,934</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82,991</w:t>
            </w:r>
          </w:p>
        </w:tc>
        <w:tc>
          <w:tcPr>
            <w:tcW w:w="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1,367,094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49,388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27,875</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2,666</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86,935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9"/>
                <w:szCs w:val="19"/>
                <w:color w:val="auto"/>
              </w:rPr>
              <w:t>Alcohol Brands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952,655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297,682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125,940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85,657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gridSpan w:val="4"/>
            <w:shd w:val="clear" w:color="auto" w:fill="CCEEFF"/>
          </w:tcPr>
          <w:p>
            <w:pPr>
              <w:jc w:val="right"/>
              <w:ind w:right="14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0" w:type="dxa"/>
            <w:vAlign w:val="bottom"/>
          </w:tcPr>
          <w:p>
            <w:pPr>
              <w:spacing w:after="0"/>
              <w:rPr>
                <w:sz w:val="1"/>
                <w:szCs w:val="1"/>
                <w:color w:val="auto"/>
              </w:rPr>
            </w:pPr>
          </w:p>
        </w:tc>
      </w:tr>
      <w:tr>
        <w:trPr>
          <w:trHeight w:val="20"/>
        </w:trPr>
        <w:tc>
          <w:tcPr>
            <w:tcW w:w="3500" w:type="dxa"/>
            <w:vAlign w:val="bottom"/>
            <w:gridSpan w:val="2"/>
            <w:vMerge w:val="restart"/>
          </w:tcPr>
          <w:p>
            <w:pPr>
              <w:spacing w:after="0"/>
              <w:rPr>
                <w:sz w:val="20"/>
                <w:szCs w:val="20"/>
                <w:color w:val="auto"/>
              </w:rPr>
            </w:pPr>
            <w:r>
              <w:rPr>
                <w:rFonts w:ascii="Times New Roman" w:cs="Times New Roman" w:eastAsia="Times New Roman" w:hAnsi="Times New Roman"/>
                <w:sz w:val="24"/>
                <w:szCs w:val="24"/>
                <w:i w:val="1"/>
                <w:iCs w:val="1"/>
                <w:color w:val="252525"/>
                <w:vertAlign w:val="superscript"/>
              </w:rPr>
              <w:t>1</w:t>
            </w:r>
            <w:r>
              <w:rPr>
                <w:rFonts w:ascii="Times New Roman" w:cs="Times New Roman" w:eastAsia="Times New Roman" w:hAnsi="Times New Roman"/>
                <w:sz w:val="16"/>
                <w:szCs w:val="16"/>
                <w:i w:val="1"/>
                <w:iCs w:val="1"/>
                <w:color w:val="252525"/>
              </w:rPr>
              <w:t xml:space="preserve">Europe, </w:t>
            </w:r>
            <w:r>
              <w:rPr>
                <w:rFonts w:ascii="Times New Roman" w:cs="Times New Roman" w:eastAsia="Times New Roman" w:hAnsi="Times New Roman"/>
                <w:sz w:val="14"/>
                <w:szCs w:val="14"/>
                <w:i w:val="1"/>
                <w:iCs w:val="1"/>
                <w:color w:val="000000"/>
              </w:rPr>
              <w:t>Middle</w:t>
            </w:r>
            <w:r>
              <w:rPr>
                <w:rFonts w:ascii="Times New Roman" w:cs="Times New Roman" w:eastAsia="Times New Roman" w:hAnsi="Times New Roman"/>
                <w:sz w:val="16"/>
                <w:szCs w:val="16"/>
                <w:i w:val="1"/>
                <w:iCs w:val="1"/>
                <w:color w:val="252525"/>
              </w:rPr>
              <w:t xml:space="preserve"> East and Africa (“EMEA”)</w:t>
            </w: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9"/>
        </w:trPr>
        <w:tc>
          <w:tcPr>
            <w:tcW w:w="35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1"/>
          </w:tcPr>
          <w:p>
            <w:pPr>
              <w:jc w:val="center"/>
              <w:ind w:right="180"/>
              <w:spacing w:after="0"/>
              <w:rPr>
                <w:sz w:val="20"/>
                <w:szCs w:val="20"/>
                <w:color w:val="auto"/>
              </w:rPr>
            </w:pPr>
            <w:r>
              <w:rPr>
                <w:rFonts w:ascii="Times New Roman" w:cs="Times New Roman" w:eastAsia="Times New Roman" w:hAnsi="Times New Roman"/>
                <w:sz w:val="18"/>
                <w:szCs w:val="18"/>
                <w:color w:val="auto"/>
                <w:w w:val="99"/>
              </w:rPr>
              <w:t>Six-Months Ended June 30, 2022</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restart"/>
          </w:tcPr>
          <w:p>
            <w:pPr>
              <w:ind w:left="8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6"/>
              </w:rPr>
              <w:t>Asia</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Pacific</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9"/>
              </w:rPr>
              <w:t>Caribbean</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34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1,899,354</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569,728</w:t>
            </w: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227,343</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246,111</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2,942,536</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91,420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59,347</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171,735</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2,050,336</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629,075</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241,481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252,941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3,173,833</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21"/>
          </w:tcPr>
          <w:p>
            <w:pPr>
              <w:jc w:val="center"/>
              <w:ind w:right="180"/>
              <w:spacing w:after="0"/>
              <w:rPr>
                <w:sz w:val="20"/>
                <w:szCs w:val="20"/>
                <w:color w:val="auto"/>
              </w:rPr>
            </w:pPr>
            <w:r>
              <w:rPr>
                <w:rFonts w:ascii="Times New Roman" w:cs="Times New Roman" w:eastAsia="Times New Roman" w:hAnsi="Times New Roman"/>
                <w:sz w:val="18"/>
                <w:szCs w:val="18"/>
                <w:color w:val="auto"/>
                <w:w w:val="99"/>
              </w:rPr>
              <w:t>Six-Months Ended June 30, 2021</w:t>
            </w: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4"/>
          </w:tcPr>
          <w:p>
            <w:pPr>
              <w:jc w:val="center"/>
              <w:ind w:right="200"/>
              <w:spacing w:after="0" w:line="191" w:lineRule="exact"/>
              <w:rPr>
                <w:sz w:val="20"/>
                <w:szCs w:val="20"/>
                <w:color w:val="auto"/>
              </w:rPr>
            </w:pPr>
            <w:r>
              <w:rPr>
                <w:rFonts w:ascii="Times New Roman" w:cs="Times New Roman" w:eastAsia="Times New Roman" w:hAnsi="Times New Roman"/>
                <w:sz w:val="18"/>
                <w:szCs w:val="18"/>
                <w:color w:val="auto"/>
                <w:w w:val="99"/>
              </w:rPr>
              <w:t>Latin</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America</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U.S. and</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EMEA</w:t>
            </w:r>
            <w:r>
              <w:rPr>
                <w:rFonts w:ascii="Times New Roman" w:cs="Times New Roman" w:eastAsia="Times New Roman" w:hAnsi="Times New Roman"/>
                <w:sz w:val="26"/>
                <w:szCs w:val="26"/>
                <w:color w:val="auto"/>
                <w:vertAlign w:val="superscript"/>
              </w:rPr>
              <w:t>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center"/>
              <w:ind w:right="160"/>
              <w:spacing w:after="0"/>
              <w:rPr>
                <w:sz w:val="20"/>
                <w:szCs w:val="20"/>
                <w:color w:val="auto"/>
              </w:rPr>
            </w:pPr>
            <w:r>
              <w:rPr>
                <w:rFonts w:ascii="Times New Roman" w:cs="Times New Roman" w:eastAsia="Times New Roman" w:hAnsi="Times New Roman"/>
                <w:sz w:val="18"/>
                <w:szCs w:val="18"/>
                <w:color w:val="auto"/>
                <w:w w:val="96"/>
              </w:rPr>
              <w:t>Asia</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color w:val="auto"/>
                <w:w w:val="99"/>
              </w:rPr>
              <w:t>and</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Sales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Canada</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color w:val="auto"/>
                <w:w w:val="99"/>
              </w:rPr>
              <w:t>Pacific</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w w:val="99"/>
              </w:rPr>
              <w:t>Caribbean</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3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Monster Energy® Drinks</w:t>
            </w:r>
          </w:p>
        </w:tc>
        <w:tc>
          <w:tcPr>
            <w:tcW w:w="20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1,668,866</w:t>
            </w:r>
          </w:p>
        </w:tc>
        <w:tc>
          <w:tcPr>
            <w:tcW w:w="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489,107</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225,681</w:t>
            </w: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153,720</w:t>
            </w:r>
          </w:p>
        </w:tc>
        <w:tc>
          <w:tcPr>
            <w:tcW w:w="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gridSpan w:val="3"/>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2,537,374</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Strategic Brands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87,071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47,784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15,444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154,744</w:t>
            </w:r>
          </w:p>
        </w:tc>
        <w:tc>
          <w:tcPr>
            <w:tcW w:w="0" w:type="dxa"/>
            <w:vAlign w:val="bottom"/>
          </w:tcPr>
          <w:p>
            <w:pPr>
              <w:spacing w:after="0"/>
              <w:rPr>
                <w:sz w:val="1"/>
                <w:szCs w:val="1"/>
                <w:color w:val="auto"/>
              </w:rPr>
            </w:pPr>
          </w:p>
        </w:tc>
      </w:tr>
      <w:tr>
        <w:trPr>
          <w:trHeight w:val="216"/>
        </w:trPr>
        <w:tc>
          <w:tcPr>
            <w:tcW w:w="35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4"/>
          </w:tcPr>
          <w:p>
            <w:pPr>
              <w:ind w:left="7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0" w:type="dxa"/>
            <w:vAlign w:val="bottom"/>
          </w:tcPr>
          <w:p>
            <w:pPr>
              <w:spacing w:after="0"/>
              <w:rPr>
                <w:sz w:val="1"/>
                <w:szCs w:val="1"/>
                <w:color w:val="auto"/>
              </w:rPr>
            </w:pPr>
          </w:p>
        </w:tc>
      </w:tr>
      <w:tr>
        <w:trPr>
          <w:trHeight w:val="210"/>
        </w:trPr>
        <w:tc>
          <w:tcPr>
            <w:tcW w:w="3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Net Sales</w:t>
            </w: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1,769,570</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536,891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241,125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158,165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gridSpan w:val="3"/>
            <w:shd w:val="clear" w:color="auto" w:fill="CCEEFF"/>
          </w:tcPr>
          <w:p>
            <w:pPr>
              <w:spacing w:after="0"/>
              <w:rPr>
                <w:sz w:val="18"/>
                <w:szCs w:val="18"/>
                <w:color w:val="auto"/>
              </w:rPr>
            </w:pPr>
          </w:p>
        </w:tc>
        <w:tc>
          <w:tcPr>
            <w:tcW w:w="20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Europe, Middle East and Africa (“EMEA”)</w:t>
      </w:r>
    </w:p>
    <w:p>
      <w:pPr>
        <w:spacing w:after="0"/>
        <w:rPr>
          <w:sz w:val="20"/>
          <w:szCs w:val="20"/>
          <w:color w:val="auto"/>
        </w:rPr>
      </w:pPr>
      <w:r>
        <w:rPr>
          <w:rFonts w:ascii="Times New Roman" w:cs="Times New Roman" w:eastAsia="Times New Roman" w:hAnsi="Times New Roman"/>
          <w:sz w:val="24"/>
          <w:szCs w:val="24"/>
          <w:i w:val="1"/>
          <w:iCs w:val="1"/>
          <w:color w:val="auto"/>
          <w:vertAlign w:val="superscript"/>
        </w:rPr>
        <w:t>2</w:t>
      </w:r>
      <w:r>
        <w:rPr>
          <w:rFonts w:ascii="Times New Roman" w:cs="Times New Roman" w:eastAsia="Times New Roman" w:hAnsi="Times New Roman"/>
          <w:sz w:val="16"/>
          <w:szCs w:val="16"/>
          <w:i w:val="1"/>
          <w:iCs w:val="1"/>
          <w:color w:val="auto"/>
        </w:rPr>
        <w:t>Effectively from February 17, 2022 to June 30, 2022</w:t>
      </w:r>
    </w:p>
    <w:p>
      <w:pPr>
        <w:sectPr>
          <w:pgSz w:w="11900" w:h="16838" w:orient="portrait"/>
          <w:cols w:equalWidth="0" w:num="1">
            <w:col w:w="9920"/>
          </w:cols>
          <w:pgMar w:left="980" w:top="661" w:right="999" w:bottom="1440" w:gutter="0" w:footer="0" w:header="0"/>
        </w:sect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Contract Liabilities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Amounts received from certain bottlers/distributors at inception of their distribution contracts or at the inception of certain sales/marketing programs are accounted for as deferred revenue. As of June 30, 2022, the Company had $276.5 million of deferred revenue, which is included in current and long-term deferred revenue in the Company’s condensed consolidated balance sheet. As of December 31, 2021, the Company had $285.8 million of deferred revenue, which is included in current and long-term deferred revenue in the Company’s condensed consolidated balance sheet. During the three-months ended June 30, 2022 and 2021, $10.1 million and $10.4 million, respectively, of deferred revenue was recognized in net sales. See Note 11. During the six-months ended June 30, 2022 and 2021, $20.1 million and $20.9 million, respectively, of deferred revenue was recognized in net sales. See Note 11.</w:t>
      </w:r>
    </w:p>
    <w:p>
      <w:pPr>
        <w:spacing w:after="0" w:line="189"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leases identified assets comprising of real estate and equipment. Real estate leases consist primarily of office and warehouse space and equipment leases consist of vehicles and warehouse equipment. At the inception of a contract, the Company assesses whether the contract is, or contains, a lease. The Company’s assessment is based on: (1) whether the contract involves the use of a distinct identified asset, (2) whether the Company obtains the right to substantially all the economic benefit from the use of the asset throughout the term, and (3) whether the Company has the right to direct the use of the asset. At inception of a lease, the Company allocates the consideration in the contract to each lease and non-lease component based on the component’s relative stand-alone price to determine the lease payments. Lease and non-lease components are accounted for separately.</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Leases are classified as either finance leases or operating leases based on criteria in ASC 842. The Company’s operating leases are comprised of real estate and warehouse equipment, and the Company’s finance leases are comprised of vehicles.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Right-of-use (“ROU”) assets and lease liabilities are recognized at the lease commencement date based on the present value of lease payments over the lease term. As the Company’s leases generally do not provide an implicit rate, the Company uses its incremental borrowing rate based on the estimated rate of interest for collateralized borrowing over a similar term of the lease payments at the commencement date. ROU assets also include any lease payments made and exclude lease incentives. Lease terms include options to extend or terminate the lease when it is reasonably certain that the Company will exercise that option.</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Certain of the Company’s real estate leases contain variable lease payments, including payments based on an index or rate. Variable lease payments based on an index or rate are initially measured using the index or rate in effect at the lease commencement date. Additional payments based on the change in an index or rate, or payments based on a change in the Company’s portion of real estate taxes and insurance, are recorded as a period expense when incurred.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Lease expense for operating leases, consisting of lease payments, is recognized on a straight-line basis over the lease term and is included in operating expenses in the condensed consolidated statement of income. Lease expense for finance leases consists of the amortization of the ROU asset on a straight-line basis over the asset’s estimated useful life and is included in operating expenses in the condensed consolidated statement of income. Interest expense on finance leases is calculated using the amortized cost basis and is included in interest and other (expense) income, net in the condensed consolidated statement of income.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Company’s leases have remaining lease terms of less than one year to 12 years, some of which include options to extend the leases for up to five years, and some of which include options to terminate the leases within one year. The Company has elected not to recognize ROU assets and lease liabilities for short-term operating leases that have a term of 12 months or less.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lease cost were comprised of the following:</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Three-Months</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Three-Months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Six-Months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Six-Months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Ended June 30,</w:t>
            </w: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Ended June 30,</w:t>
            </w:r>
          </w:p>
        </w:tc>
        <w:tc>
          <w:tcPr>
            <w:tcW w:w="13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Ended June 30,</w:t>
            </w:r>
          </w:p>
        </w:tc>
        <w:tc>
          <w:tcPr>
            <w:tcW w:w="2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Ended 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50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3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lease cost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2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Amortization of ROU assets</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3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25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Finance lease cost</w:t>
            </w: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Total lease cost</w:t>
            </w:r>
          </w:p>
        </w:tc>
        <w:tc>
          <w:tcPr>
            <w:tcW w:w="380" w:type="dxa"/>
            <w:vAlign w:val="bottom"/>
          </w:tcPr>
          <w:p>
            <w:pPr>
              <w:spacing w:after="0"/>
              <w:rPr>
                <w:sz w:val="18"/>
                <w:szCs w:val="18"/>
                <w:color w:val="auto"/>
              </w:rPr>
            </w:pPr>
          </w:p>
        </w:tc>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3,527</w:t>
            </w: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2,608</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0" w:type="dxa"/>
            <w:vAlign w:val="bottom"/>
          </w:tcPr>
          <w:p>
            <w:pPr>
              <w:spacing w:after="0"/>
              <w:rPr>
                <w:sz w:val="1"/>
                <w:szCs w:val="1"/>
                <w:color w:val="auto"/>
              </w:rPr>
            </w:pPr>
          </w:p>
        </w:tc>
      </w:tr>
      <w:tr>
        <w:trPr>
          <w:trHeight w:val="20"/>
        </w:trPr>
        <w:tc>
          <w:tcPr>
            <w:tcW w:w="3240" w:type="dxa"/>
            <w:vAlign w:val="bottom"/>
            <w:gridSpan w:val="3"/>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Supplemental cash flow information for the following periods: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3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Six-Months</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Six-Months</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Ended June 30,</w:t>
            </w:r>
          </w:p>
        </w:tc>
        <w:tc>
          <w:tcPr>
            <w:tcW w:w="200" w:type="dxa"/>
            <w:vAlign w:val="bottom"/>
          </w:tcPr>
          <w:p>
            <w:pPr>
              <w:spacing w:after="0"/>
              <w:rPr>
                <w:sz w:val="18"/>
                <w:szCs w:val="18"/>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Ended June 30,</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20" w:type="dxa"/>
            <w:vAlign w:val="bottom"/>
            <w:tcBorders>
              <w:bottom w:val="single" w:sz="8" w:color="CCEEFF"/>
            </w:tcBorders>
          </w:tcPr>
          <w:p>
            <w:pPr>
              <w:spacing w:after="0"/>
              <w:rPr>
                <w:sz w:val="20"/>
                <w:szCs w:val="20"/>
                <w:color w:val="auto"/>
              </w:rPr>
            </w:pPr>
          </w:p>
        </w:tc>
        <w:tc>
          <w:tcPr>
            <w:tcW w:w="380" w:type="dxa"/>
            <w:vAlign w:val="bottom"/>
            <w:tcBorders>
              <w:bottom w:val="single" w:sz="8" w:color="CCEEFF"/>
            </w:tcBorders>
          </w:tcPr>
          <w:p>
            <w:pPr>
              <w:spacing w:after="0"/>
              <w:rPr>
                <w:sz w:val="20"/>
                <w:szCs w:val="20"/>
                <w:color w:val="auto"/>
              </w:rPr>
            </w:pPr>
          </w:p>
        </w:tc>
        <w:tc>
          <w:tcPr>
            <w:tcW w:w="600" w:type="dxa"/>
            <w:vAlign w:val="bottom"/>
            <w:tcBorders>
              <w:bottom w:val="single" w:sz="8" w:color="CCEEFF"/>
            </w:tcBorders>
          </w:tcPr>
          <w:p>
            <w:pPr>
              <w:spacing w:after="0"/>
              <w:rPr>
                <w:sz w:val="20"/>
                <w:szCs w:val="20"/>
                <w:color w:val="auto"/>
              </w:rPr>
            </w:pPr>
          </w:p>
        </w:tc>
        <w:tc>
          <w:tcPr>
            <w:tcW w:w="5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2022</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532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Operating cash outflows from finance leases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Financing cash outflows from finance leases</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0" w:type="dxa"/>
            <w:vAlign w:val="bottom"/>
          </w:tcPr>
          <w:p>
            <w:pPr>
              <w:spacing w:after="0"/>
              <w:rPr>
                <w:sz w:val="1"/>
                <w:szCs w:val="1"/>
                <w:color w:val="auto"/>
              </w:rPr>
            </w:pPr>
          </w:p>
        </w:tc>
      </w:tr>
      <w:tr>
        <w:trPr>
          <w:trHeight w:val="216"/>
        </w:trPr>
        <w:tc>
          <w:tcPr>
            <w:tcW w:w="340" w:type="dxa"/>
            <w:vAlign w:val="bottom"/>
            <w:vMerge w:val="restart"/>
          </w:tcPr>
          <w:p>
            <w:pPr>
              <w:spacing w:after="0"/>
              <w:rPr>
                <w:sz w:val="18"/>
                <w:szCs w:val="18"/>
                <w:color w:val="auto"/>
              </w:rPr>
            </w:pPr>
          </w:p>
        </w:tc>
        <w:tc>
          <w:tcPr>
            <w:tcW w:w="4200" w:type="dxa"/>
            <w:vAlign w:val="bottom"/>
            <w:gridSpan w:val="5"/>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vMerge w:val="continue"/>
          </w:tcPr>
          <w:p>
            <w:pPr>
              <w:spacing w:after="0"/>
              <w:rPr>
                <w:sz w:val="18"/>
                <w:szCs w:val="18"/>
                <w:color w:val="auto"/>
              </w:rPr>
            </w:pPr>
          </w:p>
        </w:tc>
        <w:tc>
          <w:tcPr>
            <w:tcW w:w="42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ROU assets obtained in exchange for lease obligations: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2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Finance leases</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leases</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ROU assets for operating and finance leases recognized in the Company’s condensed consolidated balance sheets were comprised of the following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June 30, 2022</w:t>
            </w:r>
          </w:p>
        </w:tc>
        <w:tc>
          <w:tcPr>
            <w:tcW w:w="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Real Estate</w:t>
            </w: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36,965</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$ 37,444</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2,204</w:t>
            </w: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7"/>
          </w:tcPr>
          <w:p>
            <w:pPr>
              <w:jc w:val="center"/>
              <w:ind w:right="110"/>
              <w:spacing w:after="0"/>
              <w:rPr>
                <w:sz w:val="20"/>
                <w:szCs w:val="20"/>
                <w:color w:val="auto"/>
              </w:rPr>
            </w:pPr>
            <w:r>
              <w:rPr>
                <w:rFonts w:ascii="Times New Roman" w:cs="Times New Roman" w:eastAsia="Times New Roman" w:hAnsi="Times New Roman"/>
                <w:sz w:val="18"/>
                <w:szCs w:val="18"/>
                <w:color w:val="auto"/>
              </w:rPr>
              <w:t>December 31, 2021</w:t>
            </w:r>
          </w:p>
        </w:tc>
        <w:tc>
          <w:tcPr>
            <w:tcW w:w="200" w:type="dxa"/>
            <w:vAlign w:val="bottom"/>
          </w:tcPr>
          <w:p>
            <w:pPr>
              <w:spacing w:after="0"/>
              <w:rPr>
                <w:sz w:val="24"/>
                <w:szCs w:val="24"/>
                <w:color w:val="auto"/>
              </w:rPr>
            </w:pPr>
          </w:p>
        </w:tc>
        <w:tc>
          <w:tcPr>
            <w:tcW w:w="3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Real Estate</w:t>
            </w:r>
          </w:p>
        </w:tc>
        <w:tc>
          <w:tcPr>
            <w:tcW w:w="110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Equipment</w:t>
            </w:r>
          </w:p>
        </w:tc>
        <w:tc>
          <w:tcPr>
            <w:tcW w:w="80" w:type="dxa"/>
            <w:vAlign w:val="bottom"/>
          </w:tcPr>
          <w:p>
            <w:pPr>
              <w:spacing w:after="0"/>
              <w:rPr>
                <w:sz w:val="18"/>
                <w:szCs w:val="18"/>
                <w:color w:val="auto"/>
              </w:rPr>
            </w:pPr>
          </w:p>
        </w:tc>
        <w:tc>
          <w:tcPr>
            <w:tcW w:w="6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8"/>
                <w:szCs w:val="18"/>
                <w:color w:val="auto"/>
              </w:rPr>
            </w:pPr>
          </w:p>
        </w:tc>
        <w:tc>
          <w:tcPr>
            <w:tcW w:w="31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2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8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22,518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$ 23,157</w:t>
            </w:r>
          </w:p>
        </w:tc>
        <w:tc>
          <w:tcPr>
            <w:tcW w:w="20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2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46"/>
        </w:trPr>
        <w:tc>
          <w:tcPr>
            <w:tcW w:w="1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0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Operating and finance lease liabilities recognized in the Company’s condensed consolidated balance sheets were as follows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9"/>
              </w:rPr>
              <w:t>June 30, 2022</w:t>
            </w:r>
          </w:p>
        </w:tc>
        <w:tc>
          <w:tcPr>
            <w:tcW w:w="540" w:type="dxa"/>
            <w:vAlign w:val="bottom"/>
            <w:tcBorders>
              <w:bottom w:val="single" w:sz="8" w:color="auto"/>
            </w:tcBorders>
          </w:tcPr>
          <w:p>
            <w:pPr>
              <w:spacing w:after="0"/>
              <w:rPr>
                <w:sz w:val="20"/>
                <w:szCs w:val="20"/>
                <w:color w:val="auto"/>
              </w:rPr>
            </w:pPr>
          </w:p>
        </w:tc>
      </w:tr>
      <w:tr>
        <w:trPr>
          <w:trHeight w:val="210"/>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09"/>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6,966</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29,601</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0"/>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r>
        <w:trPr>
          <w:trHeight w:val="426"/>
        </w:trPr>
        <w:tc>
          <w:tcPr>
            <w:tcW w:w="53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3"/>
          </w:tcPr>
          <w:p>
            <w:pPr>
              <w:jc w:val="center"/>
              <w:ind w:left="110"/>
              <w:spacing w:after="0"/>
              <w:rPr>
                <w:sz w:val="20"/>
                <w:szCs w:val="20"/>
                <w:color w:val="auto"/>
              </w:rPr>
            </w:pPr>
            <w:r>
              <w:rPr>
                <w:rFonts w:ascii="Times New Roman" w:cs="Times New Roman" w:eastAsia="Times New Roman" w:hAnsi="Times New Roman"/>
                <w:sz w:val="18"/>
                <w:szCs w:val="18"/>
                <w:color w:val="auto"/>
                <w:w w:val="98"/>
              </w:rPr>
              <w:t>December 31, 2021</w:t>
            </w:r>
          </w:p>
        </w:tc>
        <w:tc>
          <w:tcPr>
            <w:tcW w:w="540" w:type="dxa"/>
            <w:vAlign w:val="bottom"/>
            <w:tcBorders>
              <w:bottom w:val="single" w:sz="8" w:color="auto"/>
            </w:tcBorders>
          </w:tcPr>
          <w:p>
            <w:pPr>
              <w:spacing w:after="0"/>
              <w:rPr>
                <w:sz w:val="24"/>
                <w:szCs w:val="24"/>
                <w:color w:val="auto"/>
              </w:rPr>
            </w:pPr>
          </w:p>
        </w:tc>
      </w:tr>
      <w:tr>
        <w:trPr>
          <w:trHeight w:val="209"/>
        </w:trPr>
        <w:tc>
          <w:tcPr>
            <w:tcW w:w="53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Operating Leases</w:t>
            </w:r>
          </w:p>
        </w:tc>
        <w:tc>
          <w:tcPr>
            <w:tcW w:w="2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3,990</w:t>
            </w: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16"/>
        </w:trPr>
        <w:tc>
          <w:tcPr>
            <w:tcW w:w="5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17,389</w:t>
            </w:r>
          </w:p>
        </w:tc>
        <w:tc>
          <w:tcPr>
            <w:tcW w:w="200" w:type="dxa"/>
            <w:vAlign w:val="bottom"/>
            <w:tcBorders>
              <w:bottom w:val="single" w:sz="8" w:color="CCEEFF"/>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09"/>
        </w:trPr>
        <w:tc>
          <w:tcPr>
            <w:tcW w:w="536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21,379</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r>
      <w:tr>
        <w:trPr>
          <w:trHeight w:val="20"/>
        </w:trPr>
        <w:tc>
          <w:tcPr>
            <w:tcW w:w="5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weighted-average remaining lease terms and weighted-average discount rates for operating and finance leases at June 30, 2022 and December 31, 2021 were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820" w:type="dxa"/>
            <w:vAlign w:val="bottom"/>
            <w:gridSpan w:val="4"/>
          </w:tcPr>
          <w:p>
            <w:pPr>
              <w:ind w:left="820"/>
              <w:spacing w:after="0"/>
              <w:rPr>
                <w:sz w:val="20"/>
                <w:szCs w:val="20"/>
                <w:color w:val="auto"/>
              </w:rPr>
            </w:pPr>
            <w:r>
              <w:rPr>
                <w:rFonts w:ascii="Times New Roman" w:cs="Times New Roman" w:eastAsia="Times New Roman" w:hAnsi="Times New Roman"/>
                <w:sz w:val="18"/>
                <w:szCs w:val="18"/>
                <w:color w:val="auto"/>
              </w:rPr>
              <w:t>June 30, 2022</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09"/>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7.2</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0.9</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3.3 %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2.4 %</w:t>
            </w:r>
          </w:p>
        </w:tc>
      </w:tr>
      <w:tr>
        <w:trPr>
          <w:trHeight w:val="427"/>
        </w:trPr>
        <w:tc>
          <w:tcPr>
            <w:tcW w:w="5120" w:type="dxa"/>
            <w:vAlign w:val="bottom"/>
          </w:tcPr>
          <w:p>
            <w:pPr>
              <w:spacing w:after="0"/>
              <w:rPr>
                <w:sz w:val="24"/>
                <w:szCs w:val="24"/>
                <w:color w:val="auto"/>
              </w:rPr>
            </w:pPr>
          </w:p>
        </w:tc>
        <w:tc>
          <w:tcPr>
            <w:tcW w:w="2820" w:type="dxa"/>
            <w:vAlign w:val="bottom"/>
            <w:gridSpan w:val="4"/>
          </w:tcPr>
          <w:p>
            <w:pPr>
              <w:ind w:left="60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10"/>
        </w:trPr>
        <w:tc>
          <w:tcPr>
            <w:tcW w:w="5120" w:type="dxa"/>
            <w:vAlign w:val="bottom"/>
          </w:tcPr>
          <w:p>
            <w:pPr>
              <w:spacing w:after="0"/>
              <w:rPr>
                <w:sz w:val="18"/>
                <w:szCs w:val="18"/>
                <w:color w:val="auto"/>
              </w:rPr>
            </w:pPr>
          </w:p>
        </w:tc>
        <w:tc>
          <w:tcPr>
            <w:tcW w:w="15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1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99"/>
              </w:rPr>
              <w:t>Finance Leases</w:t>
            </w:r>
          </w:p>
        </w:tc>
        <w:tc>
          <w:tcPr>
            <w:tcW w:w="180" w:type="dxa"/>
            <w:vAlign w:val="bottom"/>
          </w:tcPr>
          <w:p>
            <w:pPr>
              <w:spacing w:after="0"/>
              <w:rPr>
                <w:sz w:val="18"/>
                <w:szCs w:val="18"/>
                <w:color w:val="auto"/>
              </w:rPr>
            </w:pPr>
          </w:p>
        </w:tc>
      </w:tr>
      <w:tr>
        <w:trPr>
          <w:trHeight w:val="210"/>
        </w:trPr>
        <w:tc>
          <w:tcPr>
            <w:tcW w:w="5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(years)</w:t>
            </w:r>
          </w:p>
        </w:tc>
        <w:tc>
          <w:tcPr>
            <w:tcW w:w="128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8.1</w:t>
            </w:r>
          </w:p>
        </w:tc>
        <w:tc>
          <w:tcPr>
            <w:tcW w:w="24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0.7</w:t>
            </w:r>
          </w:p>
        </w:tc>
        <w:tc>
          <w:tcPr>
            <w:tcW w:w="180" w:type="dxa"/>
            <w:vAlign w:val="bottom"/>
            <w:tcBorders>
              <w:top w:val="single" w:sz="8" w:color="CCEEFF"/>
            </w:tcBorders>
            <w:shd w:val="clear" w:color="auto" w:fill="CCEEFF"/>
          </w:tcPr>
          <w:p>
            <w:pPr>
              <w:spacing w:after="0"/>
              <w:rPr>
                <w:sz w:val="18"/>
                <w:szCs w:val="18"/>
                <w:color w:val="auto"/>
              </w:rPr>
            </w:pPr>
          </w:p>
        </w:tc>
      </w:tr>
      <w:tr>
        <w:trPr>
          <w:trHeight w:val="234"/>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520" w:type="dxa"/>
            <w:vAlign w:val="bottom"/>
            <w:gridSpan w:val="2"/>
          </w:tcPr>
          <w:p>
            <w:pPr>
              <w:ind w:left="980"/>
              <w:spacing w:after="0"/>
              <w:rPr>
                <w:sz w:val="20"/>
                <w:szCs w:val="20"/>
                <w:color w:val="auto"/>
              </w:rPr>
            </w:pPr>
            <w:r>
              <w:rPr>
                <w:rFonts w:ascii="Times New Roman" w:cs="Times New Roman" w:eastAsia="Times New Roman" w:hAnsi="Times New Roman"/>
                <w:sz w:val="18"/>
                <w:szCs w:val="18"/>
                <w:color w:val="auto"/>
              </w:rPr>
              <w:t>3.5 %</w:t>
            </w:r>
          </w:p>
        </w:tc>
        <w:tc>
          <w:tcPr>
            <w:tcW w:w="13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17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undiscounted future lease payments for operating and finance leases to the operating and finance leases recorded in the Company’s condensed consolidated balance sheet at June 30, 2022:</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78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color w:val="auto"/>
              </w:rPr>
              <w:t>Undiscounted Future Lease Payments</w:t>
            </w:r>
          </w:p>
        </w:tc>
      </w:tr>
      <w:tr>
        <w:trPr>
          <w:trHeight w:val="210"/>
        </w:trPr>
        <w:tc>
          <w:tcPr>
            <w:tcW w:w="4520" w:type="dxa"/>
            <w:vAlign w:val="bottom"/>
            <w:tcBorders>
              <w:bottom w:val="single" w:sz="8" w:color="CCEEFF"/>
            </w:tcBorders>
          </w:tcPr>
          <w:p>
            <w:pPr>
              <w:spacing w:after="0"/>
              <w:rPr>
                <w:sz w:val="18"/>
                <w:szCs w:val="18"/>
                <w:color w:val="auto"/>
              </w:rPr>
            </w:pPr>
          </w:p>
        </w:tc>
        <w:tc>
          <w:tcPr>
            <w:tcW w:w="64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Finance Leases</w:t>
            </w: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(excluding the six-months ended June 30, 2022)</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881</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6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4,528</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6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1,399</w:t>
            </w:r>
          </w:p>
        </w:tc>
      </w:tr>
      <w:tr>
        <w:trPr>
          <w:trHeight w:val="216"/>
        </w:trPr>
        <w:tc>
          <w:tcPr>
            <w:tcW w:w="45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(4,832)</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4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6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36,567</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0"/>
        </w:trPr>
        <w:tc>
          <w:tcPr>
            <w:tcW w:w="4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of June 30, 2022, the Company did not have any significant additional operating or finance leases that have not yet commenced.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18"/>
                <w:szCs w:val="18"/>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Loss Position</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Holding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Holding</w:t>
            </w:r>
          </w:p>
        </w:tc>
        <w:tc>
          <w:tcPr>
            <w:tcW w:w="1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Fair</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less than 12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12 Months</w:t>
            </w:r>
          </w:p>
        </w:tc>
      </w:tr>
      <w:tr>
        <w:trPr>
          <w:trHeight w:val="209"/>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208,909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812,871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807,826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0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1,408,025</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20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1,401,911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6,219</w:t>
            </w: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408"/>
        </w:trPr>
        <w:tc>
          <w:tcPr>
            <w:tcW w:w="2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Continuous</w:t>
            </w:r>
          </w:p>
        </w:tc>
        <w:tc>
          <w:tcPr>
            <w:tcW w:w="100" w:type="dxa"/>
            <w:vAlign w:val="bottom"/>
          </w:tcPr>
          <w:p>
            <w:pPr>
              <w:spacing w:after="0"/>
              <w:rPr>
                <w:sz w:val="24"/>
                <w:szCs w:val="24"/>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Continuous</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Gross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Gross</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Unrealized</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Unrealized</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Loss Position</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Loss Position</w:t>
            </w:r>
          </w:p>
        </w:tc>
      </w:tr>
      <w:tr>
        <w:trPr>
          <w:trHeight w:val="216"/>
        </w:trPr>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Amortized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Holding</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8"/>
              </w:rPr>
              <w:t>Holding</w:t>
            </w:r>
          </w:p>
        </w:tc>
        <w:tc>
          <w:tcPr>
            <w:tcW w:w="160" w:type="dxa"/>
            <w:vAlign w:val="bottom"/>
          </w:tcPr>
          <w:p>
            <w:pPr>
              <w:spacing w:after="0"/>
              <w:rPr>
                <w:sz w:val="18"/>
                <w:szCs w:val="18"/>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Fair</w:t>
            </w:r>
          </w:p>
        </w:tc>
        <w:tc>
          <w:tcPr>
            <w:tcW w:w="11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less than 12</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greater than</w:t>
            </w:r>
          </w:p>
        </w:tc>
      </w:tr>
      <w:tr>
        <w:trPr>
          <w:trHeight w:val="234"/>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100" w:type="dxa"/>
            <w:vAlign w:val="bottom"/>
          </w:tcPr>
          <w:p>
            <w:pPr>
              <w:spacing w:after="0"/>
              <w:rPr>
                <w:sz w:val="20"/>
                <w:szCs w:val="20"/>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Cost</w:t>
            </w:r>
          </w:p>
        </w:tc>
        <w:tc>
          <w:tcPr>
            <w:tcW w:w="100" w:type="dxa"/>
            <w:vAlign w:val="bottom"/>
          </w:tcPr>
          <w:p>
            <w:pPr>
              <w:spacing w:after="0"/>
              <w:rPr>
                <w:sz w:val="20"/>
                <w:szCs w:val="20"/>
                <w:color w:val="auto"/>
              </w:rPr>
            </w:pPr>
          </w:p>
        </w:tc>
        <w:tc>
          <w:tcPr>
            <w:tcW w:w="8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Gains</w:t>
            </w: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160" w:type="dxa"/>
            <w:vAlign w:val="bottom"/>
          </w:tcPr>
          <w:p>
            <w:pPr>
              <w:spacing w:after="0"/>
              <w:rPr>
                <w:sz w:val="20"/>
                <w:szCs w:val="20"/>
                <w:color w:val="auto"/>
              </w:rPr>
            </w:pPr>
          </w:p>
        </w:tc>
        <w:tc>
          <w:tcPr>
            <w:tcW w:w="10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7"/>
              </w:rPr>
              <w:t>Value</w:t>
            </w:r>
          </w:p>
        </w:tc>
        <w:tc>
          <w:tcPr>
            <w:tcW w:w="10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rPr>
              <w:t>Months</w:t>
            </w:r>
          </w:p>
        </w:tc>
        <w:tc>
          <w:tcPr>
            <w:tcW w:w="100" w:type="dxa"/>
            <w:vAlign w:val="bottom"/>
          </w:tcPr>
          <w:p>
            <w:pPr>
              <w:spacing w:after="0"/>
              <w:rPr>
                <w:sz w:val="20"/>
                <w:szCs w:val="20"/>
                <w:color w:val="auto"/>
              </w:rPr>
            </w:pPr>
          </w:p>
        </w:tc>
        <w:tc>
          <w:tcPr>
            <w:tcW w:w="9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12 Months</w:t>
            </w:r>
          </w:p>
        </w:tc>
      </w:tr>
      <w:tr>
        <w:trPr>
          <w:trHeight w:val="210"/>
        </w:trPr>
        <w:tc>
          <w:tcPr>
            <w:tcW w:w="28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Available-for-sale</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Commercial paper</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Municipal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1,307,821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30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02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U.S. treasuries</w:t>
            </w: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86,943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02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three- and six-months ended June 30, 2022 and 2021, realized gains or losses recognized on the sale of investments were not significant.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Company’s investments at June 30, 2022 and December 31, 2021 carried investment grade credit ratings.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underlying contractual maturities of the Company’s investments at: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8"/>
                <w:szCs w:val="18"/>
                <w:color w:val="auto"/>
              </w:rPr>
              <w:t>June 30, 2022</w:t>
            </w: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December 31, 2021</w:t>
            </w:r>
          </w:p>
        </w:tc>
      </w:tr>
      <w:tr>
        <w:trPr>
          <w:trHeight w:val="209"/>
        </w:trPr>
        <w:tc>
          <w:tcPr>
            <w:tcW w:w="388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7"/>
              </w:rPr>
              <w:t>Amortized Cost</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6"/>
              </w:rPr>
              <w:t>Fair Value</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w w:val="99"/>
              </w:rPr>
              <w:t>Amortized Cost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96"/>
              </w:rPr>
              <w:t>Fair Value</w:t>
            </w:r>
          </w:p>
        </w:tc>
      </w:tr>
      <w:tr>
        <w:trPr>
          <w:trHeight w:val="209"/>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than 1 year:</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Commercial paper</w:t>
            </w:r>
          </w:p>
        </w:tc>
        <w:tc>
          <w:tcPr>
            <w:tcW w:w="140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208,909</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334,077</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212,828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212,444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74,583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62,687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62,661</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Certificates of deposit</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812,871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807,826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1,308,536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1,307,821</w:t>
            </w:r>
          </w:p>
        </w:tc>
      </w:tr>
      <w:tr>
        <w:trPr>
          <w:trHeight w:val="216"/>
        </w:trPr>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Due 1 – 10 years: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3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Municipal securities</w:t>
            </w: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1,265</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treasuries</w:t>
            </w:r>
          </w:p>
        </w:tc>
        <w:tc>
          <w:tcPr>
            <w:tcW w:w="1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56,469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86,943</w:t>
            </w:r>
          </w:p>
        </w:tc>
      </w:tr>
      <w:tr>
        <w:trPr>
          <w:trHeight w:val="216"/>
        </w:trPr>
        <w:tc>
          <w:tcPr>
            <w:tcW w:w="38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1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6,417</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12,476</w:t>
            </w:r>
          </w:p>
        </w:tc>
      </w:tr>
      <w:tr>
        <w:trPr>
          <w:trHeight w:val="209"/>
        </w:trPr>
        <w:tc>
          <w:tcPr>
            <w:tcW w:w="38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1,408,025</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1,401,911</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1,850,101</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1,849,146</w:t>
            </w:r>
          </w:p>
        </w:tc>
      </w:tr>
      <w:tr>
        <w:trPr>
          <w:trHeight w:val="20"/>
        </w:trPr>
        <w:tc>
          <w:tcPr>
            <w:tcW w:w="3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VALUE OF CERTAIN FINANCIAL ASSETS AND LIABILITIES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ASC 820 provides a framework for measuring fair value and requires disclosures regarding fair value measurements. ASC 820 defines fair value as the price that would be received on the sale of an asset or paid to transfer a liability in an orderly transaction between market participants at the measurement date. ASC 820 also establishes a fair value hierarchy that requires an entity to maximize the use of observable inputs, where available. The three levels of inputs required by the standard that the Company uses to measure fair value are summarized below.</w:t>
      </w:r>
    </w:p>
    <w:p>
      <w:pPr>
        <w:spacing w:after="0" w:line="179" w:lineRule="exact"/>
        <w:rPr>
          <w:sz w:val="20"/>
          <w:szCs w:val="20"/>
          <w:color w:val="auto"/>
        </w:rPr>
      </w:pPr>
    </w:p>
    <w:p>
      <w:pPr>
        <w:ind w:left="680" w:hanging="321"/>
        <w:spacing w:after="0"/>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or liabilities.</w:t>
      </w:r>
    </w:p>
    <w:p>
      <w:pPr>
        <w:spacing w:after="0" w:line="225" w:lineRule="exact"/>
        <w:rPr>
          <w:rFonts w:ascii="Times New Roman" w:cs="Times New Roman" w:eastAsia="Times New Roman" w:hAnsi="Times New Roman"/>
          <w:sz w:val="18"/>
          <w:szCs w:val="18"/>
          <w:color w:val="auto"/>
        </w:rPr>
      </w:pPr>
    </w:p>
    <w:p>
      <w:pPr>
        <w:jc w:val="both"/>
        <w:ind w:left="680" w:right="20" w:hanging="321"/>
        <w:spacing w:after="0" w:line="268"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quoted prices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markets that are not active, or other inputs that are observable or can be corroborated by observable market data for substantially the full term of the related assets or liabilities.</w:t>
      </w:r>
    </w:p>
    <w:p>
      <w:pPr>
        <w:spacing w:after="0" w:line="170" w:lineRule="exact"/>
        <w:rPr>
          <w:rFonts w:ascii="Times New Roman" w:cs="Times New Roman" w:eastAsia="Times New Roman" w:hAnsi="Times New Roman"/>
          <w:sz w:val="18"/>
          <w:szCs w:val="18"/>
          <w:color w:val="auto"/>
        </w:rPr>
      </w:pPr>
    </w:p>
    <w:p>
      <w:pPr>
        <w:ind w:left="680" w:right="20" w:hanging="321"/>
        <w:spacing w:after="0" w:line="286" w:lineRule="auto"/>
        <w:tabs>
          <w:tab w:leader="none" w:pos="6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or liabilities.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ASC 820 requires the use of observable market inputs (quoted market prices) when measuring fair value and requires a Level 1 quoted price to be used to measure fair value whenever possible.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and liabilities that are recorded at fair value on a recurring basis, segregated among the appropriate levels within the fair value hierarchy at: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 2022</w:t>
            </w:r>
          </w:p>
        </w:tc>
        <w:tc>
          <w:tcPr>
            <w:tcW w:w="240" w:type="dxa"/>
            <w:vAlign w:val="bottom"/>
          </w:tcPr>
          <w:p>
            <w:pPr>
              <w:spacing w:after="0"/>
              <w:rPr>
                <w:sz w:val="20"/>
                <w:szCs w:val="20"/>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0"/>
                <w:szCs w:val="20"/>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932,538</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932,538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1,057,417</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74,622</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1,337,792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1,337,792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1,057,417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1,477,091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2,534,508</w:t>
            </w:r>
          </w:p>
        </w:tc>
        <w:tc>
          <w:tcPr>
            <w:tcW w:w="0" w:type="dxa"/>
            <w:vAlign w:val="bottom"/>
          </w:tcPr>
          <w:p>
            <w:pPr>
              <w:spacing w:after="0"/>
              <w:rPr>
                <w:sz w:val="1"/>
                <w:szCs w:val="1"/>
                <w:color w:val="auto"/>
              </w:rPr>
            </w:pPr>
          </w:p>
        </w:tc>
      </w:tr>
      <w:tr>
        <w:trPr>
          <w:trHeight w:val="20"/>
        </w:trPr>
        <w:tc>
          <w:tcPr>
            <w:tcW w:w="37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9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 2021</w:t>
            </w:r>
          </w:p>
        </w:tc>
        <w:tc>
          <w:tcPr>
            <w:tcW w:w="240" w:type="dxa"/>
            <w:vAlign w:val="bottom"/>
          </w:tcPr>
          <w:p>
            <w:pPr>
              <w:spacing w:after="0"/>
              <w:rPr>
                <w:sz w:val="24"/>
                <w:szCs w:val="24"/>
                <w:color w:val="auto"/>
              </w:rPr>
            </w:pPr>
          </w:p>
        </w:tc>
        <w:tc>
          <w:tcPr>
            <w:tcW w:w="13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1</w:t>
            </w:r>
          </w:p>
        </w:tc>
        <w:tc>
          <w:tcPr>
            <w:tcW w:w="240" w:type="dxa"/>
            <w:vAlign w:val="bottom"/>
          </w:tcPr>
          <w:p>
            <w:pPr>
              <w:spacing w:after="0"/>
              <w:rPr>
                <w:sz w:val="24"/>
                <w:szCs w:val="24"/>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Level 2</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Level 3</w:t>
            </w: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749,089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Certificates of deposit</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Municipal securities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government agency securities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treasuries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 currency derivatives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included in:</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136,547</w:t>
            </w:r>
          </w:p>
        </w:tc>
        <w:tc>
          <w:tcPr>
            <w:tcW w:w="120" w:type="dxa"/>
            <w:vAlign w:val="bottom"/>
          </w:tcPr>
          <w:p>
            <w:pPr>
              <w:spacing w:after="0"/>
              <w:rPr>
                <w:sz w:val="18"/>
                <w:szCs w:val="18"/>
                <w:color w:val="auto"/>
              </w:rPr>
            </w:pPr>
          </w:p>
        </w:tc>
        <w:tc>
          <w:tcPr>
            <w:tcW w:w="1120" w:type="dxa"/>
            <w:vAlign w:val="bottom"/>
            <w:gridSpan w:val="2"/>
          </w:tcPr>
          <w:p>
            <w:pPr>
              <w:jc w:val="right"/>
              <w:ind w:right="83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1,749,727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tcPr>
          <w:p>
            <w:pPr>
              <w:spacing w:after="0"/>
              <w:rPr>
                <w:sz w:val="18"/>
                <w:szCs w:val="18"/>
                <w:color w:val="auto"/>
              </w:rPr>
            </w:pPr>
          </w:p>
        </w:tc>
        <w:tc>
          <w:tcPr>
            <w:tcW w:w="13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1,189,915</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1,985,415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ind w:right="834"/>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All of the Company’s short-term and long-term investments are classified within Level 1 or Level 2 of the fair value hierarchy. The Company’s valuation of its Level 1 investments is based on quoted market prices in active markets for identical securities. The Company’s valuation of its Level 2 investments is based on other observable inputs, specifically a market approach which utilizes valuation models, pricing systems, mathematical tools and other relevant information for the same or similar securities. The Company’s valuation of its Level 2 foreign currency exchange contracts is based on quoted market prices of the same or similar instruments, adjusted for counterparty risk. There were no transfers between Level 1 and Level 2 measurements during the six-months ended June 30, 2022, or during the year-ended December 31, 2021, and there were no changes in the Company’s valuation techniques.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AND HEDGING ACTIVITIES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is exposed to foreign currency exchange rate risks related primarily to its foreign business operations. During the six-months ended June 30, 2022 and the year-ended December 31, 2021, the Company entered into forward currency exchange contracts with financial institutions to create an economic hedge to specifically manage a portion of the foreign exchange risk exposure associated with certain consolidated subsidiaries’ non-functional currency denominated assets and liabilities. All foreign currency exchange contracts of the Company that were outstanding as of June 30, 2022 have terms of one month or less. The Company does not enter into forward currency exchange contracts for speculation or trading purposes.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has not designated its foreign currency exchange contracts as hedge transactions under ASC 815. Therefore, gains and losses on the Company’s foreign currency exchange contracts are recognized in interest and other (expense) income, net, in the condensed consolidated statements of income, and are largely offset by the changes in the fair value of the underlying economically hedged item.</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notional amount and fair value of all outstanding foreign currency derivative instruments in the Company’s condensed consolidated balance sheets consist of the following at:</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June 30, 2022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280" w:type="dxa"/>
            <w:vAlign w:val="bottom"/>
            <w:tcBorders>
              <w:top w:val="single" w:sz="8" w:color="auto"/>
            </w:tcBorders>
          </w:tcPr>
          <w:p>
            <w:pPr>
              <w:jc w:val="center"/>
              <w:ind w:left="910"/>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100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jc w:val="center"/>
              <w:ind w:left="910"/>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Notional</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6"/>
              </w:rPr>
              <w:t>Fair</w:t>
            </w: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jc w:val="center"/>
              <w:ind w:left="890"/>
              <w:spacing w:after="0"/>
              <w:rPr>
                <w:sz w:val="20"/>
                <w:szCs w:val="20"/>
                <w:color w:val="auto"/>
              </w:rPr>
            </w:pPr>
            <w:r>
              <w:rPr>
                <w:rFonts w:ascii="Times New Roman" w:cs="Times New Roman" w:eastAsia="Times New Roman" w:hAnsi="Times New Roman"/>
                <w:sz w:val="18"/>
                <w:szCs w:val="18"/>
                <w:color w:val="auto"/>
                <w:w w:val="99"/>
              </w:rPr>
              <w:t>ASC 815-20</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Amount</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color w:val="auto"/>
                <w:w w:val="92"/>
              </w:rPr>
              <w:t>Value</w:t>
            </w:r>
          </w:p>
        </w:tc>
        <w:tc>
          <w:tcPr>
            <w:tcW w:w="100" w:type="dxa"/>
            <w:vAlign w:val="bottom"/>
          </w:tcPr>
          <w:p>
            <w:pPr>
              <w:spacing w:after="0"/>
              <w:rPr>
                <w:sz w:val="20"/>
                <w:szCs w:val="20"/>
                <w:color w:val="auto"/>
              </w:rPr>
            </w:pPr>
          </w:p>
        </w:tc>
        <w:tc>
          <w:tcPr>
            <w:tcW w:w="1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13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39,939</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6,495</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2,070</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MXN</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21,577</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CAD/pay USD</w:t>
            </w:r>
          </w:p>
        </w:tc>
        <w:tc>
          <w:tcPr>
            <w:tcW w:w="1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12,219</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(12)</w:t>
            </w: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1,233</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w:t>
            </w:r>
          </w:p>
        </w:tc>
        <w:tc>
          <w:tcPr>
            <w:tcW w:w="1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14,827</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94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0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661" w:right="9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1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Derivatives not designated as</w:t>
            </w:r>
          </w:p>
        </w:tc>
        <w:tc>
          <w:tcPr>
            <w:tcW w:w="2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8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hedging instruments under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Notional</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rPr>
              <w:t>Fair</w:t>
            </w: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FASB ASC 815-20</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Amount</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color w:val="auto"/>
                <w:w w:val="97"/>
              </w:rPr>
              <w:t>Value</w:t>
            </w:r>
          </w:p>
        </w:tc>
        <w:tc>
          <w:tcPr>
            <w:tcW w:w="1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Sheet Location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SGD/pay USD</w:t>
            </w:r>
          </w:p>
        </w:tc>
        <w:tc>
          <w:tcPr>
            <w:tcW w:w="3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16,544</w:t>
            </w:r>
          </w:p>
        </w:tc>
        <w:tc>
          <w:tcPr>
            <w:tcW w:w="4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COP</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RSD/pay USD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9,837</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RUB</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tcPr>
          <w:p>
            <w:pPr>
              <w:spacing w:after="0"/>
              <w:rPr>
                <w:sz w:val="18"/>
                <w:szCs w:val="18"/>
                <w:color w:val="auto"/>
              </w:rPr>
            </w:pP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GBP</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29,929</w:t>
            </w:r>
          </w:p>
        </w:tc>
        <w:tc>
          <w:tcPr>
            <w:tcW w:w="4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(666)</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AUD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(88)</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CNY</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(74)</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NZD</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EUR</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3,045</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(29)</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Receive USD/pay ZAR</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4,140</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w:t>
            </w:r>
          </w:p>
        </w:tc>
        <w:tc>
          <w:tcPr>
            <w:tcW w:w="1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Receive USD/pay DKK</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w:t>
            </w:r>
          </w:p>
        </w:tc>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net losses on derivative instruments in the condensed consolidated statements of income were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20"/>
                <w:szCs w:val="20"/>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derivatives</w:t>
            </w:r>
          </w:p>
        </w:tc>
        <w:tc>
          <w:tcPr>
            <w:tcW w:w="0" w:type="dxa"/>
            <w:vAlign w:val="bottom"/>
          </w:tcPr>
          <w:p>
            <w:pPr>
              <w:spacing w:after="0"/>
              <w:rPr>
                <w:sz w:val="1"/>
                <w:szCs w:val="1"/>
                <w:color w:val="auto"/>
              </w:rPr>
            </w:pPr>
          </w:p>
        </w:tc>
      </w:tr>
      <w:tr>
        <w:trPr>
          <w:trHeight w:val="209"/>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rPr>
              <w:t>Three-months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240" w:type="dxa"/>
            <w:vAlign w:val="bottom"/>
          </w:tcPr>
          <w:p>
            <w:pPr>
              <w:spacing w:after="0"/>
              <w:rPr>
                <w:sz w:val="16"/>
                <w:szCs w:val="16"/>
                <w:color w:val="auto"/>
              </w:rPr>
            </w:pPr>
          </w:p>
        </w:tc>
        <w:tc>
          <w:tcPr>
            <w:tcW w:w="3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ASC 815-20</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3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9"/>
              </w:rPr>
              <w:t>Amount of gain (loss)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rPr>
              <w:t>recognized in income on</w:t>
            </w:r>
          </w:p>
        </w:tc>
        <w:tc>
          <w:tcPr>
            <w:tcW w:w="0" w:type="dxa"/>
            <w:vAlign w:val="bottom"/>
          </w:tcPr>
          <w:p>
            <w:pPr>
              <w:spacing w:after="0"/>
              <w:rPr>
                <w:sz w:val="1"/>
                <w:szCs w:val="1"/>
                <w:color w:val="auto"/>
              </w:rPr>
            </w:pPr>
          </w:p>
        </w:tc>
      </w:tr>
      <w:tr>
        <w:trPr>
          <w:trHeight w:val="234"/>
        </w:trPr>
        <w:tc>
          <w:tcPr>
            <w:tcW w:w="38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Derivatives not designated as</w:t>
            </w:r>
          </w:p>
        </w:tc>
        <w:tc>
          <w:tcPr>
            <w:tcW w:w="240" w:type="dxa"/>
            <w:vAlign w:val="bottom"/>
          </w:tcPr>
          <w:p>
            <w:pPr>
              <w:spacing w:after="0"/>
              <w:rPr>
                <w:sz w:val="20"/>
                <w:szCs w:val="20"/>
                <w:color w:val="auto"/>
              </w:rPr>
            </w:pPr>
          </w:p>
        </w:tc>
        <w:tc>
          <w:tcPr>
            <w:tcW w:w="3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Location of gain (loss)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color w:val="auto"/>
                <w:w w:val="98"/>
              </w:rPr>
              <w:t>derivatives</w:t>
            </w:r>
          </w:p>
        </w:tc>
        <w:tc>
          <w:tcPr>
            <w:tcW w:w="0" w:type="dxa"/>
            <w:vAlign w:val="bottom"/>
          </w:tcPr>
          <w:p>
            <w:pPr>
              <w:spacing w:after="0"/>
              <w:rPr>
                <w:sz w:val="1"/>
                <w:szCs w:val="1"/>
                <w:color w:val="auto"/>
              </w:rPr>
            </w:pPr>
          </w:p>
        </w:tc>
      </w:tr>
      <w:tr>
        <w:trPr>
          <w:trHeight w:val="210"/>
        </w:trPr>
        <w:tc>
          <w:tcPr>
            <w:tcW w:w="38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2360" w:type="dxa"/>
            <w:vAlign w:val="bottom"/>
            <w:tcBorders>
              <w:top w:val="single" w:sz="8" w:color="auto"/>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8"/>
                <w:szCs w:val="18"/>
                <w:color w:val="auto"/>
                <w:w w:val="99"/>
              </w:rPr>
              <w:t>Six-months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38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hedging instruments under</w:t>
            </w:r>
          </w:p>
        </w:tc>
        <w:tc>
          <w:tcPr>
            <w:tcW w:w="240" w:type="dxa"/>
            <w:vAlign w:val="bottom"/>
          </w:tcPr>
          <w:p>
            <w:pPr>
              <w:spacing w:after="0"/>
              <w:rPr>
                <w:sz w:val="16"/>
                <w:szCs w:val="16"/>
                <w:color w:val="auto"/>
              </w:rPr>
            </w:pPr>
          </w:p>
        </w:tc>
        <w:tc>
          <w:tcPr>
            <w:tcW w:w="30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recognized in income on</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0"/>
              <w:spacing w:after="0" w:line="191" w:lineRule="exact"/>
              <w:rPr>
                <w:sz w:val="20"/>
                <w:szCs w:val="20"/>
                <w:color w:val="auto"/>
              </w:rPr>
            </w:pPr>
            <w:r>
              <w:rPr>
                <w:rFonts w:ascii="Times New Roman" w:cs="Times New Roman" w:eastAsia="Times New Roman" w:hAnsi="Times New Roman"/>
                <w:sz w:val="18"/>
                <w:szCs w:val="18"/>
                <w:color w:val="auto"/>
                <w:w w:val="99"/>
              </w:rPr>
              <w:t>June 30,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ASC 815-20</w:t>
            </w:r>
          </w:p>
        </w:tc>
        <w:tc>
          <w:tcPr>
            <w:tcW w:w="240" w:type="dxa"/>
            <w:vAlign w:val="bottom"/>
            <w:tcBorders>
              <w:bottom w:val="single" w:sz="8" w:color="CCEEFF"/>
            </w:tcBorders>
          </w:tcPr>
          <w:p>
            <w:pPr>
              <w:spacing w:after="0"/>
              <w:rPr>
                <w:sz w:val="20"/>
                <w:szCs w:val="20"/>
                <w:color w:val="auto"/>
              </w:rPr>
            </w:pPr>
          </w:p>
        </w:tc>
        <w:tc>
          <w:tcPr>
            <w:tcW w:w="3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derivatives</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color w:val="auto"/>
                <w:w w:val="99"/>
              </w:rPr>
              <w:t>2022</w:t>
            </w:r>
          </w:p>
        </w:tc>
        <w:tc>
          <w:tcPr>
            <w:tcW w:w="2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color w:val="auto"/>
                <w:w w:val="99"/>
              </w:rPr>
              <w:t>2021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exchange contracts</w:t>
            </w:r>
          </w:p>
        </w:tc>
        <w:tc>
          <w:tcPr>
            <w:tcW w:w="240" w:type="dxa"/>
            <w:vAlign w:val="bottom"/>
            <w:tcBorders>
              <w:bottom w:val="single" w:sz="8" w:color="CCEEFF"/>
            </w:tcBorders>
            <w:shd w:val="clear" w:color="auto" w:fill="CCEEFF"/>
          </w:tcPr>
          <w:p>
            <w:pPr>
              <w:spacing w:after="0"/>
              <w:rPr>
                <w:sz w:val="18"/>
                <w:szCs w:val="18"/>
                <w:color w:val="auto"/>
              </w:rPr>
            </w:pPr>
          </w:p>
        </w:tc>
        <w:tc>
          <w:tcPr>
            <w:tcW w:w="3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2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Inventories consist of the following at:</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June 30,</w:t>
            </w:r>
          </w:p>
        </w:tc>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3400" w:type="dxa"/>
            <w:vAlign w:val="bottom"/>
            <w:tcBorders>
              <w:bottom w:val="single" w:sz="8" w:color="CCEEFF"/>
            </w:tcBorders>
          </w:tcPr>
          <w:p>
            <w:pPr>
              <w:spacing w:after="0"/>
              <w:rPr>
                <w:sz w:val="20"/>
                <w:szCs w:val="20"/>
                <w:color w:val="auto"/>
              </w:rPr>
            </w:pPr>
          </w:p>
        </w:tc>
        <w:tc>
          <w:tcPr>
            <w:tcW w:w="22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2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479,039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349,865</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405,353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243,492</w:t>
            </w:r>
          </w:p>
        </w:tc>
      </w:tr>
      <w:tr>
        <w:trPr>
          <w:trHeight w:val="209"/>
        </w:trPr>
        <w:tc>
          <w:tcPr>
            <w:tcW w:w="34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885,948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593,357</w:t>
            </w:r>
          </w:p>
        </w:tc>
      </w:tr>
      <w:tr>
        <w:trPr>
          <w:trHeight w:val="20"/>
        </w:trPr>
        <w:tc>
          <w:tcPr>
            <w:tcW w:w="34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9.</w:t>
            </w:r>
          </w:p>
        </w:tc>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2"/>
        </w:trPr>
        <w:tc>
          <w:tcPr>
            <w:tcW w:w="400" w:type="dxa"/>
            <w:vAlign w:val="bottom"/>
          </w:tcPr>
          <w:p>
            <w:pPr>
              <w:spacing w:after="0"/>
              <w:rPr>
                <w:sz w:val="24"/>
                <w:szCs w:val="24"/>
                <w:color w:val="auto"/>
              </w:rPr>
            </w:pPr>
          </w:p>
        </w:tc>
        <w:tc>
          <w:tcPr>
            <w:tcW w:w="51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Property and equipment consist of the following at:</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27"/>
        </w:trPr>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30,</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580" w:type="dxa"/>
            <w:vAlign w:val="bottom"/>
            <w:tcBorders>
              <w:bottom w:val="single" w:sz="8" w:color="CCEEFF"/>
            </w:tcBorders>
          </w:tcPr>
          <w:p>
            <w:pPr>
              <w:spacing w:after="0"/>
              <w:rPr>
                <w:sz w:val="20"/>
                <w:szCs w:val="20"/>
                <w:color w:val="auto"/>
              </w:rPr>
            </w:pPr>
          </w:p>
        </w:tc>
        <w:tc>
          <w:tcPr>
            <w:tcW w:w="10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85,455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30,930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11,845</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8,274</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Office and computer 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21,601</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software</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Equipment</w:t>
            </w: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248,414</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190,333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Buildings</w:t>
            </w: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198,282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167,243</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Vehicles</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47,570</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45,404</w:t>
            </w:r>
          </w:p>
        </w:tc>
      </w:tr>
      <w:tr>
        <w:trPr>
          <w:trHeight w:val="209"/>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701,703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538,538</w:t>
            </w:r>
          </w:p>
        </w:tc>
      </w:tr>
      <w:tr>
        <w:trPr>
          <w:trHeight w:val="216"/>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10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(237,162)</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(224,785)</w:t>
            </w:r>
          </w:p>
        </w:tc>
      </w:tr>
      <w:tr>
        <w:trPr>
          <w:trHeight w:val="210"/>
        </w:trPr>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464,541</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313,753</w:t>
            </w:r>
          </w:p>
        </w:tc>
      </w:tr>
      <w:tr>
        <w:trPr>
          <w:trHeight w:val="20"/>
        </w:trPr>
        <w:tc>
          <w:tcPr>
            <w:tcW w:w="4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Total depreciation and amortization expense recorded was $13.8 million and $11.6 million for the three-months ended June 30, 2022 and 2021, respectively. Total depreciation and amortization expense recorded was $26.9 million and $23.3 million for the six-months ended June 30, 2022 and 2021, respectively.</w:t>
      </w:r>
    </w:p>
    <w:p>
      <w:pPr>
        <w:spacing w:after="0" w:line="176" w:lineRule="exact"/>
        <w:rPr>
          <w:sz w:val="20"/>
          <w:szCs w:val="20"/>
          <w:color w:val="auto"/>
        </w:rPr>
      </w:pPr>
    </w:p>
    <w:p>
      <w:pPr>
        <w:ind w:left="640" w:hanging="632"/>
        <w:spacing w:after="0"/>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GOODWILL AND OTHER INTANGIBLE ASSETS</w:t>
      </w:r>
    </w:p>
    <w:p>
      <w:pPr>
        <w:spacing w:after="0" w:line="225"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is a roll-forward of goodwill for the six-months ended June 30, 2022 and 2021 by reportable segment: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Brands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81,298</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$ 1,412,941</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Monster</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Energy®</w:t>
            </w:r>
          </w:p>
        </w:tc>
        <w:tc>
          <w:tcPr>
            <w:tcW w:w="120" w:type="dxa"/>
            <w:vAlign w:val="bottom"/>
          </w:tcPr>
          <w:p>
            <w:pPr>
              <w:spacing w:after="0"/>
              <w:rPr>
                <w:sz w:val="18"/>
                <w:szCs w:val="18"/>
                <w:color w:val="auto"/>
              </w:rPr>
            </w:pPr>
          </w:p>
        </w:tc>
        <w:tc>
          <w:tcPr>
            <w:tcW w:w="8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Strategic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9"/>
              </w:rPr>
              <w:t>Alcohol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Drinks</w:t>
            </w:r>
          </w:p>
        </w:tc>
        <w:tc>
          <w:tcPr>
            <w:tcW w:w="1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Brands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rPr>
              <w:t>Brands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w:t>
            </w:r>
          </w:p>
        </w:tc>
        <w:tc>
          <w:tcPr>
            <w:tcW w:w="40" w:type="dxa"/>
            <w:vAlign w:val="bottom"/>
          </w:tcPr>
          <w:p>
            <w:pPr>
              <w:spacing w:after="0"/>
              <w:rPr>
                <w:sz w:val="20"/>
                <w:szCs w:val="20"/>
                <w:color w:val="auto"/>
              </w:rPr>
            </w:pP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41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16"/>
        </w:trPr>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3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693,644</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637,999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$ 1,331,643</w:t>
            </w: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Intangible assets consist of the following at:</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100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30,</w:t>
            </w:r>
          </w:p>
        </w:tc>
        <w:tc>
          <w:tcPr>
            <w:tcW w:w="10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December 31,</w:t>
            </w: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31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20" w:type="dxa"/>
            <w:vAlign w:val="bottom"/>
            <w:tcBorders>
              <w:bottom w:val="single" w:sz="8" w:color="CCEEFF"/>
            </w:tcBorders>
          </w:tcPr>
          <w:p>
            <w:pPr>
              <w:spacing w:after="0"/>
              <w:rPr>
                <w:sz w:val="20"/>
                <w:szCs w:val="20"/>
                <w:color w:val="auto"/>
              </w:rPr>
            </w:pP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Amortizing intangibles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121,371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66,872</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amortization</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(64,771)</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(61,227)</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5,645</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0" w:type="dxa"/>
            <w:vAlign w:val="bottom"/>
          </w:tcPr>
          <w:p>
            <w:pPr>
              <w:spacing w:after="0"/>
              <w:rPr>
                <w:sz w:val="18"/>
                <w:szCs w:val="18"/>
                <w:color w:val="auto"/>
              </w:rPr>
            </w:pPr>
          </w:p>
        </w:tc>
        <w:tc>
          <w:tcPr>
            <w:tcW w:w="31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Non-amortizing intangibles</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1,166,514</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1,066,741</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00" w:type="dxa"/>
            <w:vAlign w:val="bottom"/>
          </w:tcPr>
          <w:p>
            <w:pPr>
              <w:spacing w:after="0"/>
              <w:rPr>
                <w:sz w:val="18"/>
                <w:szCs w:val="18"/>
                <w:color w:val="auto"/>
              </w:rPr>
            </w:pPr>
          </w:p>
        </w:tc>
        <w:tc>
          <w:tcPr>
            <w:tcW w:w="31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1,223,114</w:t>
            </w:r>
          </w:p>
        </w:tc>
        <w:tc>
          <w:tcPr>
            <w:tcW w:w="2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1,072,386</w:t>
            </w: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Amortizing intangibles primarily consist of customer relationships. All amortizing intangibles have been assigned an estimated finite useful life and such intangibles are amortized on a straight-line basis over the number of years that approximate their respective useful lives, generally five to fifteen years. Total amortization expense recorded was $2.0 million and $1.1 million for the three-months ended June 30, 2022 and June 30, 2021, respectively. Total amortization expense recorded was $3.5 million and $2.2 million for the six-months ended June 30, 2022 and June 30, 2021,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is the future estimated amortization expense related to amortizing intangibles as of June 30, 2022:</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(excluding the six-months ended June 30, 2022)</w:t>
            </w:r>
          </w:p>
        </w:tc>
        <w:tc>
          <w:tcPr>
            <w:tcW w:w="180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4,019</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4,745</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3,647</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1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3,646</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2027 and thereafter</w:t>
            </w:r>
          </w:p>
        </w:tc>
        <w:tc>
          <w:tcPr>
            <w:tcW w:w="14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36,896</w:t>
            </w:r>
          </w:p>
        </w:tc>
        <w:tc>
          <w:tcPr>
            <w:tcW w:w="0" w:type="dxa"/>
            <w:vAlign w:val="bottom"/>
          </w:tcPr>
          <w:p>
            <w:pPr>
              <w:spacing w:after="0"/>
              <w:rPr>
                <w:sz w:val="1"/>
                <w:szCs w:val="1"/>
                <w:color w:val="auto"/>
              </w:rPr>
            </w:pPr>
          </w:p>
        </w:tc>
      </w:tr>
      <w:tr>
        <w:trPr>
          <w:trHeight w:val="209"/>
        </w:trPr>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34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56,600</w:t>
            </w: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w w:val="90"/>
              </w:rPr>
              <w:t>11</w:t>
            </w:r>
            <w:r>
              <w:rPr>
                <w:rFonts w:ascii="Times New Roman" w:cs="Times New Roman" w:eastAsia="Times New Roman" w:hAnsi="Times New Roman"/>
                <w:sz w:val="17"/>
                <w:szCs w:val="17"/>
                <w:color w:val="auto"/>
                <w:w w:val="90"/>
              </w:rPr>
              <w:t>.</w:t>
            </w:r>
          </w:p>
        </w:tc>
        <w:tc>
          <w:tcPr>
            <w:tcW w:w="59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8"/>
                <w:szCs w:val="18"/>
                <w:color w:val="auto"/>
              </w:rPr>
              <w:t>DISTRIBUTION AGREEMENTS</w:t>
            </w:r>
          </w:p>
        </w:tc>
        <w:tc>
          <w:tcPr>
            <w:tcW w:w="14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 w:type="dxa"/>
            <w:vAlign w:val="bottom"/>
            <w:vMerge w:val="continue"/>
          </w:tcPr>
          <w:p>
            <w:pPr>
              <w:spacing w:after="0"/>
              <w:rPr>
                <w:sz w:val="24"/>
                <w:szCs w:val="24"/>
                <w:color w:val="auto"/>
              </w:rPr>
            </w:pPr>
          </w:p>
        </w:tc>
        <w:tc>
          <w:tcPr>
            <w:tcW w:w="590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the normal course of business, amounts received pursuant to new and/or amended distribution agreements entered into with certain bottlers/distributors, relating to the costs associated with terminating agreements with the Company’s prior distributors, or at the inception of certain sales/marketing programs are accounted for as deferred revenue and are recognized as revenue ratably over the anticipated life of the respective agreement, generally 20 years or program duration, as the case may be. Revenue recognized was $10.1 million and $10.4 million for the three-months ended June 30, 2022 and 2021, respectively. Revenue recognized was $20.1 million and $20.9 million for the six-months ended June 30, 2022 and 2021, respectively.</w:t>
      </w:r>
    </w:p>
    <w:p>
      <w:pPr>
        <w:spacing w:after="0" w:line="187" w:lineRule="exact"/>
        <w:rPr>
          <w:sz w:val="20"/>
          <w:szCs w:val="20"/>
          <w:color w:val="auto"/>
        </w:rPr>
      </w:pPr>
    </w:p>
    <w:p>
      <w:pPr>
        <w:ind w:left="640" w:hanging="632"/>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COMMITMENTS AND CONTINGENCIES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had purchase commitments aggregating approximately $339.1 million at June 30, 2022, which represented commitments made by the Company and its subsidiaries to various suppliers of raw materials for the production of its products. These obligations vary in terms, but are generally satisfied within one year.</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 had contractual obligations aggregating approximately $332.2 million at June 30, 2022, which related primarily to sponsorships and other marketing activities.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a credit facility with HSBC Bank (China) Company Limited, Shanghai Branch, of $15.0 million. At June 30, 2022, the interest rate on borrowings under the line of credit was 5.5%. As of June 30, 2022, $11.7 million was outstanding on this line of credit.</w:t>
      </w:r>
    </w:p>
    <w:p>
      <w:pPr>
        <w:spacing w:after="0" w:line="17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Litigation </w:t>
      </w:r>
      <w:r>
        <w:rPr>
          <w:rFonts w:ascii="Times New Roman" w:cs="Times New Roman" w:eastAsia="Times New Roman" w:hAnsi="Times New Roman"/>
          <w:sz w:val="18"/>
          <w:szCs w:val="18"/>
          <w:color w:val="auto"/>
        </w:rPr>
        <w:t>— From time to time in the normal course of business, the Company is named in litigation, including labor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employment matters, personal injury matters, consumer class actions, intellectual property matters and claims from prior distributors. Although it is not possible to predict the ultimate outcome of such litigation, based on the facts known to the Company, management believes that such litigation in aggregate will likely not have a material adverse effect on the Company’s financial position or results of operations.</w:t>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evaluates, on a quarterly basis, developments in legal proceedings and other matters that could cause an increase or decrease in the amount of the liability that is accrued, if any, and any related insurance reimbursements. As of June 30, 2022, $0.2 million of loss contingencies were included in the Company’s condensed consolidated balance sheet.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April 2022, Monster Energy Company (“MEC”) and Orange Bang, Inc. (“Orange Bang”) filed a joint motion in the United States District Court for the Central District of California to confirm a final arbitration award against Vital Pharmaceuticals, Inc. (“VPX”) that awarded MEC and Orange Bang $175.0 million and a 5% royalty on all future sales of VPX’s Bang Energy drink and other Bang-branded products as well as certain fees and costs. Pursuant to the terms of the agreement between MEC and Orange Bang, the award and future royalties will be shared equally between MEC and Orange Bang. The arbitration arose from a settlement agreement that VPX entered into in 2010 with Orange Bang, a family-owned beverage business. Pursuant to the terms of that agreement, VPX is only permitted to use the Bang mark on “creatine-based” products or on Bang products that are marketed and sold only in the vitamin and dietary supplement sections of stores. On July 1, 2022, the court granted MEC and Orange Bang’s motion to confirm the arbitrator’s award and denied VPX’s motion to vacate the arbitrator’s award. MEC and Orange Bang have requested that the Court enter final judgment. On July 28, 2022, VPX filed a notice of appeal in the United States Court of Appeals for the Ninth Circuit. Per ASC 450 “Contingencies”, the Company will not recognize the award or royalties until such time as they are realized or realizable. The award and royalties will be realized or realizable when VPX has no remaining potential for appeal or reversal of the decision and all contingencies have been resolved. As of August 5, 2022, the proceedings have yet to progress to a stage where there is sufficient information for an accurate timeline of when the awards will be realized or realizable, if at all.</w:t>
      </w:r>
    </w:p>
    <w:p>
      <w:pPr>
        <w:spacing w:after="0" w:line="211" w:lineRule="exact"/>
        <w:rPr>
          <w:sz w:val="20"/>
          <w:szCs w:val="20"/>
          <w:color w:val="auto"/>
        </w:rPr>
      </w:pPr>
    </w:p>
    <w:p>
      <w:pPr>
        <w:ind w:left="620" w:hanging="612"/>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ACCUMULATED OTHER COMPREHENSIVE LOSS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Changes in accumulated other comprehensive loss by component, after tax, for the six-months ended June 30, 2022 and 2021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Unrealized</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8"/>
              </w:rPr>
              <w:t>Currency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Losses 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w w:val="99"/>
              </w:rPr>
              <w:t>Translation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w w:val="97"/>
              </w:rPr>
              <w:t>Available-for-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color w:val="auto"/>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4"/>
          </w:tcPr>
          <w:p>
            <w:pPr>
              <w:jc w:val="center"/>
              <w:ind w:right="120"/>
              <w:spacing w:after="0"/>
              <w:rPr>
                <w:sz w:val="20"/>
                <w:szCs w:val="20"/>
                <w:color w:val="auto"/>
              </w:rPr>
            </w:pPr>
            <w:r>
              <w:rPr>
                <w:rFonts w:ascii="Times New Roman" w:cs="Times New Roman" w:eastAsia="Times New Roman" w:hAnsi="Times New Roman"/>
                <w:sz w:val="18"/>
                <w:szCs w:val="18"/>
                <w:color w:val="auto"/>
              </w:rPr>
              <w:t>Sale Securities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(68,209)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(69,165)</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(78,628)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(78,628)</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(83,792)</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(146,837)</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(152,957)</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4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8"/>
              </w:rPr>
              <w:t>Unrealized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Currency</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color w:val="auto"/>
                <w:w w:val="99"/>
              </w:rPr>
              <w:t>Gains 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Translation</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w w:val="99"/>
              </w:rPr>
              <w:t>Available-for-</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Losses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color w:val="auto"/>
                <w:w w:val="99"/>
              </w:rPr>
              <w:t>Sale Securities</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0"/>
        </w:trPr>
        <w:tc>
          <w:tcPr>
            <w:tcW w:w="586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0" w:type="dxa"/>
            <w:vAlign w:val="bottom"/>
          </w:tcPr>
          <w:p>
            <w:pPr>
              <w:spacing w:after="0"/>
              <w:rPr>
                <w:sz w:val="1"/>
                <w:szCs w:val="1"/>
                <w:color w:val="auto"/>
              </w:rPr>
            </w:pPr>
          </w:p>
        </w:tc>
      </w:tr>
      <w:tr>
        <w:trPr>
          <w:trHeight w:val="216"/>
        </w:trPr>
        <w:tc>
          <w:tcPr>
            <w:tcW w:w="5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Other comprehensive (loss) income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(19,696)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 income</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Net current-period other comprehensive (loss) income</w:t>
            </w:r>
          </w:p>
        </w:tc>
        <w:tc>
          <w:tcPr>
            <w:tcW w:w="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(19,696)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(19,856)</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2021</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(16,746)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(16,822)</w:t>
            </w:r>
          </w:p>
        </w:tc>
        <w:tc>
          <w:tcPr>
            <w:tcW w:w="0" w:type="dxa"/>
            <w:vAlign w:val="bottom"/>
          </w:tcPr>
          <w:p>
            <w:pPr>
              <w:spacing w:after="0"/>
              <w:rPr>
                <w:sz w:val="1"/>
                <w:szCs w:val="1"/>
                <w:color w:val="auto"/>
              </w:rPr>
            </w:pPr>
          </w:p>
        </w:tc>
      </w:tr>
      <w:tr>
        <w:trPr>
          <w:trHeight w:val="20"/>
        </w:trPr>
        <w:tc>
          <w:tcPr>
            <w:tcW w:w="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14.</w:t>
            </w:r>
          </w:p>
        </w:tc>
        <w:tc>
          <w:tcPr>
            <w:tcW w:w="5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TREASURY STOCK</w:t>
            </w: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40" w:type="dxa"/>
            <w:vAlign w:val="bottom"/>
            <w:vMerge w:val="continue"/>
          </w:tcPr>
          <w:p>
            <w:pPr>
              <w:spacing w:after="0"/>
              <w:rPr>
                <w:sz w:val="24"/>
                <w:szCs w:val="24"/>
                <w:color w:val="auto"/>
              </w:rPr>
            </w:pPr>
          </w:p>
        </w:tc>
        <w:tc>
          <w:tcPr>
            <w:tcW w:w="54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share repurchase program for the purchase of up to $500.0 million of the Company’s outstanding common stock (the “March 2020 Repurchase Plan”). During the three-months ended June 30, 2022, the Company purchased approximately 3.3 million shares of common stock at an average purchase price of $86.53 per share, for a total amount of approximately $284.1 million (excluding broker commissions), under the March 2020 Repurchase Plan. Such shares are included in the common stock in treasury in the accompanying condensed balance sheet at June 30, 2022. As of August 5, 2022, $157.4 million remained available for repurchase under the March 2020 Repurchase Plan.</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14, 2022, the Company’s Board of Directors authorized a share repurchase program for the purchase of up to an additional $500.0 million of the Company’s outstanding common stock (the “June 2022 Repurchase Plan”). During the three-months</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ended June 30, 2022, no shares were repurchased under the June 2022 Repurchase Plan. As of August 5, 2022, $500.0 million remained available for repurchase under the June 2022 Repurchase Plan.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June 30, 2022, 2,936 shares of common stock were purchased from employees in lieu of cash payments for options exercised or withholding taxes due for a total amount of $0.3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2022.</w:t>
      </w:r>
    </w:p>
    <w:p>
      <w:pPr>
        <w:spacing w:after="0" w:line="180" w:lineRule="exact"/>
        <w:rPr>
          <w:sz w:val="20"/>
          <w:szCs w:val="20"/>
          <w:color w:val="auto"/>
        </w:rPr>
      </w:pPr>
    </w:p>
    <w:p>
      <w:pPr>
        <w:ind w:left="640" w:hanging="632"/>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two stock-based compensation plans under which shares were available for grant at June 30, 2022: (i) the Monster Beverage Corporation 2020 Omnibus Incentive Plan, including the Monster Beverage Corporation Deferred Compensation Plan as a sub-plan thereunder, and (ii) the Monster Beverage Corporation 2017 Compensation Plan for Non-Employee Directors as Amended and Restated on February 23, 2022, including the Monster Beverage Corporation Deferred Compensation Plan for Non-Employee Directors as a sub-plan thereunder.</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$16.3 million and $17.3 million of compensation expense relating to outstanding options, restricted stock units, performance share units and other share-based awards during the three-months ended June 30, 2022 and 2021, respectively. The Company recorded $32.6 million and $35.7 million of compensation expense relating to outstanding options, restricted stock units, performance share units and other share-based awards during the six-months ended June 30, 2022 and 2021, respectively.</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tax benefit for tax deductions from non-qualified stock option exercises, disqualifying dispositions of incentive stock options and vesting of restricted stock units and performance share units for the three-months ended June 30, 2022 and 2021 was $ 2.2 million and $2.7 million, respectively. The tax benefit for tax deductions from non-qualified stock option exercises, disqualifying dispositions of incentive stock options and vesting of restricted stock units and performance share units for the six-months ended June 30, 2022 and 2021 was $2.7 million and $4.1 million,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Company’s stock-based compensation plans, all stock options granted as of June 30, 2022 were granted at prices based on the fair value of the Company’s common stock on the date of grant. The Company records compensation expense for stock options based on the estimated fair value of the options on the date of grant using the Black-Scholes-Merton option pricing formula with the assumptions included in the table below. The Company uses historical data to determine the exercise behavior, volatility and forfeiture rate of the options.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weighted-average assumptions were used to estimate the fair value of options granted during:</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3280" w:type="dxa"/>
            <w:vAlign w:val="bottom"/>
          </w:tcPr>
          <w:p>
            <w:pPr>
              <w:spacing w:after="0"/>
              <w:rPr>
                <w:sz w:val="20"/>
                <w:szCs w:val="20"/>
                <w:color w:val="auto"/>
              </w:rPr>
            </w:pPr>
          </w:p>
        </w:tc>
        <w:tc>
          <w:tcPr>
            <w:tcW w:w="2460" w:type="dxa"/>
            <w:vAlign w:val="bottom"/>
            <w:gridSpan w:val="4"/>
          </w:tcPr>
          <w:p>
            <w:pPr>
              <w:jc w:val="right"/>
              <w:ind w:right="170"/>
              <w:spacing w:after="0"/>
              <w:rPr>
                <w:sz w:val="20"/>
                <w:szCs w:val="20"/>
                <w:color w:val="auto"/>
              </w:rPr>
            </w:pPr>
            <w:r>
              <w:rPr>
                <w:rFonts w:ascii="Times New Roman" w:cs="Times New Roman" w:eastAsia="Times New Roman" w:hAnsi="Times New Roman"/>
                <w:sz w:val="18"/>
                <w:szCs w:val="18"/>
                <w:color w:val="auto"/>
                <w:w w:val="99"/>
              </w:rPr>
              <w:t>Three-Months Ended June 30,</w:t>
            </w:r>
          </w:p>
        </w:tc>
        <w:tc>
          <w:tcPr>
            <w:tcW w:w="2200" w:type="dxa"/>
            <w:vAlign w:val="bottom"/>
            <w:gridSpan w:val="4"/>
          </w:tcPr>
          <w:p>
            <w:pPr>
              <w:jc w:val="right"/>
              <w:ind w:right="110"/>
              <w:spacing w:after="0"/>
              <w:rPr>
                <w:sz w:val="20"/>
                <w:szCs w:val="20"/>
                <w:color w:val="auto"/>
              </w:rPr>
            </w:pPr>
            <w:r>
              <w:rPr>
                <w:rFonts w:ascii="Times New Roman" w:cs="Times New Roman" w:eastAsia="Times New Roman" w:hAnsi="Times New Roman"/>
                <w:sz w:val="18"/>
                <w:szCs w:val="18"/>
                <w:color w:val="auto"/>
                <w:w w:val="98"/>
              </w:rPr>
              <w:t>Six-Months Ended June 30,</w:t>
            </w:r>
          </w:p>
        </w:tc>
      </w:tr>
      <w:tr>
        <w:trPr>
          <w:trHeight w:val="210"/>
        </w:trPr>
        <w:tc>
          <w:tcPr>
            <w:tcW w:w="3280" w:type="dxa"/>
            <w:vAlign w:val="bottom"/>
            <w:tcBorders>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Borders>
              <w:top w:val="single" w:sz="8" w:color="auto"/>
              <w:bottom w:val="single" w:sz="8" w:color="CCEEFF"/>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2021</w:t>
            </w:r>
          </w:p>
        </w:tc>
        <w:tc>
          <w:tcPr>
            <w:tcW w:w="160" w:type="dxa"/>
            <w:vAlign w:val="bottom"/>
            <w:tcBorders>
              <w:bottom w:val="single" w:sz="8" w:color="CCEEFF"/>
            </w:tcBorders>
          </w:tcPr>
          <w:p>
            <w:pPr>
              <w:spacing w:after="0"/>
              <w:rPr>
                <w:sz w:val="18"/>
                <w:szCs w:val="18"/>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29"/>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29.0 %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28.9 %</w:t>
            </w:r>
          </w:p>
        </w:tc>
      </w:tr>
      <w:tr>
        <w:trPr>
          <w:trHeight w:val="23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0.9 %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3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2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6.2 years</w:t>
            </w:r>
          </w:p>
        </w:tc>
        <w:tc>
          <w:tcPr>
            <w:tcW w:w="12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5.9 years</w:t>
            </w:r>
          </w:p>
        </w:tc>
        <w:tc>
          <w:tcPr>
            <w:tcW w:w="11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6.0 years</w:t>
            </w:r>
          </w:p>
        </w:tc>
        <w:tc>
          <w:tcPr>
            <w:tcW w:w="110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5.8 years</w:t>
            </w:r>
          </w:p>
        </w:tc>
      </w:tr>
    </w:tbl>
    <w:p>
      <w:pPr>
        <w:spacing w:after="0" w:line="17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Expected Volatility</w:t>
      </w:r>
      <w:r>
        <w:rPr>
          <w:rFonts w:ascii="Times New Roman" w:cs="Times New Roman" w:eastAsia="Times New Roman" w:hAnsi="Times New Roman"/>
          <w:sz w:val="18"/>
          <w:szCs w:val="18"/>
          <w:color w:val="auto"/>
        </w:rPr>
        <w:t>: The Company uses historical volatility as it provides a reasonable estimate of the expected volatility.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Historical volatility is based on the most recent volatility of the stock price over a period of time equivalent to the expected term of the option.</w:t>
      </w:r>
    </w:p>
    <w:p>
      <w:pPr>
        <w:spacing w:after="0" w:line="17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 The risk-free interest rate is based on the U.S. treasury zero-coupon yield curve in effect at the time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for the expected term of the option.</w:t>
      </w: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 The Company’s expected term represents the weighted-average period that the Company’s stock options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expected to be outstanding. The expected term is based on the expected time to post-vesting exercise of options by employees. The Company uses historical exercise patterns of previously granted options to derive employee behavioral patterns used to forecast expected exercise patterns.</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Company’s activities with respect to its stock option plans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Weighted-</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5"/>
              </w:rPr>
              <w:t>Average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Remaining</w:t>
            </w: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Number of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Exercise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Contractual</w:t>
            </w:r>
          </w:p>
        </w:tc>
        <w:tc>
          <w:tcPr>
            <w:tcW w:w="120" w:type="dxa"/>
            <w:vAlign w:val="bottom"/>
          </w:tcPr>
          <w:p>
            <w:pPr>
              <w:spacing w:after="0"/>
              <w:rPr>
                <w:sz w:val="18"/>
                <w:szCs w:val="18"/>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Aggregate</w:t>
            </w:r>
          </w:p>
        </w:tc>
      </w:tr>
      <w:tr>
        <w:trPr>
          <w:trHeight w:val="216"/>
        </w:trPr>
        <w:tc>
          <w:tcPr>
            <w:tcW w:w="5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Shares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Price Per</w:t>
            </w:r>
          </w:p>
        </w:tc>
        <w:tc>
          <w:tcPr>
            <w:tcW w:w="11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7"/>
              </w:rPr>
              <w:t>Term (in</w:t>
            </w:r>
          </w:p>
        </w:tc>
        <w:tc>
          <w:tcPr>
            <w:tcW w:w="120" w:type="dxa"/>
            <w:vAlign w:val="bottom"/>
          </w:tcPr>
          <w:p>
            <w:pPr>
              <w:spacing w:after="0"/>
              <w:rPr>
                <w:sz w:val="18"/>
                <w:szCs w:val="18"/>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Intrinsic</w:t>
            </w:r>
          </w:p>
        </w:tc>
      </w:tr>
      <w:tr>
        <w:trPr>
          <w:trHeight w:val="234"/>
        </w:trPr>
        <w:tc>
          <w:tcPr>
            <w:tcW w:w="5200" w:type="dxa"/>
            <w:vAlign w:val="bottom"/>
            <w:gridSpan w:val="2"/>
          </w:tcPr>
          <w:p>
            <w:pPr>
              <w:ind w:left="2220"/>
              <w:spacing w:after="0"/>
              <w:rPr>
                <w:sz w:val="20"/>
                <w:szCs w:val="20"/>
                <w:color w:val="auto"/>
              </w:rPr>
            </w:pPr>
            <w:r>
              <w:rPr>
                <w:rFonts w:ascii="Times New Roman" w:cs="Times New Roman" w:eastAsia="Times New Roman" w:hAnsi="Times New Roman"/>
                <w:sz w:val="18"/>
                <w:szCs w:val="18"/>
                <w:color w:val="auto"/>
              </w:rPr>
              <w:t>Options</w:t>
            </w:r>
          </w:p>
        </w:tc>
        <w:tc>
          <w:tcPr>
            <w:tcW w:w="1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thousands)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Share</w:t>
            </w:r>
          </w:p>
        </w:tc>
        <w:tc>
          <w:tcPr>
            <w:tcW w:w="1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7"/>
              </w:rPr>
              <w:t>Value</w:t>
            </w:r>
          </w:p>
        </w:tc>
      </w:tr>
      <w:tr>
        <w:trPr>
          <w:trHeight w:val="209"/>
        </w:trPr>
        <w:tc>
          <w:tcPr>
            <w:tcW w:w="50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13,860</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48.19</w:t>
            </w:r>
          </w:p>
        </w:tc>
        <w:tc>
          <w:tcPr>
            <w:tcW w:w="1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663,148</w:t>
            </w: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 01/01/22 – 03/31/22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Granted 04/01/22 – 06/30/22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88.05</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52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43.50</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52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Cancelled or forfeited</w:t>
            </w: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74.32</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09"/>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June 30, 2022</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15,749</w:t>
            </w:r>
          </w:p>
        </w:tc>
        <w:tc>
          <w:tcPr>
            <w:tcW w:w="8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636,392</w:t>
            </w:r>
          </w:p>
        </w:tc>
      </w:tr>
      <w:tr>
        <w:trPr>
          <w:trHeight w:val="216"/>
        </w:trPr>
        <w:tc>
          <w:tcPr>
            <w:tcW w:w="5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in the future at June 30,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15,308</w:t>
            </w:r>
          </w:p>
        </w:tc>
        <w:tc>
          <w:tcPr>
            <w:tcW w:w="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51.67</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628,074</w:t>
            </w:r>
          </w:p>
        </w:tc>
      </w:tr>
      <w:tr>
        <w:trPr>
          <w:trHeight w:val="234"/>
        </w:trPr>
        <w:tc>
          <w:tcPr>
            <w:tcW w:w="5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Exercisable at June 30,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w:t>
            </w:r>
          </w:p>
        </w:tc>
        <w:tc>
          <w:tcPr>
            <w:tcW w:w="80" w:type="dxa"/>
            <w:vAlign w:val="bottom"/>
          </w:tcPr>
          <w:p>
            <w:pPr>
              <w:spacing w:after="0"/>
              <w:rPr>
                <w:sz w:val="20"/>
                <w:szCs w:val="20"/>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42.99</w:t>
            </w: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525,344</w:t>
            </w:r>
          </w:p>
        </w:tc>
      </w:tr>
    </w:tbl>
    <w:p>
      <w:pPr>
        <w:spacing w:after="0" w:line="17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weighted-average grant-date fair value of options granted during the three-months ended June 30, 2022 and 2021 was $29.92 per share and $26.89 per share, respectively. The weighted-average grant-date fair value of options granted during the six-months ended June 30, 2022 and 2021 was $23.23 per share and $25.79 per share, respectively.</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of options exercised during the three-months ended June 30, 2022 and 2021 was $18.0 million and $21.0 million, respectively. The total intrinsic value of options exercised during the six-months ended June 30, 2022 and 2021 was $22.9 million and $28.2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Cash received from option exercises under all plans for the three-months ended June 30, 2022 and 2021 was $18.1 million and $17.7 million, respectively. Cash received from option exercises under all plans for the six-months ended June 30, 2022 and 2021 was $22.6 million and $24.5 million,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2022, there was $86.1 million of total unrecognized compensation expense related to non-vested options granted to employees under the Company’s stock-based compensation plans. That cost is expected to be recognized over a weighted-average period of 3.2 years.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 and Performance Share Units</w:t>
      </w:r>
    </w:p>
    <w:p>
      <w:pPr>
        <w:spacing w:after="0" w:line="227"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cost of stock-based compensation for restricted stock units and performance share units is measured based on the closing fair market value of the Company’s common stock at the date of grant. In the event that the Company has the option and intent to settle a restricted stock unit or performance share unit in cash, the award is classified as a liability and revalued at each balance sheet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activities with respect to non-vested restricted stock units and performance share units as follows: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7"/>
              </w:rPr>
              <w:t>Weighted</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Average</w:t>
            </w:r>
          </w:p>
        </w:tc>
      </w:tr>
      <w:tr>
        <w:trPr>
          <w:trHeight w:val="216"/>
        </w:trPr>
        <w:tc>
          <w:tcPr>
            <w:tcW w:w="594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(in</w:t>
            </w:r>
          </w:p>
        </w:tc>
        <w:tc>
          <w:tcPr>
            <w:tcW w:w="180" w:type="dxa"/>
            <w:vAlign w:val="bottom"/>
          </w:tcPr>
          <w:p>
            <w:pPr>
              <w:spacing w:after="0"/>
              <w:rPr>
                <w:sz w:val="18"/>
                <w:szCs w:val="18"/>
                <w:color w:val="auto"/>
              </w:rPr>
            </w:pPr>
          </w:p>
        </w:tc>
        <w:tc>
          <w:tcPr>
            <w:tcW w:w="9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Grant-Date</w:t>
            </w:r>
          </w:p>
        </w:tc>
      </w:tr>
      <w:tr>
        <w:trPr>
          <w:trHeight w:val="234"/>
        </w:trPr>
        <w:tc>
          <w:tcPr>
            <w:tcW w:w="5940" w:type="dxa"/>
            <w:vAlign w:val="bottom"/>
            <w:tcBorders>
              <w:bottom w:val="single" w:sz="8" w:color="CCEEFF"/>
            </w:tcBorders>
          </w:tcPr>
          <w:p>
            <w:pPr>
              <w:spacing w:after="0"/>
              <w:rPr>
                <w:sz w:val="20"/>
                <w:szCs w:val="20"/>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thousands)</w:t>
            </w:r>
          </w:p>
        </w:tc>
        <w:tc>
          <w:tcPr>
            <w:tcW w:w="18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99"/>
              </w:rPr>
              <w:t>Fair Value</w:t>
            </w: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Non-vested at January 1, 2022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69.02</w:t>
            </w:r>
          </w:p>
        </w:tc>
      </w:tr>
      <w:tr>
        <w:trPr>
          <w:trHeight w:val="216"/>
        </w:trPr>
        <w:tc>
          <w:tcPr>
            <w:tcW w:w="5940" w:type="dxa"/>
            <w:vAlign w:val="bottom"/>
          </w:tcPr>
          <w:p>
            <w:pPr>
              <w:ind w:left="100"/>
              <w:spacing w:after="0" w:line="216" w:lineRule="exact"/>
              <w:rPr>
                <w:sz w:val="20"/>
                <w:szCs w:val="20"/>
                <w:color w:val="auto"/>
              </w:rPr>
            </w:pPr>
            <w:r>
              <w:rPr>
                <w:rFonts w:ascii="Times New Roman" w:cs="Times New Roman" w:eastAsia="Times New Roman" w:hAnsi="Times New Roman"/>
                <w:sz w:val="17"/>
                <w:szCs w:val="17"/>
                <w:color w:val="auto"/>
              </w:rPr>
              <w:t>Granted 01/01/22 - 03/31/22</w:t>
            </w:r>
            <w:r>
              <w:rPr>
                <w:rFonts w:ascii="Times New Roman" w:cs="Times New Roman" w:eastAsia="Times New Roman" w:hAnsi="Times New Roman"/>
                <w:sz w:val="25"/>
                <w:szCs w:val="25"/>
                <w:color w:val="auto"/>
                <w:vertAlign w:val="superscript"/>
              </w:rPr>
              <w:t>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71.88</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Granted 04/01/22 - 06/30/22</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r>
      <w:tr>
        <w:trPr>
          <w:trHeight w:val="216"/>
        </w:trPr>
        <w:tc>
          <w:tcPr>
            <w:tcW w:w="5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Vested</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r>
      <w:tr>
        <w:trPr>
          <w:trHeight w:val="216"/>
        </w:trPr>
        <w:tc>
          <w:tcPr>
            <w:tcW w:w="5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71.54</w:t>
            </w:r>
          </w:p>
        </w:tc>
      </w:tr>
      <w:tr>
        <w:trPr>
          <w:trHeight w:val="209"/>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Non-vested at June 30, 2022</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72.42</w:t>
            </w:r>
          </w:p>
        </w:tc>
      </w:tr>
      <w:tr>
        <w:trPr>
          <w:trHeight w:val="20"/>
        </w:trPr>
        <w:tc>
          <w:tcPr>
            <w:tcW w:w="59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bl>
    <w:p>
      <w:pPr>
        <w:spacing w:after="0" w:line="187" w:lineRule="exact"/>
        <w:rPr>
          <w:sz w:val="20"/>
          <w:szCs w:val="20"/>
          <w:color w:val="auto"/>
        </w:rPr>
      </w:pPr>
    </w:p>
    <w:p>
      <w:pPr>
        <w:jc w:val="both"/>
        <w:spacing w:after="0" w:line="204" w:lineRule="auto"/>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The grant activity for performance share units is recorded based on the target performance level earning 100% of target performance share units. The actual number of performance share units earned could range from 0% to 200% of target depending on the achievement of pre-established performance goals.</w:t>
      </w:r>
    </w:p>
    <w:p>
      <w:pPr>
        <w:spacing w:after="0" w:line="18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weighted-average grant-date fair value of restricted stock units and/or performance share units granted during the three-months ended June 30, 2022 and 2021 was $87.52 and $92.14 per share, respectively. The weighted-average grant-date fair value of restricted stock units and/or performance share units granted during the six-months ended June 30, 2022 and 2021 was $73.95 and $89.12 per share, respectively.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2022, 1.0 million of restricted stock units and performance share units are expected to vest over their respective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At June 30, 2022, total unrecognized compensation expense relating to non-vested restricted stock units and performance share units was $50.6 million, which is expected to be recognized over a weighted-average period of 2.1 years.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Share-Based Awards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granted other share-based awards to certain employees that are payable in cash. These awards are classified as liabilities and are valued based on the fair value of the award at the grant date and are remeasured at each reporting date until settlement, with compensation expense being recognized in proportion to the completed requisite service period up until date of settlement. At June 30, 2022, other share-based awards outstanding included grants that vest over three years payable in the first quarters of 2023, 2024 and 2025.</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At June 30, 2022, there was $0.3 million of total unrecognized compensation expense related to nonvested other share-based awards granted to employees under the Company’s stock-based compensation plans. That cost is expected to be recognized over a weighted-average period of 0.5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40" w:hanging="632"/>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roll-forward of the Company’s total gross unrecognized tax benefits, not including interest and penalties, for the six-months ended June 30, 2022:</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Unrecognized</w:t>
            </w:r>
          </w:p>
        </w:tc>
      </w:tr>
      <w:tr>
        <w:trPr>
          <w:trHeight w:val="234"/>
        </w:trPr>
        <w:tc>
          <w:tcPr>
            <w:tcW w:w="64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Tax Benefits</w:t>
            </w:r>
          </w:p>
        </w:tc>
      </w:tr>
      <w:tr>
        <w:trPr>
          <w:trHeight w:val="209"/>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current year</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for tax positions related to the prior years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Increases for tax positions related to the prior years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09"/>
        </w:trPr>
        <w:tc>
          <w:tcPr>
            <w:tcW w:w="6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2022</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2,008</w:t>
            </w: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in the provision for income taxes in the Company’s condensed consolidated financial statements. As of June 30, 2022, the Company had approximately $0.3 million in accrued interest and penalties related to unrecognized tax benefits. If the Company were to prevail on all uncertain tax positions, the resultant impact on the Company’s effective tax rate would not be significant. It is expected that any change in the amount of unrecognized tax benefits within the next 12 months will not be significant.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is subject to U.S. federal income tax as well as to income tax in multiple state and foreign jurisdictions.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 various stages of examination with certain states and certain foreign jurisdictions, including the United Kingdom and Ireland. The Company’s 2018 through 2021 U.S. federal income tax returns are subject to examination by the IRS. The Company’s state income tax returns are subject to examination for the 2017 through 2021 tax years.</w:t>
      </w:r>
    </w:p>
    <w:p>
      <w:pPr>
        <w:spacing w:after="0" w:line="176" w:lineRule="exact"/>
        <w:rPr>
          <w:sz w:val="20"/>
          <w:szCs w:val="20"/>
          <w:color w:val="auto"/>
        </w:rPr>
      </w:pPr>
    </w:p>
    <w:p>
      <w:pPr>
        <w:ind w:left="640" w:hanging="632"/>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the weighted-average shares used in the basic and diluted earnings per common share computations is presented below (in thousands):</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600" w:type="dxa"/>
            <w:vAlign w:val="bottom"/>
          </w:tcPr>
          <w:p>
            <w:pPr>
              <w:spacing w:after="0"/>
              <w:rPr>
                <w:sz w:val="18"/>
                <w:szCs w:val="18"/>
                <w:color w:val="auto"/>
              </w:rPr>
            </w:pPr>
          </w:p>
        </w:tc>
        <w:tc>
          <w:tcPr>
            <w:tcW w:w="176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color w:val="auto"/>
              </w:rPr>
              <w:t>Three-Months Ended</w:t>
            </w:r>
          </w:p>
        </w:tc>
        <w:tc>
          <w:tcPr>
            <w:tcW w:w="158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Six-Months Ended</w:t>
            </w:r>
          </w:p>
        </w:tc>
      </w:tr>
      <w:tr>
        <w:trPr>
          <w:trHeight w:val="234"/>
        </w:trPr>
        <w:tc>
          <w:tcPr>
            <w:tcW w:w="4600" w:type="dxa"/>
            <w:vAlign w:val="bottom"/>
          </w:tcPr>
          <w:p>
            <w:pPr>
              <w:spacing w:after="0"/>
              <w:rPr>
                <w:sz w:val="20"/>
                <w:szCs w:val="20"/>
                <w:color w:val="auto"/>
              </w:rPr>
            </w:pPr>
          </w:p>
        </w:tc>
        <w:tc>
          <w:tcPr>
            <w:tcW w:w="1760" w:type="dxa"/>
            <w:vAlign w:val="bottom"/>
            <w:gridSpan w:val="4"/>
          </w:tcPr>
          <w:p>
            <w:pPr>
              <w:jc w:val="center"/>
              <w:ind w:right="240"/>
              <w:spacing w:after="0"/>
              <w:rPr>
                <w:sz w:val="20"/>
                <w:szCs w:val="20"/>
                <w:color w:val="auto"/>
              </w:rPr>
            </w:pPr>
            <w:r>
              <w:rPr>
                <w:rFonts w:ascii="Times New Roman" w:cs="Times New Roman" w:eastAsia="Times New Roman" w:hAnsi="Times New Roman"/>
                <w:sz w:val="18"/>
                <w:szCs w:val="18"/>
                <w:color w:val="auto"/>
                <w:w w:val="99"/>
              </w:rPr>
              <w:t>June 30,</w:t>
            </w:r>
          </w:p>
        </w:tc>
        <w:tc>
          <w:tcPr>
            <w:tcW w:w="1580" w:type="dxa"/>
            <w:vAlign w:val="bottom"/>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June 30,</w:t>
            </w:r>
          </w:p>
        </w:tc>
      </w:tr>
      <w:tr>
        <w:trPr>
          <w:trHeight w:val="209"/>
        </w:trPr>
        <w:tc>
          <w:tcPr>
            <w:tcW w:w="46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CCEEFF"/>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528,617</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528,653</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529,009</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528,425</w:t>
            </w:r>
          </w:p>
        </w:tc>
      </w:tr>
      <w:tr>
        <w:trPr>
          <w:trHeight w:val="216"/>
        </w:trPr>
        <w:tc>
          <w:tcPr>
            <w:tcW w:w="46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6,194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r>
      <w:tr>
        <w:trPr>
          <w:trHeight w:val="210"/>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534,811</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535,557</w:t>
            </w:r>
          </w:p>
        </w:tc>
        <w:tc>
          <w:tcPr>
            <w:tcW w:w="200" w:type="dxa"/>
            <w:vAlign w:val="bottom"/>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535,209</w:t>
            </w:r>
          </w:p>
        </w:tc>
        <w:tc>
          <w:tcPr>
            <w:tcW w:w="20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535,324</w:t>
            </w:r>
          </w:p>
        </w:tc>
      </w:tr>
      <w:tr>
        <w:trPr>
          <w:trHeight w:val="20"/>
        </w:trPr>
        <w:tc>
          <w:tcPr>
            <w:tcW w:w="46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three-months ended June 30, 2022 and 2021, options and awards outstanding totaling 3.5 million shares and 1.0 million shares, respectively, were excluded from the calculations as their effect would have been antidilutive. For the six-months ended June 30, 2022 and 2021, options and awards outstanding totaling 2.5 million shares and 0.6 million shares, respectively, were excluded from the calculations as their effect would have been antidilutive.</w:t>
      </w:r>
    </w:p>
    <w:p>
      <w:pPr>
        <w:spacing w:after="0" w:line="180" w:lineRule="exact"/>
        <w:rPr>
          <w:sz w:val="20"/>
          <w:szCs w:val="20"/>
          <w:color w:val="auto"/>
        </w:rPr>
      </w:pPr>
    </w:p>
    <w:p>
      <w:pPr>
        <w:ind w:left="680" w:hanging="672"/>
        <w:spacing w:after="0"/>
        <w:tabs>
          <w:tab w:leader="none" w:pos="6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INFORMATION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has four operating and reportable segments: (i) Monster Energy® Drinks segment, which is primarily comprised of the Company’s Monster Energy® drinks, Reign Total Body Fuel® high performance energy drinks and True North® Pure Energy Seltzers, (ii) Strategic Brands segment, which is primarily comprised of the various energy drink brands acquired from TCCC in 2015 as well as the Company’s affordable energy brands, (iii) Alcohol Brands segment, which is primarily comprised of the various craft beers and hard seltzers purchased as part of the CANarchy Transaction on February 17, 2022 and (iv) Other segment, which is comprised of the AFF Third-Party Products.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Company’s Monster Energy® Drinks segment primarily generates net operating revenues by selling ready-to-drink packaged drinks primarily to bottlers/distributors. In some cases, the Company sells ready-to-drink packaged drinks directly to retail grocery and specialty chains, wholesalers, club stores, mass merchandisers, convenience chains, drug stores, foodservice customers, value stores, e-commerce retailers and the military.</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Company’s Strategic Brands segment primarily generates net operating revenues by selling “concentrates” and/or “beverage bases” to authorized bottling and canning operations. Such bottlers generally combine the concentrates and/or beverage bases with sweeteners, water and other ingredients to produce ready-to-drink packaged energy drinks. The ready-to-drink packaged energy drinks are then sold by such bottlers to other bottlers/distributors and to retail grocery and specialty chains, wholesalers, club stores, mass merchandisers, convenience chains, foodservice customers, drug stores, value stores, e-commerce retailers and the military. To a lesser extent, the Strategic Brands segment generates net operating revenues by selling certain ready-to-drink packaged energy drinks to bottlers/distributors.</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Generally, the Monster Energy® Drinks segment generates higher per case net operating revenues, but lower per case gross profit margin percentages than the Strategic Brands segment.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Company’s Alcohol Brands segment primarily generates operating revenues by selling kegged and canned beer as well as hard seltzers primarily to distributors in the United States.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 the Alcohol Brands segment will have lower gross profit margin percentages than the Monster Energy® Drinks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segment.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amounts that do not relate to a reportable segment have been allocated to “Corporate &amp; Unallocated.” No asset information, other than goodwill and other intangible assets, has been provided in the Company’s reportable segments, as management does not measure or allocate such assets on a segment basis.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net revenues derived from the Company’s reportable segments and other financial information related thereto for the three-and six-months ended June 30, 2022 and 2021 are as follows: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rPr>
              <w:t>Six-Months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10"/>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1,537,690</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1,367,094</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2,942,536</w:t>
            </w:r>
          </w:p>
        </w:tc>
        <w:tc>
          <w:tcPr>
            <w:tcW w:w="10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2,537,374</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79,142</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154,744</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32,447</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47,654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2,705,751</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08"/>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rPr>
              <w:t>Six-Months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09"/>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441,719</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547,269</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896,282</w:t>
            </w:r>
          </w:p>
        </w:tc>
        <w:tc>
          <w:tcPr>
            <w:tcW w:w="10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1,012,088</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41,500</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98,695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99,214</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(4,657)</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(9,611)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(106,645)</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(77,598)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(215,088)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(175,203)</w:t>
            </w:r>
          </w:p>
        </w:tc>
      </w:tr>
      <w:tr>
        <w:trPr>
          <w:trHeight w:val="209"/>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372,951</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525,975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940,123</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r>
      <w:tr>
        <w:trPr>
          <w:trHeight w:val="408"/>
        </w:trPr>
        <w:tc>
          <w:tcPr>
            <w:tcW w:w="3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gridSpan w:val="5"/>
          </w:tcPr>
          <w:p>
            <w:pPr>
              <w:jc w:val="center"/>
              <w:ind w:right="130"/>
              <w:spacing w:after="0"/>
              <w:rPr>
                <w:sz w:val="20"/>
                <w:szCs w:val="20"/>
                <w:color w:val="auto"/>
              </w:rPr>
            </w:pPr>
            <w:r>
              <w:rPr>
                <w:rFonts w:ascii="Times New Roman" w:cs="Times New Roman" w:eastAsia="Times New Roman" w:hAnsi="Times New Roman"/>
                <w:sz w:val="18"/>
                <w:szCs w:val="18"/>
                <w:color w:val="auto"/>
              </w:rPr>
              <w:t>Six-Months Ended</w:t>
            </w:r>
          </w:p>
        </w:tc>
      </w:tr>
      <w:tr>
        <w:trPr>
          <w:trHeight w:val="234"/>
        </w:trPr>
        <w:tc>
          <w:tcPr>
            <w:tcW w:w="34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jc w:val="center"/>
              <w:ind w:left="530"/>
              <w:spacing w:after="0"/>
              <w:rPr>
                <w:sz w:val="20"/>
                <w:szCs w:val="20"/>
                <w:color w:val="auto"/>
              </w:rPr>
            </w:pPr>
            <w:r>
              <w:rPr>
                <w:rFonts w:ascii="Times New Roman" w:cs="Times New Roman" w:eastAsia="Times New Roman" w:hAnsi="Times New Roman"/>
                <w:sz w:val="18"/>
                <w:szCs w:val="18"/>
                <w:color w:val="auto"/>
                <w:w w:val="99"/>
              </w:rPr>
              <w:t>June 30,</w:t>
            </w:r>
          </w:p>
        </w:tc>
        <w:tc>
          <w:tcPr>
            <w:tcW w:w="880" w:type="dxa"/>
            <w:vAlign w:val="bottom"/>
            <w:tcBorders>
              <w:bottom w:val="single" w:sz="8" w:color="auto"/>
            </w:tcBorders>
          </w:tcPr>
          <w:p>
            <w:pPr>
              <w:spacing w:after="0"/>
              <w:rPr>
                <w:sz w:val="20"/>
                <w:szCs w:val="20"/>
                <w:color w:val="auto"/>
              </w:rPr>
            </w:pPr>
          </w:p>
        </w:tc>
      </w:tr>
      <w:tr>
        <w:trPr>
          <w:trHeight w:val="210"/>
        </w:trPr>
        <w:tc>
          <w:tcPr>
            <w:tcW w:w="34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tax:</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Monster Energy® Drinks</w:t>
            </w:r>
            <w:r>
              <w:rPr>
                <w:rFonts w:ascii="Times New Roman" w:cs="Times New Roman" w:eastAsia="Times New Roman" w:hAnsi="Times New Roman"/>
                <w:sz w:val="25"/>
                <w:szCs w:val="25"/>
                <w:color w:val="auto"/>
                <w:vertAlign w:val="superscript"/>
              </w:rPr>
              <w:t>1</w:t>
            </w:r>
          </w:p>
        </w:tc>
        <w:tc>
          <w:tcPr>
            <w:tcW w:w="16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442,407</w:t>
            </w:r>
          </w:p>
        </w:tc>
        <w:tc>
          <w:tcPr>
            <w:tcW w:w="20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547,619</w:t>
            </w:r>
          </w:p>
        </w:tc>
        <w:tc>
          <w:tcPr>
            <w:tcW w:w="100" w:type="dxa"/>
            <w:vAlign w:val="bottom"/>
          </w:tcPr>
          <w:p>
            <w:pPr>
              <w:spacing w:after="0"/>
              <w:rPr>
                <w:sz w:val="18"/>
                <w:szCs w:val="18"/>
                <w:color w:val="auto"/>
              </w:rPr>
            </w:pP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897,540</w:t>
            </w:r>
          </w:p>
        </w:tc>
        <w:tc>
          <w:tcPr>
            <w:tcW w:w="100" w:type="dxa"/>
            <w:vAlign w:val="bottom"/>
          </w:tcPr>
          <w:p>
            <w:pPr>
              <w:spacing w:after="0"/>
              <w:rPr>
                <w:sz w:val="18"/>
                <w:szCs w:val="18"/>
                <w:color w:val="auto"/>
              </w:rPr>
            </w:pPr>
          </w:p>
        </w:tc>
        <w:tc>
          <w:tcPr>
            <w:tcW w:w="38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1,012,587</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99,221</w:t>
            </w:r>
          </w:p>
        </w:tc>
      </w:tr>
      <w:tr>
        <w:trPr>
          <w:trHeight w:val="216"/>
        </w:trPr>
        <w:tc>
          <w:tcPr>
            <w:tcW w:w="3400" w:type="dxa"/>
            <w:vAlign w:val="bottom"/>
          </w:tcPr>
          <w:p>
            <w:pPr>
              <w:ind w:left="120"/>
              <w:spacing w:after="0" w:line="216" w:lineRule="exact"/>
              <w:rPr>
                <w:sz w:val="20"/>
                <w:szCs w:val="20"/>
                <w:color w:val="auto"/>
              </w:rPr>
            </w:pPr>
            <w:r>
              <w:rPr>
                <w:rFonts w:ascii="Times New Roman" w:cs="Times New Roman" w:eastAsia="Times New Roman" w:hAnsi="Times New Roman"/>
                <w:sz w:val="17"/>
                <w:szCs w:val="17"/>
                <w:color w:val="auto"/>
              </w:rPr>
              <w:t>Alcohol Brands</w:t>
            </w:r>
            <w:r>
              <w:rPr>
                <w:rFonts w:ascii="Times New Roman" w:cs="Times New Roman" w:eastAsia="Times New Roman" w:hAnsi="Times New Roman"/>
                <w:sz w:val="25"/>
                <w:szCs w:val="25"/>
                <w:color w:val="auto"/>
                <w:vertAlign w:val="superscript"/>
              </w:rPr>
              <w:t>2</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(3,890)</w:t>
            </w:r>
          </w:p>
        </w:tc>
        <w:tc>
          <w:tcPr>
            <w:tcW w:w="2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w:t>
            </w:r>
          </w:p>
        </w:tc>
      </w:tr>
      <w:tr>
        <w:trPr>
          <w:trHeight w:val="216"/>
        </w:trPr>
        <w:tc>
          <w:tcPr>
            <w:tcW w:w="3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(114,881)</w:t>
            </w:r>
          </w:p>
        </w:tc>
        <w:tc>
          <w:tcPr>
            <w:tcW w:w="2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(77,082)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(230,610)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(175,598)</w:t>
            </w:r>
          </w:p>
        </w:tc>
      </w:tr>
      <w:tr>
        <w:trPr>
          <w:trHeight w:val="210"/>
        </w:trPr>
        <w:tc>
          <w:tcPr>
            <w:tcW w:w="3400" w:type="dxa"/>
            <w:vAlign w:val="bottom"/>
            <w:tcBorders>
              <w:top w:val="single" w:sz="8" w:color="CCEEFF"/>
              <w:bottom w:val="single" w:sz="8" w:color="CCEEFF"/>
            </w:tcBorders>
            <w:shd w:val="clear" w:color="auto" w:fill="CCEEFF"/>
          </w:tcPr>
          <w:p>
            <w:pPr>
              <w:spacing w:after="0"/>
              <w:rPr>
                <w:sz w:val="18"/>
                <w:szCs w:val="18"/>
                <w:color w:val="auto"/>
              </w:rPr>
            </w:pPr>
          </w:p>
        </w:tc>
        <w:tc>
          <w:tcPr>
            <w:tcW w:w="13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366,170</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526,847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758,359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940,234</w:t>
            </w:r>
          </w:p>
        </w:tc>
      </w:tr>
      <w:tr>
        <w:trPr>
          <w:trHeight w:val="20"/>
        </w:trPr>
        <w:tc>
          <w:tcPr>
            <w:tcW w:w="34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40" w:hanging="332"/>
        <w:spacing w:after="0" w:line="234" w:lineRule="auto"/>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Includes $10.1 million and $10.4 million for the three-months ended June 30, 2022 and 2021, respectively, related to the recognition of deferred revenue. Includes $20.1 million and $20.9 million for the six-months ended June 30, 2022 and 2021, respectively, related to the recognition of deferred revenue.</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tabs>
          <w:tab w:leader="none" w:pos="340"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Effectively from February 17, 2022 to June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4"/>
          </w:tcPr>
          <w:p>
            <w:pPr>
              <w:jc w:val="right"/>
              <w:ind w:right="370"/>
              <w:spacing w:after="0"/>
              <w:rPr>
                <w:sz w:val="20"/>
                <w:szCs w:val="20"/>
                <w:color w:val="auto"/>
              </w:rPr>
            </w:pPr>
            <w:r>
              <w:rPr>
                <w:rFonts w:ascii="Times New Roman" w:cs="Times New Roman" w:eastAsia="Times New Roman" w:hAnsi="Times New Roman"/>
                <w:sz w:val="18"/>
                <w:szCs w:val="18"/>
                <w:color w:val="auto"/>
              </w:rPr>
              <w:t>Three-Months Ended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470"/>
              <w:spacing w:after="0"/>
              <w:rPr>
                <w:sz w:val="20"/>
                <w:szCs w:val="20"/>
                <w:color w:val="auto"/>
              </w:rPr>
            </w:pPr>
            <w:r>
              <w:rPr>
                <w:rFonts w:ascii="Times New Roman" w:cs="Times New Roman" w:eastAsia="Times New Roman" w:hAnsi="Times New Roman"/>
                <w:sz w:val="18"/>
                <w:szCs w:val="18"/>
                <w:color w:val="auto"/>
              </w:rPr>
              <w:t>Six-Months Ended</w:t>
            </w:r>
          </w:p>
        </w:tc>
      </w:tr>
      <w:tr>
        <w:trPr>
          <w:trHeight w:val="234"/>
        </w:trPr>
        <w:tc>
          <w:tcPr>
            <w:tcW w:w="3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6"/>
              <w:spacing w:after="0"/>
              <w:rPr>
                <w:sz w:val="20"/>
                <w:szCs w:val="20"/>
                <w:color w:val="auto"/>
              </w:rPr>
            </w:pPr>
            <w:r>
              <w:rPr>
                <w:rFonts w:ascii="Times New Roman" w:cs="Times New Roman" w:eastAsia="Times New Roman" w:hAnsi="Times New Roman"/>
                <w:sz w:val="18"/>
                <w:szCs w:val="18"/>
                <w:color w:val="auto"/>
              </w:rPr>
              <w:t>June 30,</w:t>
            </w:r>
          </w:p>
        </w:tc>
        <w:tc>
          <w:tcPr>
            <w:tcW w:w="860" w:type="dxa"/>
            <w:vAlign w:val="bottom"/>
            <w:tcBorders>
              <w:bottom w:val="single" w:sz="8" w:color="auto"/>
            </w:tcBorders>
          </w:tcPr>
          <w:p>
            <w:pPr>
              <w:spacing w:after="0"/>
              <w:rPr>
                <w:sz w:val="20"/>
                <w:szCs w:val="20"/>
                <w:color w:val="auto"/>
              </w:rPr>
            </w:pPr>
          </w:p>
        </w:tc>
      </w:tr>
      <w:tr>
        <w:trPr>
          <w:trHeight w:val="210"/>
        </w:trPr>
        <w:tc>
          <w:tcPr>
            <w:tcW w:w="352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Monster Energy® Drinks</w:t>
            </w:r>
          </w:p>
        </w:tc>
        <w:tc>
          <w:tcPr>
            <w:tcW w:w="15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8,102</w:t>
            </w:r>
          </w:p>
        </w:tc>
        <w:tc>
          <w:tcPr>
            <w:tcW w:w="200" w:type="dxa"/>
            <w:vAlign w:val="bottom"/>
          </w:tcPr>
          <w:p>
            <w:pPr>
              <w:spacing w:after="0"/>
              <w:rPr>
                <w:sz w:val="18"/>
                <w:szCs w:val="18"/>
                <w:color w:val="auto"/>
              </w:rPr>
            </w:pP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8,816</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16,262</w:t>
            </w:r>
          </w:p>
        </w:tc>
        <w:tc>
          <w:tcPr>
            <w:tcW w:w="500" w:type="dxa"/>
            <w:vAlign w:val="bottom"/>
            <w:gridSpan w:val="2"/>
          </w:tcPr>
          <w:p>
            <w:pPr>
              <w:jc w:val="right"/>
              <w:ind w:right="1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17,838</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Strategic Brands</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w:t>
            </w:r>
          </w:p>
        </w:tc>
      </w:tr>
      <w:tr>
        <w:trPr>
          <w:trHeight w:val="216"/>
        </w:trPr>
        <w:tc>
          <w:tcPr>
            <w:tcW w:w="3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Alcohol Brands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3,683</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5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w:t>
            </w:r>
          </w:p>
        </w:tc>
      </w:tr>
      <w:tr>
        <w:trPr>
          <w:trHeight w:val="216"/>
        </w:trPr>
        <w:tc>
          <w:tcPr>
            <w:tcW w:w="35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2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2,682</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2,447</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5,505</w:t>
            </w: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4,860</w:t>
            </w:r>
          </w:p>
        </w:tc>
      </w:tr>
      <w:tr>
        <w:trPr>
          <w:trHeight w:val="210"/>
        </w:trPr>
        <w:tc>
          <w:tcPr>
            <w:tcW w:w="35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30,432</w:t>
            </w: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25,499</w:t>
            </w:r>
          </w:p>
        </w:tc>
      </w:tr>
      <w:tr>
        <w:trPr>
          <w:trHeight w:val="20"/>
        </w:trPr>
        <w:tc>
          <w:tcPr>
            <w:tcW w:w="3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June 30, 2022 include $70.0 million of payroll costs, of which $16.0 million was attributable to stock-based compensation expenses (see Note 15 “Stock-Based Compensation”), as well as $16.9 million attributable to professional service expenses, including accounting and legal costs, and $19.7 million of other operating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Corporate and unallocated expenses for the three-months ended June 30, 2021 include $61.2 million of payroll costs, of which $17.3 million was attributable to stock-based compensation expenses (see Note 15 “Stock-Based Compensation”), as well as $21.0 million attributable to professional service expenses, including accounting and legal costs, and $12.3 million of other operating expenses. Corporate and unallocated expenses for the three-months ended June 30, 2021 were partially offset by $16.9 million due to the reversal of amounts previously accrued in connection with an intellectual property claim.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Corporate and unallocated expenses for the six-months ended June 30, 2022 include $138.1 million of payroll costs, of which $32.2 million was attributable to stock-based compensation expenses (see Note 15 “Stock-Based Compensation”), as well as $43.3 million attributable to professional service expenses, including accounting and legal costs, and $33.7 million of other operating expenses.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Corporate and unallocated expenses for the six-months ended June 30, 2021 include $126.3 million of payroll costs, of which $35.6 million was attributable to stock-based compensation expenses (see Note 15 “Stock-Based Compensation”), as well as $41.4 million attributable to professional service expenses, including accounting and legal costs, and $24.4 million of other operating expenses. Corporate and unallocated expenses for the six-months ended June 30, 2021, were partially offset by $16.9 million due to the reversal of amounts previously accrued in connection with an intellectual property claim.</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(formerly Coca-Cola European Partners) accounted for approximately 14% and 12% of the Company’s net sales for the three-months ended June 30, 2022 and 2021, respectively. Coca-Cola Europacific Partners accounted for approximately 13% and 12% of the Company’s net sales for the six-months ended June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11% of the Company’s net sales for both the three-months ended June 30, 2022 and 2021. Coca-Cola Consolidated, Inc. accounted for approximately 10% and 11% of the Company’s net sales for the six-months ended June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9% and 11% of the Company’s net sales for the three-months ended June 30, 2022 and 2021, respectively. Reyes Coca-Cola Bottling, LLC accounted for approximately 9% and 10% of the Company’s net sales for the six-months ended June 30, 2022 and 2021, respectively.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sales to customers outside the United States amounted to $649.0 million and $546.3 million for the three-months ended June 30, 2022 and 2021, respectively. Such sales were approximately 39% and 37% of net sales for the three-months ended June 30, 2022 and 2021, respectively. Net sales to customers outside the United States amounted to $1.20 billion and $1.01 billion for the six-months ended June 30, 2022 and 2021, respectively. Such sales were approximately 38% and 37% of net sales for the six-months ended June 30, 2022 and 2021, respectively.</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Goodwill and other intangible assets for the Company’s reportable segments as of June 30, 2022 and December 31, 2021 are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9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December 31,</w:t>
            </w:r>
          </w:p>
        </w:tc>
      </w:tr>
      <w:tr>
        <w:trPr>
          <w:trHeight w:val="234"/>
        </w:trPr>
        <w:tc>
          <w:tcPr>
            <w:tcW w:w="4200" w:type="dxa"/>
            <w:vAlign w:val="bottom"/>
          </w:tcPr>
          <w:p>
            <w:pPr>
              <w:spacing w:after="0"/>
              <w:rPr>
                <w:sz w:val="20"/>
                <w:szCs w:val="20"/>
                <w:color w:val="auto"/>
              </w:rPr>
            </w:pPr>
          </w:p>
        </w:tc>
        <w:tc>
          <w:tcPr>
            <w:tcW w:w="24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and other intangible assets:</w:t>
            </w:r>
          </w:p>
        </w:tc>
        <w:tc>
          <w:tcPr>
            <w:tcW w:w="15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$ 1,420,967</w:t>
            </w:r>
          </w:p>
        </w:tc>
        <w:tc>
          <w:tcPr>
            <w:tcW w:w="38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1,420,503</w:t>
            </w:r>
          </w:p>
        </w:tc>
      </w:tr>
      <w:tr>
        <w:trPr>
          <w:trHeight w:val="216"/>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978,032</w:t>
            </w:r>
          </w:p>
        </w:tc>
      </w:tr>
      <w:tr>
        <w:trPr>
          <w:trHeight w:val="216"/>
        </w:trPr>
        <w:tc>
          <w:tcPr>
            <w:tcW w:w="42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Alcohol Brands</w:t>
            </w:r>
          </w:p>
        </w:tc>
        <w:tc>
          <w:tcPr>
            <w:tcW w:w="2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234,956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5,494</w:t>
            </w:r>
          </w:p>
        </w:tc>
      </w:tr>
      <w:tr>
        <w:trPr>
          <w:trHeight w:val="216"/>
        </w:trPr>
        <w:tc>
          <w:tcPr>
            <w:tcW w:w="4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Corporate and unallocated</w:t>
            </w:r>
          </w:p>
        </w:tc>
        <w:tc>
          <w:tcPr>
            <w:tcW w:w="15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$ 2,636,055</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2,404,029</w:t>
            </w:r>
          </w:p>
        </w:tc>
      </w:tr>
      <w:tr>
        <w:trPr>
          <w:trHeight w:val="20"/>
        </w:trPr>
        <w:tc>
          <w:tcPr>
            <w:tcW w:w="4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20"/>
          </w:cols>
          <w:pgMar w:left="980" w:top="661" w:right="99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ind w:left="640" w:hanging="632"/>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PARTY TRANSACTIONS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TCCC controls approximately 19.4% of the voting interests of the Company. The TCCC Subsidiaries, the TCCC Related Parties and certain TCCC independent bottlers/distributors purchase and distribute the Company’s products in domestic and certain international markets. The Company also pays TCCC a commission based on certain sales within the TCCC distribution network.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the TCCC Subsidiaries and the TCCC Related Parties, were $10.1 million and $20.1 million for the three-months ended June 30, 2022 and 2021, respectively, and are included as a reduction to net sales. TCCC commissions, based on sales to the TCCC Subsidiaries and the TCCC Related Parties, were $28.5 million and $36.2 million for the six-months ended June 30, 2022 and 2021, respectively, and are included as a reduction to net sales.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TCCC commissions, based on sales to TCCC independent bottlers/distributors, were $7.8 million and $8.1 million for the three-months ended June 30, 2022 and 2021, respectively, and are included in operating expenses. TCCC commissions, based on sales to TCCC independent bottlers/distributors, were $18.8 million and $13.6 million for the six-months ended June 30, 2022 and 2021, respectively, and are included in operating expenses.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sales to the TCCC Subsidiaries for the three-months ended June 30, 2022 and 2021 were $26.5 million and $27.0 million, respectively. Net sales to the TCCC Subsidiaries for the six-months ended June 30, 2022 and 2021 were $58.3 million and $54.1 million, respectively.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also purchases concentrates from TCCC which are then sold to certain of the Company’s bottlers/distributors.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Concentrate purchases from TCCC were $6.5 million and $7.7 million for the three-months ended June 30, 2022 and 2021, respectively.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Concentrate purchases from TCCC were $15.0 million and $14.1 million for the six-months ended June 30, 2022 and 2021, respectively.</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Certain TCCC Subsidiaries also contract manufacture certain of the Company’s energy drinks. Such contract manufacturing expenses were $4.8 million and $6.6 million for the three-months ended June 30, 2022 and 2021, respectively. Such contract manufacturing expenses were $14.0 million for both the six-months ended June 30, 2022 and 2021.</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Accounts receivable, accounts payable, accrued promotional allowances and accrued liabilities related to the TCCC Subsidiaries are as follows at:</w:t>
      </w:r>
    </w:p>
    <w:p>
      <w:pPr>
        <w:spacing w:after="0" w:line="175"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June 30,</w:t>
            </w:r>
          </w:p>
        </w:tc>
        <w:tc>
          <w:tcPr>
            <w:tcW w:w="126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December 31,</w:t>
            </w:r>
          </w:p>
        </w:tc>
      </w:tr>
      <w:tr>
        <w:trPr>
          <w:trHeight w:val="234"/>
        </w:trPr>
        <w:tc>
          <w:tcPr>
            <w:tcW w:w="4000" w:type="dxa"/>
            <w:vAlign w:val="bottom"/>
            <w:tcBorders>
              <w:bottom w:val="single" w:sz="8" w:color="CCEEFF"/>
            </w:tcBorders>
          </w:tcPr>
          <w:p>
            <w:pPr>
              <w:spacing w:after="0"/>
              <w:rPr>
                <w:sz w:val="20"/>
                <w:szCs w:val="20"/>
                <w:color w:val="auto"/>
              </w:rPr>
            </w:pPr>
          </w:p>
        </w:tc>
        <w:tc>
          <w:tcPr>
            <w:tcW w:w="16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2021</w:t>
            </w:r>
          </w:p>
        </w:tc>
      </w:tr>
      <w:tr>
        <w:trPr>
          <w:trHeight w:val="210"/>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135,977</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94,647</w:t>
            </w:r>
          </w:p>
        </w:tc>
      </w:t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(35,248)</w:t>
            </w:r>
          </w:p>
        </w:tc>
      </w:tr>
      <w:tr>
        <w:trPr>
          <w:trHeight w:val="216"/>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promotional allowances</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4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(18,253)</w:t>
            </w:r>
          </w:p>
        </w:tc>
        <w:tc>
          <w:tcPr>
            <w:tcW w:w="4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(26,616)</w:t>
            </w:r>
          </w:p>
        </w:tc>
      </w:tr>
    </w:tbl>
    <w:p>
      <w:pPr>
        <w:spacing w:after="0" w:line="17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2021, TCCC exercised its contract rights for a third-party public accounting firm (the “Accounting Firm”) to conduct an examination relating to commissions and fees payable to TCCC and marketing contributions payable to the Company, for the years ended December 31, 2015 through December 31, 2020. The Company understands that the Accounting Firm has advised TCCC that it may be entitled to additional commissions and fees and/or reduced amounts of marketing contributions due to the Company in an aggregate amount of up to approximately $74.2 million. No portion of such amounts have been recognized in the Company’s condensed consolidated financial statements at June 30, 2022. The Company disputes any material liability for additional commissions or fees payable to TCCC or reduced amounts of marketing contributions due to the Company for these periods.</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One director of the Company through certain trusts, and a family member of one director are the principal owners of a company that provides promotional materials to the Company. Expenses incurred with such company in connection with promotional materials purchased during the three-months ended June 30, 2022 and 2021 were $2.3 million and $1.4 million, respectively. Expenses incurred with such company in connection with promotional materials purchased during the six-months ended June 30, 2022 and 2021 were $3.4 million and $1.8 million, respectively.</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MONSTER BEVERAGE CORPORATION AND SUBSIDIARIES</w:t>
      </w:r>
    </w:p>
    <w:p>
      <w:pPr>
        <w:spacing w:after="0" w:line="26" w:lineRule="exact"/>
        <w:rPr>
          <w:sz w:val="20"/>
          <w:szCs w:val="20"/>
          <w:color w:val="auto"/>
        </w:rPr>
      </w:pPr>
    </w:p>
    <w:p>
      <w:pPr>
        <w:ind w:right="3440"/>
        <w:spacing w:after="0" w:line="271" w:lineRule="auto"/>
        <w:rPr>
          <w:sz w:val="20"/>
          <w:szCs w:val="20"/>
          <w:color w:val="auto"/>
        </w:rPr>
      </w:pPr>
      <w:r>
        <w:rPr>
          <w:rFonts w:ascii="Times New Roman" w:cs="Times New Roman" w:eastAsia="Times New Roman" w:hAnsi="Times New Roman"/>
          <w:sz w:val="19"/>
          <w:szCs w:val="19"/>
          <w:b w:val="1"/>
          <w:bCs w:val="1"/>
          <w:color w:val="auto"/>
        </w:rPr>
        <w:t>NOTES TO CONDENSED CONSOLIDATED FINANCIAL STATEMENTS (Tabular Dollars in Thousands, Except Per Share Amounts)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-12065</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six-months ended June 30, 2022, the Company occasionally chartered a private aircraft that is indirectly owned by Mr. Rodney C. Sacks, Co-Chief Executive Officer and Chairman of the Board of Directors. On certain occasions, Mr. Sacks was accompanied by guests and other Company personnel when using such aircraft for business travel. During the six-months ended June 30, 2022, the Company incurred costs of $0.08 million, amounts the Company believes are commensurate with market rates for comparable travel. No amounts were incurred by the Company during the three-months ended June 30, 2022.</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December 2018, the Company and a director of the Company entered into a 50-50 partnership that purchased land, and real property thereon, in Kona, Hawaii for the purpose of producing coffee products. The Company’s initial 50% contribution of $1.9 million was accounted for as an equity investment. During the three- and six-months ended June 30, 2022, the Company recorded equity losses of $0.06 million and $0.09 million, respectively. As of June 30, 2022, the Company’s equity investment is $1.3 million and is included in other assets (non-current) in the accompanying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Business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When this report uses the words “the Company”, “we”, “us”, and “our”, these words refer to Monster Beverage Corporation and its subsidiaries, unless the context otherwise requires. Based in Corona, California, Monster Beverage Corporation is a holding company and conducts no operating business except through its consolidated subsidiaries. The Company’s subsidiaries primarily develop and market energy drinks, and to a lesser extent, craft beers and hard seltzers.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CANarchy Acquisition</w:t>
      </w:r>
    </w:p>
    <w:p>
      <w:pPr>
        <w:spacing w:after="0" w:line="22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18"/>
          <w:szCs w:val="18"/>
          <w:color w:val="auto"/>
        </w:rPr>
        <w:t>On February 17, 2022, we completed our acquisition of CANarchy Craft Brewery Collective LLC (“CANarchy”), a craft beer and hard seltzer company, for $330.4 million in cash, subject to adjustments. The transaction facilitates our entry into the alcohol beverage sector and brings the Cigar City</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Jai Alai® IPA and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the Oskar Blues</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Dale’s Pale Ale® and Wild Basin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Seltzers, the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Dallas Blonde® and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the Perrin Brewing</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family of brands including Black Ale, the Squatters® family of brands including Hop Rising® Double IPA and Juicy IPA, the Wasatch® family of brands including Apricot Hefeweizen to our beverage portfolio. The transaction does not include CANarchy’s stand-alone restaurants. Our organizational structure for our existing energy beverage business will remain unchanged. CANarchy will function independently, retaining its own organizational structure and team.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Russia-Ukraine Conflict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second quarter of fiscal 2022, the Russia-Ukraine conflict did not have a material impact on our financial position, results of operations and liquidity. Net sales in Russia and Ukraine combined were approximately 1.1% of our total net sales for the twelve months ended December 31, 2021. We will continue to monitor future developments relative to this conflict and its potential impacts.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COVID – 19 Pandemic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COVID-19 pandemic has directly and indirectly impacted our business. The duration and severity of this impact will depend on future developments that are highly uncertain and cannot be accurately predicted, including new information regarding the COVID-19 pandemic, as well as the emergence of new variants, the actions taken to limit its spread and the economic impact on local, regional, national and international markets. See “Part I, Item 1A – Risk Factors” in our Form 10-K.</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continue to address the COVID-19 pandemic with a global task force team working to mitigate the potential impacts on our people and business.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incredibly proud of the teamwork exhibited by our employees, co-packers and bottlers/distributors around the world who are endeavoring to maintain the integrity of our supply chain. Despite the ongoing impact of the COVID-19 pandemic, we achieved record second quarter net sales in 2022.</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countries continue to combat the COVID-19 pandemic, and as governments and/or local authorities impose regulations regarding COVID-19 testing, vaccine mandates and related workplace restrictions, there remains a risk that the COVID-19 pandemic may continue to impact our business and supply chain.</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reduction in demand for our products or changes in consumer purchasing and consumption patterns, as well as continued economic uncertainty as a result of the COVID-19 pandemic, could adversely affect the financial conditions of retailers and consumers, resulting in reduced or canceled orders for our products, purchase returns and closings of retail or wholesale establishments or other locations in which our products are sold.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and Supply Chain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Since the beginning of the COVID-19 pandemic and the subsequent increased demand for our energy drinks, we prioritized ensuring product availability for our customers and consumers. This strategic direction has remained in place throughout the global supply chain challenges and disruptions, despite adversely impacting our profitability. We continue to stand by our strategy to ensure product availability and solidify the continued long-term growth of our brands.</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 the second quarter of 2022, we experienced a significant increase in cost of sales, resulting in a material decrease in both gross profit and gross profit as a percentage of net sales, relative to the comparative 2021 second quarter. The increase in cost of sales was primarily due to (i) increased freight rates and fuel costs, including costs relating to the importation of aluminum cans, (ii) increased ingredient and other input costs, including secondary packaging materials and increased co-packing fees, (iii) increased aluminum can costs attributable to higher aluminum commodity pricing, (iv) geographical and product sales mix and (v) production inefficiencies. Furthermore, we experienced significant increases in distribution expenses including increased fuel, freight and warehousing costs which adversely impacted operating costs.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continue to address the controllable challenges in our supply chain.</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implement measures to mitigate our increased product and distribution costs through pricing actions and reductions in promotions. In addition, we are implementing a price increase effective September 1, 2022 in the United States and are planning price increases in certain international markets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the date of this filing, we expect to maintain substantial liquidity as we manage through the current environment as described in the “Liquidity and Capital Resources” section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develop, market, sell and distribute energy drink beverages and concentrates for energy drink beverages, primarily under the following brand names:</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Ultra®</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Full Throttle®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Rehab®</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Burn®</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Energy® Nitro</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Mother®</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Java Monster®</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Nalu®</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Muscle Monster®</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Ultra Energy®</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Espresso Monster®</w:t>
            </w:r>
          </w:p>
        </w:tc>
        <w:tc>
          <w:tcPr>
            <w:tcW w:w="326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   Play® and Power Play® (stylized)</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Punch Monster®</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Relentless®</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Juice Monster®</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BPM®</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 Energy Water</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 Super Sport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Gladiator®</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Monster HydroSport Super Fuel®</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Samurai®</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Super Fuel®</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Live+®</w:t>
            </w:r>
          </w:p>
        </w:tc>
      </w:tr>
      <w:tr>
        <w:trPr>
          <w:trHeight w:val="216"/>
        </w:trPr>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Monster Dragon Tea®</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Predator®</w:t>
            </w:r>
          </w:p>
        </w:tc>
      </w:tr>
      <w:tr>
        <w:trPr>
          <w:trHeight w:val="216"/>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Total Body Fuel®</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Fury®</w:t>
            </w:r>
          </w:p>
        </w:tc>
      </w:tr>
      <w:tr>
        <w:trPr>
          <w:trHeight w:val="234"/>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Reign Inferno® Thermogenic Fuel</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True North®</w:t>
            </w:r>
          </w:p>
        </w:tc>
      </w:tr>
    </w:tbl>
    <w:p>
      <w:pPr>
        <w:spacing w:after="0" w:line="198" w:lineRule="exact"/>
        <w:rPr>
          <w:sz w:val="20"/>
          <w:szCs w:val="20"/>
          <w:color w:val="auto"/>
        </w:rPr>
      </w:pPr>
    </w:p>
    <w:p>
      <w:pPr>
        <w:jc w:val="both"/>
        <w:ind w:firstLine="648"/>
        <w:spacing w:after="0" w:line="224" w:lineRule="auto"/>
        <w:rPr>
          <w:sz w:val="20"/>
          <w:szCs w:val="20"/>
          <w:color w:val="auto"/>
        </w:rPr>
      </w:pPr>
      <w:r>
        <w:rPr>
          <w:rFonts w:ascii="Times New Roman" w:cs="Times New Roman" w:eastAsia="Times New Roman" w:hAnsi="Times New Roman"/>
          <w:sz w:val="18"/>
          <w:szCs w:val="18"/>
          <w:color w:val="auto"/>
        </w:rPr>
        <w:t>We also develop, market, sell and distribute craft beers and hard seltzers under a number of brands, including Jai Alai® IPA, Florida Man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Dale’s Pale Ale®, Wild Basin</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Hard Seltzers, Dallas Blonde®, Deep Ellum</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IPA, Perrin Brewing</w:t>
      </w:r>
      <w:r>
        <w:rPr>
          <w:rFonts w:ascii="Times New Roman" w:cs="Times New Roman" w:eastAsia="Times New Roman" w:hAnsi="Times New Roman"/>
          <w:sz w:val="26"/>
          <w:szCs w:val="26"/>
          <w:color w:val="auto"/>
          <w:vertAlign w:val="superscript"/>
        </w:rPr>
        <w:t>TM</w:t>
      </w:r>
      <w:r>
        <w:rPr>
          <w:rFonts w:ascii="Times New Roman" w:cs="Times New Roman" w:eastAsia="Times New Roman" w:hAnsi="Times New Roman"/>
          <w:sz w:val="18"/>
          <w:szCs w:val="18"/>
          <w:color w:val="auto"/>
        </w:rPr>
        <w:t xml:space="preserve"> Black Ale, Hop Rising® Double IPA, Juicy IPA, Wasatch® Apricot Hefeweizen and a host of other brands.</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four operating and reportable segments: (i) Monster Energy® Drinks segment (“Monster Energy® Drinks”), which is primarily comprised of the Company’s Monster Energy® drinks, Reign Total Body Fuel® high performance energy drinks and True North® Pure Energy Seltzers, (ii) Strategic Brands segment (“Strategic Brands”), which is primarily comprised of the various energy drink brands acquired from The Coca-Cola Company (“TCCC”) in 2015 as well as the Company’s affordable energy brands, (iii) Alcohol Brands segment (“Alcohol Brands”), which is primarily comprised of the various craft beers and hard seltzers purchased as part of the CANarchy Transaction on February 17, 2022 and (iv) Other segment (“Other”), which is comprised of the AFF Third-Party Products.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three-months ended June 30, 2022, we continued to expand our existing energy drink portfolio by adding additional products to our portfolio in a number of countries and further developed our distribution markets. During the three-months ended June 30, 2022, we sold the following new products to our customers:</w:t>
      </w:r>
    </w:p>
    <w:p>
      <w:pPr>
        <w:spacing w:after="0" w:line="176" w:lineRule="exact"/>
        <w:rPr>
          <w:sz w:val="20"/>
          <w:szCs w:val="20"/>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Mother® Lava Guava</w:t>
      </w:r>
    </w:p>
    <w:p>
      <w:pPr>
        <w:spacing w:after="0" w:line="27"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Nalu® Melon Splash</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discontinue certain products and/or product lines. Those products or product lines discontinued in the three-months ended June 30, 2022, either individually or in aggregate, did not have a material adverse impact on our financial position, results of operations or liquidity.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net sales of $1.66 billion for the three-months ended June 30, 2022 represented record sales for our second fiscal quarter. Net changes in foreign currency exchange rates had an unfavorable impact on net sales of approximately $53.4 million for the three-months ended June 30, 2022.</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vast majority of our net sales are derived from our Monster Energy® Drinks segment. Net sales of our Monster Energy® Drinks segment were $1.54 billion for the three-months ended June 30, 2022. Net sales of our Strategic Brands segment were $79.1 million for the three-months ended June 30, 2022. Net sales of our Alcohol Brands segment were $32.4 million for the three-months ended June 30, 2022. Net sales of our Other segment were $6.0 million for the three-months ended June 30, 2022. Our Monster Energy® Drinks segment represented 92.9% and 93.5% of our net sales for the three-months ended June 30, 2022 and 2021, respectively. Our Strategic Brands segment represented 4.8% and 5.9% of our net sales for the three-months ended June 30, 2022 and 2021, respectively. Our Alcohol Segment represented 2.0% of our net sales for the three-months ended June 30, 2022. Our Other segment represented 0.3% and 0.6% of our net sales for the three-months ended June 30, 2022 and 2021, respectively.</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growth strategy includes further developing our domestic markets, expanding our international business and growing our business into new sectors, such as the alcohol beverage sector. Net sales to customers outside the United States were $649.0 million for the three-months ended June 30, 2022, an increase of approximately $102.7 million, or 18.8% higher than net sales to customers outside of the United States of $546.3 million for the three-months ended June 30, 2021. Such sales were approximately 39% and 37% of net sales for the three-months ended June 30, 2022 and 2021, respectively. Net changes in foreign currency exchange rates had an unfavorable impact on net sales to customers outside of the United States of approximately $53.4 million for the three-months ended June 30, 2022. Net sales to customers outside the United States, on a foreign currency adjusted basis, increased 28.6% for the three-months ended June 30, 2022. On February 17, 2022, the Company completed the CANarchy Transaction which facilitates the Company’s entry into the alcohol beverage sector.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customers are primarily full service beverage bottlers/distributors, retail grocery and specialty chains, wholesalers, club stores, mass merchandisers, convenience chains, foodservice customers, value stores, e-commerce retailers and the military. Percentages of our gross billings to our various customer types for the three-months ended June 30, 2022 and 2021 are reflected below. Such information includes sales made by us directly to the customer types concerned, which include our full service beverage bottlers/distributors in the United States. Such full service beverage bottlers/distributors in turn sell certain of our products to some of the same customer types listed below. We limit our description of our customer types to include only our sales to our full service bottlers/distributors without reference to such bottlers/distributors’ sales to their own customers.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202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2040" w:type="dxa"/>
            <w:vAlign w:val="bottom"/>
            <w:gridSpan w:val="5"/>
          </w:tcPr>
          <w:p>
            <w:pPr>
              <w:jc w:val="center"/>
              <w:ind w:right="90"/>
              <w:spacing w:after="0"/>
              <w:rPr>
                <w:sz w:val="20"/>
                <w:szCs w:val="20"/>
                <w:color w:val="auto"/>
              </w:rPr>
            </w:pPr>
            <w:r>
              <w:rPr>
                <w:rFonts w:ascii="Times New Roman" w:cs="Times New Roman" w:eastAsia="Times New Roman" w:hAnsi="Times New Roman"/>
                <w:sz w:val="18"/>
                <w:szCs w:val="18"/>
                <w:color w:val="auto"/>
                <w:w w:val="98"/>
              </w:rPr>
              <w:t>Six-Months Ended</w:t>
            </w:r>
          </w:p>
        </w:tc>
      </w:tr>
      <w:tr>
        <w:trPr>
          <w:trHeight w:val="234"/>
        </w:trPr>
        <w:tc>
          <w:tcPr>
            <w:tcW w:w="5860" w:type="dxa"/>
            <w:vAlign w:val="bottom"/>
          </w:tcPr>
          <w:p>
            <w:pPr>
              <w:spacing w:after="0"/>
              <w:rPr>
                <w:sz w:val="20"/>
                <w:szCs w:val="20"/>
                <w:color w:val="auto"/>
              </w:rPr>
            </w:pPr>
          </w:p>
        </w:tc>
        <w:tc>
          <w:tcPr>
            <w:tcW w:w="1220" w:type="dxa"/>
            <w:vAlign w:val="bottom"/>
            <w:tcBorders>
              <w:bottom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9"/>
              </w:rPr>
              <w:t>June 30,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tcBorders>
              <w:bottom w:val="single" w:sz="8" w:color="auto"/>
            </w:tcBorders>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9"/>
              </w:rPr>
              <w:t>June 30,</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10"/>
        </w:trPr>
        <w:tc>
          <w:tcPr>
            <w:tcW w:w="58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99"/>
              </w:rPr>
              <w:t>2021</w:t>
            </w:r>
          </w:p>
        </w:tc>
        <w:tc>
          <w:tcPr>
            <w:tcW w:w="180" w:type="dxa"/>
            <w:vAlign w:val="bottom"/>
            <w:tcBorders>
              <w:bottom w:val="single" w:sz="8" w:color="CCEEFF"/>
            </w:tcBorders>
          </w:tcPr>
          <w:p>
            <w:pPr>
              <w:spacing w:after="0"/>
              <w:rPr>
                <w:sz w:val="18"/>
                <w:szCs w:val="18"/>
                <w:color w:val="auto"/>
              </w:rPr>
            </w:pPr>
          </w:p>
        </w:tc>
      </w:tr>
      <w:tr>
        <w:trPr>
          <w:trHeight w:val="209"/>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 full service bottlers/distributors</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 full service bottlers/distributors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39 %</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Club stores and e-commerce retailers</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Retail grocery, direct convenience, specialty chains and wholesalers</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 value stores and other</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19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customers include Coca-Cola Canada Bottling Limited, Coca-Cola Consolidated, Inc., Coca-Cola Bottling Company United, Inc., Reyes Coca-Cola Bottling, LLC, Coca-Cola Southwest Beverages LLC, The Coca-Cola Bottling Company of Northern New England, Inc., Swire Pacific Holdings, Inc. (USA), Liberty Coca-Cola Beverages, LLC, Coca-Cola Europacific Partners (formerly Coca-Cola European Partners and Coca-Cola Amatil), Coca-Cola Hellenic, Coca-Cola FEMSA, Swire Coca-Cola (China), COFCO Coca-Cola, Coca-Cola Beverages Africa, Coca-Cola İçecek and certain other TCCC network bottlers, Asahi Soft Drinks, Co., Ltd., Wal-Mart, Inc. (including Sam’s Club), Costco Wholesale Corporation and Amazon.com, Inc. A decision by any large customer to decrease amounts purchased from us or to cease carrying our products could have a material adverse effect on our financial condition and results of operations.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Europacific Partners (formerly Coca-Cola European Partners) accounted for approximately 14% and 12% of our net sales for the three-months ended June 30, 2022 and 2021, respectively. Coca-Cola Europacific Partners accounted for approximately 13% and 12% of our net sales for the six-months ended June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Coca-Cola Consolidated, Inc. accounted for approximately 11% of our net sales for the both the three-months ended June 30, 2022 and 2021. Coca-Cola Consolidated, Inc. accounted for approximately 10% and 11% of our net sales for the six-months ended June 30, 2022 and 2021, respectively.</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Reyes Coca-Cola Bottling, LLC accounted for approximately 9% and 11% of our net sales for the three-months ended June 30, 2022 and 2021, respectively. Reyes Coca-Cola Bottling, LLC accounted for approximately 9% and 10% of our net sales for the six-months ended June 30, 2022 and 2021,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key statistics for the three- and six-months ended June 30, 2022 and 2021.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6"/>
          </w:tcPr>
          <w:p>
            <w:pPr>
              <w:jc w:val="center"/>
              <w:ind w:right="210"/>
              <w:spacing w:after="0"/>
              <w:rPr>
                <w:sz w:val="20"/>
                <w:szCs w:val="20"/>
                <w:color w:val="auto"/>
              </w:rPr>
            </w:pPr>
            <w:r>
              <w:rPr>
                <w:rFonts w:ascii="Times New Roman" w:cs="Times New Roman" w:eastAsia="Times New Roman" w:hAnsi="Times New Roman"/>
                <w:sz w:val="18"/>
                <w:szCs w:val="18"/>
                <w:color w:val="auto"/>
                <w:w w:val="99"/>
              </w:rPr>
              <w:t>Three-Months Ended</w:t>
            </w: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120" w:type="dxa"/>
            <w:vAlign w:val="bottom"/>
          </w:tcPr>
          <w:p>
            <w:pPr>
              <w:spacing w:after="0"/>
              <w:rPr>
                <w:sz w:val="18"/>
                <w:szCs w:val="18"/>
                <w:color w:val="auto"/>
              </w:rPr>
            </w:pPr>
          </w:p>
        </w:tc>
        <w:tc>
          <w:tcPr>
            <w:tcW w:w="2100" w:type="dxa"/>
            <w:vAlign w:val="bottom"/>
            <w:gridSpan w:val="5"/>
          </w:tcPr>
          <w:p>
            <w:pPr>
              <w:jc w:val="center"/>
              <w:ind w:right="230"/>
              <w:spacing w:after="0"/>
              <w:rPr>
                <w:sz w:val="20"/>
                <w:szCs w:val="20"/>
                <w:color w:val="auto"/>
              </w:rPr>
            </w:pPr>
            <w:r>
              <w:rPr>
                <w:rFonts w:ascii="Times New Roman" w:cs="Times New Roman" w:eastAsia="Times New Roman" w:hAnsi="Times New Roman"/>
                <w:sz w:val="18"/>
                <w:szCs w:val="18"/>
                <w:color w:val="auto"/>
                <w:w w:val="98"/>
              </w:rPr>
              <w:t>Six-Months Ended</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3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thousands, except per share amounts)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6"/>
          </w:tcPr>
          <w:p>
            <w:pPr>
              <w:jc w:val="center"/>
              <w:ind w:right="250"/>
              <w:spacing w:after="0"/>
              <w:rPr>
                <w:sz w:val="20"/>
                <w:szCs w:val="20"/>
                <w:color w:val="auto"/>
              </w:rPr>
            </w:pPr>
            <w:r>
              <w:rPr>
                <w:rFonts w:ascii="Times New Roman" w:cs="Times New Roman" w:eastAsia="Times New Roman" w:hAnsi="Times New Roman"/>
                <w:sz w:val="18"/>
                <w:szCs w:val="18"/>
                <w:color w:val="auto"/>
                <w:w w:val="99"/>
              </w:rPr>
              <w:t>June 30,</w:t>
            </w: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120" w:type="dxa"/>
            <w:vAlign w:val="bottom"/>
          </w:tcPr>
          <w:p>
            <w:pPr>
              <w:spacing w:after="0"/>
              <w:rPr>
                <w:sz w:val="20"/>
                <w:szCs w:val="20"/>
                <w:color w:val="auto"/>
              </w:rPr>
            </w:pPr>
          </w:p>
        </w:tc>
        <w:tc>
          <w:tcPr>
            <w:tcW w:w="2100" w:type="dxa"/>
            <w:vAlign w:val="bottom"/>
            <w:gridSpan w:val="5"/>
          </w:tcPr>
          <w:p>
            <w:pPr>
              <w:jc w:val="center"/>
              <w:ind w:right="290"/>
              <w:spacing w:after="0"/>
              <w:rPr>
                <w:sz w:val="20"/>
                <w:szCs w:val="20"/>
                <w:color w:val="auto"/>
              </w:rPr>
            </w:pPr>
            <w:r>
              <w:rPr>
                <w:rFonts w:ascii="Times New Roman" w:cs="Times New Roman" w:eastAsia="Times New Roman" w:hAnsi="Times New Roman"/>
                <w:sz w:val="18"/>
                <w:szCs w:val="18"/>
                <w:color w:val="auto"/>
                <w:w w:val="99"/>
              </w:rPr>
              <w:t>June 30,</w:t>
            </w: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tcBorders>
              <w:top w:val="single" w:sz="8" w:color="auto"/>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20" w:type="dxa"/>
            <w:vAlign w:val="bottom"/>
            <w:tcBorders>
              <w:top w:val="single" w:sz="8" w:color="auto"/>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2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Net sales</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1,655,260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3,173,833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2,705,751</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875,399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625,096</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40.0 %</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1,617,306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1,153,976</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40.2 %</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6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Gross profit*</w:t>
            </w:r>
            <w:r>
              <w:rPr>
                <w:rFonts w:ascii="Times New Roman" w:cs="Times New Roman" w:eastAsia="Times New Roman" w:hAnsi="Times New Roman"/>
                <w:sz w:val="24"/>
                <w:szCs w:val="24"/>
                <w:color w:val="auto"/>
                <w:vertAlign w:val="superscript"/>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779,861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836,838</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1,556,527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1,551,775</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as a percentage of net sales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47.1 %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57.2 %</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49.0 %</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57.4 %</w:t>
            </w: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406,910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310,863</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30.9 %</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784,088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611,652</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Operating expenses as a percentage of net</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21.3 %</w:t>
            </w:r>
          </w:p>
        </w:tc>
        <w:tc>
          <w:tcPr>
            <w:tcW w:w="8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24.7 %</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22.6 %</w:t>
            </w:r>
          </w:p>
        </w:tc>
        <w:tc>
          <w:tcPr>
            <w:tcW w:w="8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Operating income</w:t>
            </w:r>
            <w:r>
              <w:rPr>
                <w:rFonts w:ascii="Times New Roman" w:cs="Times New Roman" w:eastAsia="Times New Roman" w:hAnsi="Times New Roman"/>
                <w:sz w:val="25"/>
                <w:szCs w:val="25"/>
                <w:color w:val="auto"/>
                <w:vertAlign w:val="superscript"/>
              </w:rPr>
              <w:t>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372,951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525,975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772,439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940,123</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Operating income as a percentage of net</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36.0 %</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(expense) income, net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(6,781)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(877.6)%</w:t>
            </w:r>
          </w:p>
        </w:tc>
        <w:tc>
          <w:tcPr>
            <w:tcW w:w="120" w:type="dxa"/>
            <w:vAlign w:val="bottom"/>
          </w:tcPr>
          <w:p>
            <w:pPr>
              <w:spacing w:after="0"/>
              <w:rPr>
                <w:sz w:val="18"/>
                <w:szCs w:val="18"/>
                <w:color w:val="auto"/>
              </w:rPr>
            </w:pPr>
          </w:p>
        </w:tc>
        <w:tc>
          <w:tcPr>
            <w:tcW w:w="9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(14,080)</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(12,784.7)%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Pr>
          <w:p>
            <w:pPr>
              <w:spacing w:after="0" w:line="216" w:lineRule="exact"/>
              <w:rPr>
                <w:sz w:val="20"/>
                <w:szCs w:val="20"/>
                <w:color w:val="auto"/>
              </w:rPr>
            </w:pPr>
            <w:r>
              <w:rPr>
                <w:rFonts w:ascii="Times New Roman" w:cs="Times New Roman" w:eastAsia="Times New Roman" w:hAnsi="Times New Roman"/>
                <w:sz w:val="17"/>
                <w:szCs w:val="17"/>
                <w:color w:val="auto"/>
              </w:rPr>
              <w:t>Income before provision for income taxes</w:t>
            </w:r>
            <w:r>
              <w:rPr>
                <w:rFonts w:ascii="Times New Roman" w:cs="Times New Roman" w:eastAsia="Times New Roman" w:hAnsi="Times New Roman"/>
                <w:sz w:val="25"/>
                <w:szCs w:val="25"/>
                <w:color w:val="auto"/>
                <w:vertAlign w:val="superscript"/>
              </w:rPr>
              <w:t>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366,170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526,847</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(30.5)%</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758,359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940,234</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92,810</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123,085</w:t>
            </w: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190,796</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221,278</w:t>
            </w:r>
          </w:p>
        </w:tc>
        <w:tc>
          <w:tcPr>
            <w:tcW w:w="20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Income taxes as a percentage of income</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before taxes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25.2 %</w:t>
            </w:r>
          </w:p>
        </w:tc>
        <w:tc>
          <w:tcPr>
            <w:tcW w:w="12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23.5 %</w:t>
            </w: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273,360</w:t>
            </w:r>
          </w:p>
        </w:tc>
        <w:tc>
          <w:tcPr>
            <w:tcW w:w="180" w:type="dxa"/>
            <w:vAlign w:val="bottom"/>
          </w:tcPr>
          <w:p>
            <w:pPr>
              <w:spacing w:after="0"/>
              <w:rPr>
                <w:sz w:val="22"/>
                <w:szCs w:val="22"/>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403,762</w:t>
            </w:r>
          </w:p>
        </w:tc>
        <w:tc>
          <w:tcPr>
            <w:tcW w:w="180" w:type="dxa"/>
            <w:vAlign w:val="bottom"/>
          </w:tcPr>
          <w:p>
            <w:pPr>
              <w:spacing w:after="0"/>
              <w:rPr>
                <w:sz w:val="22"/>
                <w:szCs w:val="22"/>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567,563</w:t>
            </w:r>
          </w:p>
        </w:tc>
        <w:tc>
          <w:tcPr>
            <w:tcW w:w="1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718,956</w:t>
            </w:r>
          </w:p>
        </w:tc>
        <w:tc>
          <w:tcPr>
            <w:tcW w:w="2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6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Net income as a percentage of net sales</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16.5</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27.6</w:t>
            </w:r>
          </w:p>
        </w:tc>
        <w:tc>
          <w:tcPr>
            <w:tcW w:w="18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79"/>
              </w:rPr>
              <w:t>%</w:t>
            </w:r>
          </w:p>
        </w:tc>
        <w:tc>
          <w:tcPr>
            <w:tcW w:w="8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17.9</w:t>
            </w:r>
          </w:p>
        </w:tc>
        <w:tc>
          <w:tcPr>
            <w:tcW w:w="180" w:type="dxa"/>
            <w:vAlign w:val="bottom"/>
            <w:tcBorders>
              <w:top w:val="single" w:sz="8" w:color="CCEEFF"/>
            </w:tcBorders>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26.6</w:t>
            </w:r>
          </w:p>
        </w:tc>
        <w:tc>
          <w:tcPr>
            <w:tcW w:w="200" w:type="dxa"/>
            <w:vAlign w:val="bottom"/>
            <w:tcBorders>
              <w:top w:val="single" w:sz="8" w:color="CCEEFF"/>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3"/>
              </w:rPr>
              <w:t>%</w:t>
            </w:r>
          </w:p>
        </w:tc>
        <w:tc>
          <w:tcPr>
            <w:tcW w:w="8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0.52</w:t>
            </w:r>
          </w:p>
        </w:tc>
        <w:tc>
          <w:tcPr>
            <w:tcW w:w="18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0.76</w:t>
            </w:r>
          </w:p>
        </w:tc>
        <w:tc>
          <w:tcPr>
            <w:tcW w:w="180" w:type="dxa"/>
            <w:vAlign w:val="bottom"/>
          </w:tcPr>
          <w:p>
            <w:pPr>
              <w:spacing w:after="0"/>
              <w:rPr>
                <w:sz w:val="18"/>
                <w:szCs w:val="18"/>
                <w:color w:val="auto"/>
              </w:rPr>
            </w:pPr>
          </w:p>
        </w:tc>
        <w:tc>
          <w:tcPr>
            <w:tcW w:w="10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Case sales (in thousands) (in 192</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ounce case</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equivalents)</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184,197</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2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17.7 %</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¹Includes $10.1 million and $10.4 million for the three-months ended June 30, 2022 and 2021, respectively, related to the recognition of deferred revenue. Includes $20.1 million and $20.9 million for the six-months ended June 30, 2022 and 2021, respectively, related to the recognition of deferred revenue.</w:t>
      </w:r>
    </w:p>
    <w:p>
      <w:pPr>
        <w:spacing w:after="0" w:line="173"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7"/>
          <w:szCs w:val="17"/>
          <w:i w:val="1"/>
          <w:iCs w:val="1"/>
          <w:color w:val="auto"/>
        </w:rPr>
        <w:t>Gross profit may not be comparable to that of other entities since some entities include all costs associated with their distribution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7"/>
          <w:szCs w:val="17"/>
          <w:i w:val="1"/>
          <w:iCs w:val="1"/>
          <w:color w:val="auto"/>
        </w:rPr>
        <w:t>process in cost of sales, whereas others exclude certain costs and instead include such costs within another line item such as operating expenses. We include out-bound freight and warehouse costs in operating expenses rather than in cost of sales.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Three-Months Ended June 30, 2022 Compared to the Three-Months Ended June 30, 2021</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$1.66 billion for the three-months ended June 30, 2022, an increase of approximately $193.3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13.2% higher than net sales of $1.46 billion for the three-months ended June 30, 2021. Net changes in foreign currency exchange rates had an unfavorable impact on net sales of approximately $53.4 million for the three-months ended June 30, 2022. Net sales on a foreign currency adjusted basis increased 16.9% for the three-months ended June 30, 2022.</w:t>
      </w:r>
    </w:p>
    <w:p>
      <w:pPr>
        <w:sectPr>
          <w:pgSz w:w="11900" w:h="16838" w:orient="portrait"/>
          <w:cols w:equalWidth="0" w:num="1">
            <w:col w:w="9920"/>
          </w:cols>
          <w:pgMar w:left="980" w:top="661" w:right="99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sales for the Monster Energy® Drinks segment were $1.54 billion for the three-months ended June 30, 2022, an increase of approximately $170.6 million, or 12.5% higher than net sales of $1.37 billion for the three-months ended June 30, 2021. Net sales for the Monster Energy® Drinks segment increased primarily due to increased worldwide sales by volume of our Monster Energy® brand energy drinks as a result of increased consumer demand. To a lesser extent, net sales for the Monster Energy® Drinks segment increased due to pricing actions and reductions in promotions in certain markets. Net changes in foreign currency exchange rates had an unfavorable impact on net sales for the Monster Energy® Drinks segment of approximately $49.4 million for the three-months ended June 30, 2022. Net sales for the Monster Energy® Drinks segment on a foreign currency adjusted basis increased 16.1% for the three-months ended June 30, 2022.</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Strategic Brands segment were $79.1 million for the three-months ended June 30, 2022, a decrease of approximately $7.8 million, or 9.0% lower than net sales of $86.9 million for the three-months ended June 30, 2021. Net sales for the Strategic Brands segment decreased primarily due to decreased sales by volume of our NOS® and Full Throttle® brand energy drinks. The decrease was partially offset by increased sales by volume of our Predator® brand energy drinks. Net changes in foreign currency exchange rates had an unfavorable impact on net sales of approximately $4.0 million for the Strategic Brands segment for the three-months ended June 30, 2022. Net sales for the Strategic Brands segment on a foreign currency adjusted basis decreased 4.3% for the three-months ended June 30, 2022.</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Alcohol Brands segment were $32.4 million for the three-months ended June 30, 2022. There were no comparative 2021 net sales for the Alcohol Brands segment as the Company completed its acquisition of CANarchy in February 2022.</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$6.0 million for the three-months ended June 30, 2022, a decrease of approximately $1.9 million, or 24.4% lower than net sales of $7.9 million for the three-months ended June 30,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184.2 million cases for the three-months ended June 30, 2022, an increase of approximately 22.7 million cases or 14.1% higher than case sales of 161.5 million cases for the three-months ended June 30, 2021. The overall average net sales per case decreased to $8.78 for the three-months ended June 30, 2022, which was 2.5% lower than the average net sales per case of $9.01 for the three-months ended June 30, 2021. Net changes in foreign currency exchange rates had an unfavorable impact on the overall average net sales per case for the three-months ended June 30, 2022.</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Barrel sales for our craft beers and hard seltzers, in 31 US gallon equivalents, were 0.1 million barrels for the three-months ended June 30, 2022.</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Gross Profit</w:t>
      </w:r>
    </w:p>
    <w:p>
      <w:pPr>
        <w:spacing w:after="0" w:line="22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profit was $779.9 million for the three-months ended June 30, 2022, a decrease of approximately $57.0 million, or 6.8% lower than the gross profit of $836.8 million for the three-months ended June 30, 2021. The decrease in gross profit dollars was primarily the result of the $250.3 million increase in cost of sales for the three-months ended June 30, 2022.</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sales decreased to 47.1% for the three-months ended June 30, 2022 from 57.2% for the three-months ended June 30, 2021. The decrease for the three-months ended June 30, 2022 was primarily the result of increased freight rates and fuel costs, including costs relating to the importation of aluminum cans, increased ingredient and other input costs, including secondary packaging materials, as well as increased co-packing fees, increased aluminum can costs attributable to higher aluminum commodity pricing, geographical and product sales mix, and production inefficiencies.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$406.9 million for the three-months ended June 30, 2022, an increase of approximately $96.0 million, or 30.9% higher than total operating expenses of $310.9 million for the three-months ended June 30,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comparative operating expenses for the three-months ended June 30, 2021 included a $16.9 million reversal of amounts previously accrued in connection with an intellectual property claim. In addition, the increase in operating expenses was primarily due to increased out-bound fuel, freight and warehouse costs of $23.2 million, increased payroll expenses of $18.5 million (of which $6.5 million was related to CANarchy), increased expenditures of $10.6 million for sponsorships and endorsements, increased expenditures of $10.1 million for travel and entertainment, as well as increased expenditures of $8.5 million for other marketing expenses, including social media and digital marketing, point of sale and sampling programs during the three-months ended June 30, 2022. In addition, CANarchy related depreciation and amortization was $2.4 million for the three-months ended June 30, 2022. Operating expenses as a percentage of net sales for the three-months ended June 30, 2022 were 24.6% as compared to 21.3% for the three-months ended June 30, 2021. Operating expenses as a percentage of net sales for the three-months ended June 30, 2019 (pre COVID-19) were 25.6%.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$373.0 million for the three-months ended June 30, 2022, a decrease of approximately $153.0 million, or 29.1% lower than operating income of $526.0 million for the three-months ended June 30, 2021. Operating income as a percentage of net sales decreased to 22.5% for the three-months ended June 30, 2022 from 36.0% for the three-months ended June 30, 2021. Operating income for the three-months ended June 30, 2022 decreased primarily as a result of the decrease in the gross profit as a percentage of net sales as well as the increase in operating expenses.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$82.8 million and $123.1 million for the three-months ended June 30, 2022 and 2021, respectively, for our operations in EMEA, Asia Pacific,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$441.7 million for the three-months ended June 30, 2022, a decrease of approximately $105.5 million, or 19.3% lower than operating income of $547.3 million for the three-months ended June 30, 2021. The decrease in operating income for the Monster Energy® Drinks segment was primarily the result of a decrease in gross profit as a percentage of net sales as well as an increase in operating expenses.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$41.5 million for the three-months ended June 30, 2022, a decrease of approximately $12.6 million, or 23.3% lower than operating income of $54.1 million for the three-months ended June 30, 2021. The decrease in operating income for the Strategic Brands segment was primarily the result of a decrease in net sales as well as a decrease in gross profit as a percentage of net sales.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$4.7 million for the three-months ended June 30, 2022.</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$1.0 million for the three-months ended June 30, 2022, a decrease of approximately $1.3 million, or 55.5% lower than operating income of $2.2 million for the three-months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Income,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non-operating (expense) income, net, was ($6.8) million for the three-months ended June 30, 2022, as compared to interest and other non-operating (expense) income, net, of $0.9 million for the three-months ended June 30, 2021. Foreign currency transaction losses were $8.3 million and $1.8 million for the three-months ended June 30, 2022 and 2021, respectively. Interest income was $3.8 million and $1.1 million for the three-months ended June 30, 2022 and 2021, respectively.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$92.8 million for the three-months ended June 30, 2022, a decrease of $30.3 million, or 24.6% lower than the provision for income taxes of $123.1 million for the three-months ended June 30, 2021. The effective combined federal, state and foreign tax rate increased to 25.3% from 23.4% for the three-months ended June 30, 2022 and 2021, respectively. The increase in the effective tax rate was primarily attributable to an increase in the effective state income tax rate as well as an increase in the net losses in certain foreign jurisdictions which have lower tax rates compared to the United States.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income was $273.4 million for the three-months ended June 30, 2022, a decrease of $130.4 million, or 32.3% lower than net income of $403.8 million for the three-months ended June 30, 2021. The decrease in net income for the three-months ended June 30, 2022 was primarily due to the decrease in the gross profit percentage of net sales as well as the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Six-Months Ended June 30, 2022 Compared to the Six-Months Ended June 30, 2021</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Net Sales. </w:t>
      </w:r>
      <w:r>
        <w:rPr>
          <w:rFonts w:ascii="Times New Roman" w:cs="Times New Roman" w:eastAsia="Times New Roman" w:hAnsi="Times New Roman"/>
          <w:sz w:val="18"/>
          <w:szCs w:val="18"/>
          <w:color w:val="auto"/>
        </w:rPr>
        <w:t>Net sales were $3.17 billion for the six-months ended June 30, 2022, an increase of approximately $468.1 million,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17.3% higher than net sales of $2.71 billion for the six-months ended June 30, 2021. Net changes in foreign currency exchange rates had an unfavorable impact on net sales of approximately $86.3 million for the six-months ended June 30, 2022. Net sales on a foreign currency adjusted basis increased 20.5% for the six-months ended June 30, 2022.</w:t>
      </w:r>
    </w:p>
    <w:p>
      <w:pPr>
        <w:spacing w:after="0" w:line="18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sales for the Monster Energy® Drinks segment were $2.94 billion for the six-months ended June 30, 2022, an increase of approximately $405.2 million, or 16.0% higher than net sales of $2.54 billion for the six-months ended June 30, 2021. Net sales for the Monster Energy® Drinks segment increased primarily due to increased worldwide sales by volume of our Monster Energy® brand energy drinks as a result of increased consumer demand, as well as sales of our True North® Pure Energy Seltzers (introduced in August 2021). Net changes in foreign currency exchange rates had an unfavorable impact on net sales for the Monster Energy® Drinks segment of approximately $79.0 million for the six-months ended June 30, 2022. Net sales for the Monster Energy® Drinks segment on a foreign currency adjusted basis increased 19.1% for the six-months ended June 30, 2022.</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Net sales for the Strategic Brands segment were $171.7 million for the six-months ended June 30, 2022, an increase of approximately $17.0 million, or 11.0% higher than net sales of $154.7 million for the six-months ended June 30, 2021. Net sales for the Strategic Brands segment increased primarily due to increased worldwide sales by volume of our Predator® brand energy drinks as a result of increased consumer demand. Net changes in foreign currency exchange rates had an unfavorable impact on net sales of approximately $7.3 million for the Strategic Brands segment for the six-months ended June 30, 2022. Net sales for the Strategic Brands segment on a foreign currency adjusted basis increased 15.7% for the six-months ended June 30, 2022.</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sales for the Alcohol Brands segment were $47.7 million for the six-months ended June 30, 2022 (effectively from February 17 to June 30, 2022).</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sales for the Other segment were $11.9 million for the six-months ended June 30, 2022, a decrease of approximately $1.7 million, or 12.7% lower than net sales of $13.6 million for the six-months ended June 30,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Case sales for our energy drink products, in 192-ounce case equivalents, were 353.0 million cases for the six-months ended June 30, 2022, an increase of approximately 53.0 million cases or 17.7% higher than case sales of 300.0 million cases for the six-months ended June 30, 2021. The overall average net sales per case decreased to $8.82 for the six-months ended June 30, 2022, which was 1.7% lower than the average net sales per case of $8.97 for the six-months ended June 30, 2021. Net changes in foreign currency exchange rates had an unfavorable impact on the overall average net sales per case for the six-months ended June 30, 2022.</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Barrel sales for our craft beers and hard seltzers, in 31 US gallon equivalents, were 0.15 million barrels for the six-months ended June 30,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profit was $1.56 billion for the six-months ended June 30, 2022, an increase of approximately $0.01 billion, or 0.3% higher than gross profit of $1.55 billion for the six-months ended June 30, 2021.</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as a percentage of net sales decreased to 49.0% for the six-months ended June 30, 2022 from 57.4% for the six-months ended June 30, 2021. The decrease for the six-months ended June 30, 2022 was primarily the result of increased freight rates and fuel costs, including costs relating to the importation of aluminum cans, increased ingredient and other input costs, including secondary packaging materials, increased aluminum can costs attributable to higher aluminum commodity pricing, increased co-packing fees, production inefficiencies and geographical sales mix.</w:t>
      </w:r>
    </w:p>
    <w:p>
      <w:pPr>
        <w:sectPr>
          <w:pgSz w:w="11900" w:h="16838" w:orient="portrait"/>
          <w:cols w:equalWidth="0" w:num="1">
            <w:col w:w="9920"/>
          </w:cols>
          <w:pgMar w:left="980" w:top="661" w:right="999"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Total operating expenses were $784.1 million for the six-months ended June 30, 2022, an increase of approximately $172.4 million, or 28.2% higher than total operating expenses of $611.7 million for the six-months ended June 30, 2021.</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comparative operating expenses for the six-months ended June 30, 2021 included a $16.9 million reversal of amounts previously accrued in connection with an intellectual property claim. In addition, the increase in operating expenses was primarily due to increased out-bound freight and warehouse costs of $50.3 million, increased payroll expenses of $28.5 million (of which $9.3 million was related to CANarchy), increased expenditures of $22.7 million for travel and entertainment, increased expenditures of $15.9 million for sponsorships and endorsements as well as increased expenditures of $19.1 million for other marketing expenses, including social media and digital marketing, commissions, point of sale and sampling during the six-months ended June 30, 2022. In addition, CANarchy related depreciation and amortization was $3.9 million for the six-months ended June 30, 2022. Operating expenses as a percentage of net sales for the six-months ended June 30, 2022 were 24.7% as compared to 22.6% for the six-months ended June 30, 2021. Operating expenses as a percentage of net sales for the six-months ended June 30, 2019 (pre COVID-19) were 22.6%.</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Operating income was $772.4 million for the six-months ended June 30, 2022, a decrease of approximately $167.7 million, or 17.8% lower than operating income of $940.1 million for the six-months ended June 30, 2021. Operating income as a percentage of net sales decreased to 24.3% for the six-months ended June 30, 2022 from 34.7% for the six-months ended June 30, 2021. Operating income for the six-months ended June 30, 2022 decreased primarily as a result of the decrease in the gross profit as a percentage of net sales as well as the increase in operating expenses.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Operating income was $154.4 million and $219.9 million for the six-months ended June 30, 2022 and 2021, respectively, for our operations in EMEA, Asia Pacific, Latin America and the Caribbean.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Monster Energy® Drinks segment, exclusive of corporate and unallocated expenses, was $896.3 million for the six-months ended June 30, 2022, a decrease of approximately $115.7 million, or 11.4% lower than operating income of $1.01 billion for the six-months ended June 30, 2021. The decrease in operating income for the Monster Energy® Drinks segment was primarily the result of a decrease in gross profit as a percentage of net sales as well as an increase in operating expenses.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Operating income for the Strategic Brands segment, exclusive of corporate and unallocated expenses, was $98.7 million for the six-months ended June 30, 2022, a decrease of approximately $0.5 million, or 0.5% lower than operating income of $99.2 million for the six-months ended June 30, 2021. The decrease in operating income for the Strategic Brands segment was primarily the result of a decrease in gross profit as a percentage of net sales as well as an increase in operating expenses.</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Operating loss for the Alcohol Brands segment, exclusive of corporate and unallocated expenses, was $9.6 million for the six-months ended June 30, 2022. Inventory purchased as part of the CANarchy Transaction was recorded at fair value. The inventory acquired was subsequently sold in the six-months ended June 30, 2022 and was recognized through cost of goods sold at fair value (purchased cost), resulting in no recognized profits on the associated sales. Operating income was negatively impacted by approximately $4.0 million during the six-months ended June 30, 2022 as a result. As of June 30, 2022, all purchased inventory recorded at fair value had been sold.</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Operating income for the Other segment, exclusive of corporate and unallocated expenses, was $2.2 million for the six-months ended June 30, 2022, a decrease of approximately $2.0 million, or 47.5% lower than operating income of $4.0 million for the six-months ended June 30, 2021.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(Expense) Income, net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Interest and other non-operating (expense) income, net, was ($14.1) million for the six-months ended June 30, 2022, as compared to interest and other non-operating (expense) income, net, of $0.1 million for the six-months ended June 30, 2021. Foreign currency transaction losses were $16.7 million and $2.6 million for the six-months ended June 30, 2022 and 2021, respectively. Interest income was $5.3 million and $2.2 million for the six-months ended June 30, 2022 and 2021, respectively.</w:t>
      </w:r>
    </w:p>
    <w:p>
      <w:pPr>
        <w:sectPr>
          <w:pgSz w:w="11900" w:h="16838" w:orient="portrait"/>
          <w:cols w:equalWidth="0" w:num="1">
            <w:col w:w="9920"/>
          </w:cols>
          <w:pgMar w:left="980" w:top="661" w:right="999"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Provision for income taxes was $190.8 million for the six-months ended June 30, 2022, a decrease of $30.5 million, or 13.8% lower than the provision for income taxes of $221.3 million for the six-months ended June 30, 2021. The effective combined federal, state and foreign tax rate increased to 25.2% from 23.5% for the six-months ended June 30, 2022 and 2021, respectively. The increase in the effective tax rate was primarily attributable to an increase in the effective state income tax rate as well as an increase in the net losses in certain foreign jurisdictions which have lower tax rates compared to the United States.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income was $567.6 million for the six-months ended June 30, 2022, a decrease of $151.4 million, or 21.1% lower than net income of $719.0 million for the six-months ended June 30, 2021. The decrease in net income for the six-months ended June 30, 2022 was primarily due to the decrease in the gross profit percentage of net sales as well as the increase in operating expenses.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use certain key metrics and financial measures not prepared in accordance with United States Generally Accepted Accounting Principles (“GAAP”) to evaluate and manage our business. For a further discussion of how we use key metrics and certain non-GAAP financial measures, see “Non-GAAP Financial Measures and Other Key Metrics.”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 and Other Key Metrics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Billings**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billings were $1.91 billion for the three-months ended June 30, 2022, an increase of approximately $210.5 million, or 12.4% higher than gross billings of $1.69 billion for the three-months ended June 30, 2021. Net changes in foreign currency exchange rates had an unfavorable impact on gross billings of approximately $63.9 million for the three-months ended June 30, 2022.</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$1.78 billion for the three-months ended June 30, 2022, an increase of approximately $188.3 million, or 11.9% higher than gross billings of $1.59 billion for the three-months ended June 30, 2021. Gross billings for the Monster Energy® Drinks segment increased primarily due to increased worldwide sales by volume of our Monster Energy® brand energy drinks as a result of increased consumer demand. Net changes in foreign currency exchange rates had an unfavorable impact on gross billings for the Monster Energy® Drinks segment of approximately $59.9 million for the three-months ended June 30,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for the Strategic Brands segment were $89.9 million for the three-months ended June 30, 2022, a decrease of $8.8 million, or 8.9% lower than gross billings of $98.7 million for the three-months ended June 30, 2021. Net changes in foreign currency exchange rates had an unfavorable impact on gross billings in the Strategic Brands segment of approximately $4.0 million for the three-months ended June 30,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billings for the Alcohol Brands segment were $32.9 million for the three-months ended June 30,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$6.0 million for the three-months ended June 30, 2022, a decrease of $1.9 million, or 24.4% lower than gross billings of $7.9 million for the three-months ended June 30,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$259.9 million for the three-months ended June 30, 2022, an increase of $16.8 million, or 6.9% higher than promotional allowances, commissions and other expenses of $243.1 million for the three-months ended June 30, 2021. Promotional allowances, commissions and other expenses as a percentage of gross billings decreased to 13.6% from 14.3% for the three-months ended June 30, 2022 and 2021, respectively.</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billings were $3.65 billion for the six-months ended June 30, 2022, an increase of approximately $504.4 million, or 16.0% higher than gross billings of $3.14 billion for the six-months ended June 30, 2021. Net changes in foreign currency exchange rates had an unfavorable impact on gross billings of approximately $102.2 million for the six-months ended June 30, 2022.</w:t>
      </w:r>
    </w:p>
    <w:p>
      <w:pPr>
        <w:sectPr>
          <w:pgSz w:w="11900" w:h="16838" w:orient="portrait"/>
          <w:cols w:equalWidth="0" w:num="1">
            <w:col w:w="9920"/>
          </w:cols>
          <w:pgMar w:left="980" w:top="661" w:right="999"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billings for the Monster Energy® Drinks segment were $3.39 billion for the six-months ended June 30, 2022, an increase of approximately $440.7 million, or 14.9% higher than gross billings of $2.95 billion for the six-months ended June 30, 2021. Gross billings for the Monster Energy® Drinks segment increased primarily due to increased worldwide sales by volume of our Monster Energy® brand energy drinks as a result of increased consumer demand. Net changes in foreign currency exchange rates had an unfavorable impact on gross billings for the Monster Energy® Drinks segment of approximately $94.9 million for the six-months ended June 30, 2022.</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billings for the Strategic Brands segment were $194.1 million for the six-months ended June 30, 2022, an increase of $17.1 million, or 9.7% higher than gross billings of $177.0 million for the six-months ended June 30, 2021. Net changes in foreign currency exchange rates had an unfavorable impact on gross billings in the Strategic Brands segment of approximately $7.3 million for the six-months ended June 30, 2022.</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billings for the Alcohol Brands segment were $48.4 million for the six-months ended June 30, 2022.</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billings for the Other segment were $11.9 million for the six-months ended June 30, 2022, a decrease of $1.7 million, or 12.7% lower than gross billings of $13.6 million for the six-months ended June 30, 2021.</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Promotional allowances, commissions and other expenses, as described in the footnote below, were $495.3 million for the six-months ended June 30, 2022, an increase of $35.5 million, or 7.7% higher than promotional allowances, commissions and other expenses of $459.8 million for the six-months ended June 30, 2021. Promotional allowances, commissions and other expenses as a percentage of gross billings decreased to 13.6% from 14.6% for the six-months ended June 30, 2022 and 2021, respectively.</w:t>
      </w:r>
    </w:p>
    <w:p>
      <w:pPr>
        <w:spacing w:after="0" w:line="182"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i w:val="1"/>
          <w:iCs w:val="1"/>
          <w:color w:val="auto"/>
        </w:rPr>
        <w:t>**Gross Billings represent amounts invoiced to customers net of cash discounts and returns. Gross billings are used internally by management as an indicator of and to monitor operating performance, including sales performance of particular products, salesperson performance, product growth or declines and is useful to investors in evaluating overall Company performance. The use of gross billings allows evaluation of sales performance before the effect of any promotional items, which can mask certain performance issues. We therefore believe that the presentation of gross billings provides a useful measure of our operating performance. The use of gross billings is not a measure that is recognized under GAAP and should not be considered as an alternative to net sales, which is determined in accordance with GAAP, and should not be used alone as an indicator of operating performance in place of net sales. Additionally, gross billings may not be comparable to similarly titled measures used by other companies, as gross billings has been defined by our internal reporting practices. In addition, gross billings may not be realized in the form of cash receipts as promotional payments and allowances may be deducted from payments received from certain customers</w:t>
      </w:r>
      <w:r>
        <w:rPr>
          <w:rFonts w:ascii="Times New Roman" w:cs="Times New Roman" w:eastAsia="Times New Roman" w:hAnsi="Times New Roman"/>
          <w:sz w:val="17"/>
          <w:szCs w:val="17"/>
          <w:i w:val="1"/>
          <w:iCs w:val="1"/>
          <w:color w:val="auto"/>
        </w:rPr>
        <w: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non-GAAP financial measure of gross billings with the most directly comparable GAAP financial measure of net sales: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Three-Months Ended</w:t>
            </w:r>
          </w:p>
        </w:tc>
        <w:tc>
          <w:tcPr>
            <w:tcW w:w="180" w:type="dxa"/>
            <w:vAlign w:val="bottom"/>
          </w:tcPr>
          <w:p>
            <w:pPr>
              <w:spacing w:after="0"/>
              <w:rPr>
                <w:sz w:val="18"/>
                <w:szCs w:val="18"/>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Percentage</w:t>
            </w:r>
          </w:p>
        </w:tc>
        <w:tc>
          <w:tcPr>
            <w:tcW w:w="2020" w:type="dxa"/>
            <w:vAlign w:val="bottom"/>
            <w:gridSpan w:val="3"/>
          </w:tcPr>
          <w:p>
            <w:pPr>
              <w:jc w:val="right"/>
              <w:ind w:right="190"/>
              <w:spacing w:after="0"/>
              <w:rPr>
                <w:sz w:val="20"/>
                <w:szCs w:val="20"/>
                <w:color w:val="auto"/>
              </w:rPr>
            </w:pPr>
            <w:r>
              <w:rPr>
                <w:rFonts w:ascii="Times New Roman" w:cs="Times New Roman" w:eastAsia="Times New Roman" w:hAnsi="Times New Roman"/>
                <w:sz w:val="18"/>
                <w:szCs w:val="18"/>
                <w:color w:val="auto"/>
              </w:rPr>
              <w:t>Six-Months Ended</w:t>
            </w:r>
          </w:p>
        </w:tc>
        <w:tc>
          <w:tcPr>
            <w:tcW w:w="200" w:type="dxa"/>
            <w:vAlign w:val="bottom"/>
          </w:tcPr>
          <w:p>
            <w:pPr>
              <w:spacing w:after="0"/>
              <w:rPr>
                <w:sz w:val="18"/>
                <w:szCs w:val="18"/>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Percentage</w:t>
            </w:r>
          </w:p>
        </w:tc>
        <w:tc>
          <w:tcPr>
            <w:tcW w:w="0" w:type="dxa"/>
            <w:vAlign w:val="bottom"/>
          </w:tcPr>
          <w:p>
            <w:pPr>
              <w:spacing w:after="0"/>
              <w:rPr>
                <w:sz w:val="1"/>
                <w:szCs w:val="1"/>
                <w:color w:val="auto"/>
              </w:rPr>
            </w:pPr>
          </w:p>
        </w:tc>
      </w:tr>
      <w:tr>
        <w:trPr>
          <w:trHeight w:val="234"/>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180" w:type="dxa"/>
            <w:vAlign w:val="bottom"/>
          </w:tcPr>
          <w:p>
            <w:pPr>
              <w:spacing w:after="0"/>
              <w:rPr>
                <w:sz w:val="20"/>
                <w:szCs w:val="20"/>
                <w:color w:val="auto"/>
              </w:rPr>
            </w:pPr>
          </w:p>
        </w:tc>
        <w:tc>
          <w:tcPr>
            <w:tcW w:w="204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June 30,</w:t>
            </w:r>
          </w:p>
        </w:tc>
        <w:tc>
          <w:tcPr>
            <w:tcW w:w="180" w:type="dxa"/>
            <w:vAlign w:val="bottom"/>
          </w:tcPr>
          <w:p>
            <w:pPr>
              <w:spacing w:after="0"/>
              <w:rPr>
                <w:sz w:val="20"/>
                <w:szCs w:val="20"/>
                <w:color w:val="auto"/>
              </w:rPr>
            </w:pPr>
          </w:p>
        </w:tc>
        <w:tc>
          <w:tcPr>
            <w:tcW w:w="1040" w:type="dxa"/>
            <w:vAlign w:val="bottom"/>
            <w:gridSpan w:val="2"/>
          </w:tcPr>
          <w:p>
            <w:pPr>
              <w:jc w:val="center"/>
              <w:ind w:right="150"/>
              <w:spacing w:after="0"/>
              <w:rPr>
                <w:sz w:val="20"/>
                <w:szCs w:val="20"/>
                <w:color w:val="auto"/>
              </w:rPr>
            </w:pPr>
            <w:r>
              <w:rPr>
                <w:rFonts w:ascii="Times New Roman" w:cs="Times New Roman" w:eastAsia="Times New Roman" w:hAnsi="Times New Roman"/>
                <w:sz w:val="18"/>
                <w:szCs w:val="18"/>
                <w:color w:val="auto"/>
              </w:rPr>
              <w:t>Change</w:t>
            </w:r>
          </w:p>
        </w:tc>
        <w:tc>
          <w:tcPr>
            <w:tcW w:w="202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June 30,</w:t>
            </w:r>
          </w:p>
        </w:tc>
        <w:tc>
          <w:tcPr>
            <w:tcW w:w="200" w:type="dxa"/>
            <w:vAlign w:val="bottom"/>
          </w:tcPr>
          <w:p>
            <w:pPr>
              <w:spacing w:after="0"/>
              <w:rPr>
                <w:sz w:val="20"/>
                <w:szCs w:val="20"/>
                <w:color w:val="auto"/>
              </w:rPr>
            </w:pPr>
          </w:p>
        </w:tc>
        <w:tc>
          <w:tcPr>
            <w:tcW w:w="980" w:type="dxa"/>
            <w:vAlign w:val="bottom"/>
            <w:gridSpan w:val="2"/>
          </w:tcPr>
          <w:p>
            <w:pPr>
              <w:jc w:val="center"/>
              <w:ind w:right="9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09"/>
        </w:trPr>
        <w:tc>
          <w:tcPr>
            <w:tcW w:w="32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120" w:type="dxa"/>
            <w:vAlign w:val="bottom"/>
            <w:tcBorders>
              <w:top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18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240" w:type="dxa"/>
            <w:vAlign w:val="bottom"/>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2021</w:t>
            </w:r>
          </w:p>
        </w:tc>
        <w:tc>
          <w:tcPr>
            <w:tcW w:w="200" w:type="dxa"/>
            <w:vAlign w:val="bottom"/>
          </w:tcPr>
          <w:p>
            <w:pPr>
              <w:spacing w:after="0"/>
              <w:rPr>
                <w:sz w:val="18"/>
                <w:szCs w:val="18"/>
                <w:color w:val="auto"/>
              </w:rPr>
            </w:pPr>
          </w:p>
        </w:tc>
        <w:tc>
          <w:tcPr>
            <w:tcW w:w="8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22 vs. 21</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Billings</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$ 1,905,150</w:t>
            </w:r>
          </w:p>
        </w:tc>
        <w:tc>
          <w:tcPr>
            <w:tcW w:w="2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$ 1,694,644</w:t>
            </w:r>
          </w:p>
        </w:tc>
        <w:tc>
          <w:tcPr>
            <w:tcW w:w="1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$ 3,649,077</w:t>
            </w:r>
          </w:p>
        </w:tc>
        <w:tc>
          <w:tcPr>
            <w:tcW w:w="1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$ 3,144,680</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10,051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10,439</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198"/>
        </w:trPr>
        <w:tc>
          <w:tcPr>
            <w:tcW w:w="3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Less: Promotional allowances, commissions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and other expenses***</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243,149</w:t>
            </w:r>
          </w:p>
        </w:tc>
        <w:tc>
          <w:tcPr>
            <w:tcW w:w="1220" w:type="dxa"/>
            <w:vAlign w:val="bottom"/>
            <w:gridSpan w:val="3"/>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495,315</w:t>
            </w:r>
          </w:p>
        </w:tc>
        <w:tc>
          <w:tcPr>
            <w:tcW w:w="18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459,808</w:t>
            </w:r>
          </w:p>
        </w:tc>
        <w:tc>
          <w:tcPr>
            <w:tcW w:w="1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0" w:type="dxa"/>
            <w:vAlign w:val="bottom"/>
          </w:tcPr>
          <w:p>
            <w:pPr>
              <w:spacing w:after="0"/>
              <w:rPr>
                <w:sz w:val="1"/>
                <w:szCs w:val="1"/>
                <w:color w:val="auto"/>
              </w:rPr>
            </w:pPr>
          </w:p>
        </w:tc>
      </w:tr>
      <w:tr>
        <w:trPr>
          <w:trHeight w:val="210"/>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Net Sales</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$ 1,655,260</w:t>
            </w:r>
          </w:p>
        </w:tc>
        <w:tc>
          <w:tcPr>
            <w:tcW w:w="20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$ 1,461,934</w:t>
            </w:r>
          </w:p>
        </w:tc>
        <w:tc>
          <w:tcPr>
            <w:tcW w:w="122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color w:val="auto"/>
              </w:rPr>
              <w:t>13.2 %</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$ 3,173,833</w:t>
            </w:r>
          </w:p>
        </w:tc>
        <w:tc>
          <w:tcPr>
            <w:tcW w:w="18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$ 2,705,751</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17.3 %</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firstLine="8"/>
        <w:spacing w:after="0" w:line="267" w:lineRule="auto"/>
        <w:tabs>
          <w:tab w:leader="none" w:pos="301" w:val="left"/>
        </w:tabs>
        <w:numPr>
          <w:ilvl w:val="0"/>
          <w:numId w:val="23"/>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Although the expenditures described in this line item are determined in accordance with GAAP and meet GAAP requirements, the presentation thereof does not conform to GAAP presentation requirements. Additionally, our definition of promotional and other allowances may not be comparable to similar items presented by other companies. Promotional and other allowances for our energy drink products primarily include consideration given to our non-alcohol bottlers/distributors or retail customers including, but not limited to the following: (i) discounts granted off list prices to support price promotions to end-consumers by retailers; (ii) reimbursements given to our bottlers/distributors for agreed portions of their promotional spend with retailers, including slotting, shelf space allowances and other fees for both new and existing products; (iii) our agreed share of fees given to bottlers/distributors and/or directly to retailers for advertising, in-store marketing and promotional activities; (iv) our agreed share of slotting, shelf space allowances and other fees given directly to retailers, club stores and/or wholesalers; (v) incentives given to our bottlers/distributors and/or retailers for achieving or exceeding certain predetermined sales goals; (vi) discounted or free products; (vii) contractual fees given to our bottlers/distributors related to sales made by us direct to certain customers that fall within the bottlers’/distributors’ sales territories; and (viii) certain commissions based on sales to our bottlers/distributors. The presentation of promotional and other allowances facilitates an evaluation of their impact on the determination of net sales and the spending levels incurred or correlated with such sales. Promotional and other allowances for our energy drink products constitute a material portion of our marketing activities. Our promotional allowance programs for our energy drink products with our</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6"/>
          <w:szCs w:val="16"/>
          <w:i w:val="1"/>
          <w:iCs w:val="1"/>
          <w:color w:val="auto"/>
        </w:rPr>
        <w:t>numerous bottlers/distributors and/or retailers are executed through separate agreements in the ordinary course of business. These agreements generally provide for one or more of the arrangements described above and are of varying durations, ranging from one week to one year. The primary drivers of our promotional and other allowance activities for our energy drink products for the three- and six-months ended June 30, 2022 and 2021 were (i) to increase sales volume and trial, (ii) to address market conditions, and (iii) to secure shelf and display space at retail. Promotional and other allowances for our Alcohol Brands segment primarily include price promotions where permitted.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table below discloses selected quarterly data regarding sales for the three- and six-months ended June 30, 2022 and 2021, respectively. Data from any one or more quarters or periods is not necessarily indicative of annual results or continuing trends.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Sales of our energy drinks are expressed in unit case volume. A “unit case” means a unit of measurement equal to 192 U.S. fluid ounces of finished beverage (24 eight-ounce servings). Unit case volume means the number of unit cases (or unit case equivalents) of finished products or concentrates as if converted into finished products sold by us.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quarterly results of operations reflect seasonal trends that are primarily the result of increased demand in the warmer months of the year. It has been our experience that beverage sales tend to be lower during the first and fourth quarters of each calendar year. However, our experience with our energy drink products suggests they may be less seasonal than the seasonality of traditional beverages. In addition, our continued growth internationally may further reduce the impact of seasonality on our business. Quarterly fluctuations may also be affected by other factors including the introduction of new products, the opening of new markets where temperature fluctuations are more pronounced, the addition of new bottlers/distributors, changes in the sales mix of our products and changes in advertising and promotional expenses. The COVID-19 pandemic, including new variants, may also have an impact on consumer behavior and change the seasonal fluctuation of our business.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6"/>
          </w:tcPr>
          <w:p>
            <w:pPr>
              <w:ind w:left="280"/>
              <w:spacing w:after="0"/>
              <w:rPr>
                <w:sz w:val="20"/>
                <w:szCs w:val="20"/>
                <w:color w:val="auto"/>
              </w:rPr>
            </w:pPr>
            <w:r>
              <w:rPr>
                <w:rFonts w:ascii="Times New Roman" w:cs="Times New Roman" w:eastAsia="Times New Roman" w:hAnsi="Times New Roman"/>
                <w:sz w:val="18"/>
                <w:szCs w:val="18"/>
                <w:color w:val="auto"/>
              </w:rPr>
              <w:t>Three-Months Ended</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5"/>
          </w:tcPr>
          <w:p>
            <w:pPr>
              <w:jc w:val="right"/>
              <w:ind w:right="530"/>
              <w:spacing w:after="0"/>
              <w:rPr>
                <w:sz w:val="20"/>
                <w:szCs w:val="20"/>
                <w:color w:val="auto"/>
              </w:rPr>
            </w:pPr>
            <w:r>
              <w:rPr>
                <w:rFonts w:ascii="Times New Roman" w:cs="Times New Roman" w:eastAsia="Times New Roman" w:hAnsi="Times New Roman"/>
                <w:sz w:val="18"/>
                <w:szCs w:val="18"/>
                <w:color w:val="auto"/>
              </w:rPr>
              <w:t>Six-Months Ended</w:t>
            </w:r>
          </w:p>
        </w:tc>
        <w:tc>
          <w:tcPr>
            <w:tcW w:w="0" w:type="dxa"/>
            <w:vAlign w:val="bottom"/>
          </w:tcPr>
          <w:p>
            <w:pPr>
              <w:spacing w:after="0"/>
              <w:rPr>
                <w:sz w:val="1"/>
                <w:szCs w:val="1"/>
                <w:color w:val="auto"/>
              </w:rPr>
            </w:pPr>
          </w:p>
        </w:tc>
      </w:tr>
      <w:tr>
        <w:trPr>
          <w:trHeight w:val="234"/>
        </w:trPr>
        <w:tc>
          <w:tcPr>
            <w:tcW w:w="45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 thousands, except average net sales per case)</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30"/>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4"/>
          </w:tcPr>
          <w:p>
            <w:pPr>
              <w:jc w:val="right"/>
              <w:ind w:right="64"/>
              <w:spacing w:after="0"/>
              <w:rPr>
                <w:sz w:val="20"/>
                <w:szCs w:val="20"/>
                <w:color w:val="auto"/>
              </w:rPr>
            </w:pPr>
            <w:r>
              <w:rPr>
                <w:rFonts w:ascii="Times New Roman" w:cs="Times New Roman" w:eastAsia="Times New Roman" w:hAnsi="Times New Roman"/>
                <w:sz w:val="18"/>
                <w:szCs w:val="18"/>
                <w:color w:val="auto"/>
              </w:rPr>
              <w:t>June 30,</w:t>
            </w: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54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2022</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1,655,260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1,461,934</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3,173,833</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2,705,751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Alcohol Brands segment sales</w:t>
            </w:r>
          </w:p>
        </w:tc>
        <w:tc>
          <w:tcPr>
            <w:tcW w:w="2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(32,447)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(47,654)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Other segment sales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(5,981)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(7,905)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(11,908)</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(13,633)</w:t>
            </w:r>
          </w:p>
        </w:tc>
        <w:tc>
          <w:tcPr>
            <w:tcW w:w="0" w:type="dxa"/>
            <w:vAlign w:val="bottom"/>
          </w:tcPr>
          <w:p>
            <w:pPr>
              <w:spacing w:after="0"/>
              <w:rPr>
                <w:sz w:val="1"/>
                <w:szCs w:val="1"/>
                <w:color w:val="auto"/>
              </w:rPr>
            </w:pPr>
          </w:p>
        </w:tc>
      </w:tr>
      <w:tr>
        <w:trPr>
          <w:trHeight w:val="250"/>
        </w:trPr>
        <w:tc>
          <w:tcPr>
            <w:tcW w:w="4540" w:type="dxa"/>
            <w:vAlign w:val="bottom"/>
            <w:gridSpan w:val="3"/>
          </w:tcPr>
          <w:p>
            <w:pPr>
              <w:spacing w:after="0" w:line="210" w:lineRule="exact"/>
              <w:rPr>
                <w:sz w:val="20"/>
                <w:szCs w:val="20"/>
                <w:color w:val="auto"/>
              </w:rPr>
            </w:pPr>
            <w:r>
              <w:rPr>
                <w:rFonts w:ascii="Times New Roman" w:cs="Times New Roman" w:eastAsia="Times New Roman" w:hAnsi="Times New Roman"/>
                <w:sz w:val="17"/>
                <w:szCs w:val="17"/>
                <w:color w:val="auto"/>
              </w:rPr>
              <w:t>Adjusted net sales</w:t>
            </w:r>
            <w:r>
              <w:rPr>
                <w:rFonts w:ascii="Times New Roman" w:cs="Times New Roman" w:eastAsia="Times New Roman" w:hAnsi="Times New Roman"/>
                <w:sz w:val="24"/>
                <w:szCs w:val="24"/>
                <w:color w:val="auto"/>
                <w:vertAlign w:val="superscript"/>
              </w:rPr>
              <w:t>1</w:t>
            </w: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1,616,832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1,454,029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3,114,271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2,692,118</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3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gridSpan w:val="2"/>
          </w:tcPr>
          <w:p>
            <w:pPr>
              <w:spacing w:after="0" w:line="216" w:lineRule="exact"/>
              <w:rPr>
                <w:sz w:val="20"/>
                <w:szCs w:val="20"/>
                <w:color w:val="auto"/>
              </w:rPr>
            </w:pPr>
            <w:r>
              <w:rPr>
                <w:rFonts w:ascii="Times New Roman" w:cs="Times New Roman" w:eastAsia="Times New Roman" w:hAnsi="Times New Roman"/>
                <w:sz w:val="17"/>
                <w:szCs w:val="17"/>
                <w:color w:val="auto"/>
              </w:rPr>
              <w:t>Case sales by segment:</w:t>
            </w:r>
            <w:r>
              <w:rPr>
                <w:rFonts w:ascii="Times New Roman" w:cs="Times New Roman" w:eastAsia="Times New Roman" w:hAnsi="Times New Roman"/>
                <w:sz w:val="25"/>
                <w:szCs w:val="25"/>
                <w:color w:val="auto"/>
                <w:vertAlign w:val="superscript"/>
              </w:rPr>
              <w:t>1</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Monster Energy® Drinks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296,272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Strategic Brands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28,051</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24,348</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56,718</w:t>
            </w: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44,979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case sales</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184,197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352,990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300,017</w:t>
            </w:r>
          </w:p>
        </w:tc>
        <w:tc>
          <w:tcPr>
            <w:tcW w:w="0" w:type="dxa"/>
            <w:vAlign w:val="bottom"/>
          </w:tcPr>
          <w:p>
            <w:pPr>
              <w:spacing w:after="0"/>
              <w:rPr>
                <w:sz w:val="1"/>
                <w:szCs w:val="1"/>
                <w:color w:val="auto"/>
              </w:rPr>
            </w:pPr>
          </w:p>
        </w:tc>
      </w:tr>
      <w:tr>
        <w:trPr>
          <w:trHeight w:val="210"/>
        </w:trPr>
        <w:tc>
          <w:tcPr>
            <w:tcW w:w="4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Average net sales per case - Energy Drinks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9" w:lineRule="exact"/>
        <w:rPr>
          <w:sz w:val="20"/>
          <w:szCs w:val="20"/>
          <w:color w:val="auto"/>
        </w:rPr>
      </w:pPr>
    </w:p>
    <w:p>
      <w:pPr>
        <w:jc w:val="both"/>
        <w:ind w:right="20"/>
        <w:spacing w:after="0" w:line="223" w:lineRule="auto"/>
        <w:rPr>
          <w:sz w:val="20"/>
          <w:szCs w:val="20"/>
          <w:color w:val="auto"/>
        </w:rPr>
      </w:pPr>
      <w:r>
        <w:rPr>
          <w:rFonts w:ascii="Times New Roman" w:cs="Times New Roman" w:eastAsia="Times New Roman" w:hAnsi="Times New Roman"/>
          <w:sz w:val="24"/>
          <w:szCs w:val="24"/>
          <w:i w:val="1"/>
          <w:iCs w:val="1"/>
          <w:color w:val="auto"/>
          <w:vertAlign w:val="superscript"/>
        </w:rPr>
        <w:t>1</w:t>
      </w:r>
      <w:r>
        <w:rPr>
          <w:rFonts w:ascii="Times New Roman" w:cs="Times New Roman" w:eastAsia="Times New Roman" w:hAnsi="Times New Roman"/>
          <w:sz w:val="16"/>
          <w:szCs w:val="16"/>
          <w:i w:val="1"/>
          <w:iCs w:val="1"/>
          <w:color w:val="auto"/>
        </w:rPr>
        <w:t>Excludes Alcohol Brands segment (effectively from February 17, 2022 to June 30, 2022) and Other segment net sales, as these sales do not have unit case equivalents.</w:t>
      </w:r>
    </w:p>
    <w:p>
      <w:pPr>
        <w:spacing w:after="0" w:line="20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changes in foreign currency exchange rates had an unfavorable impact on the overall average net sales per case for the three- and six-months ended June 30, 2022.</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Sales of our Alcohol products are expressed in barrel volume. A “Barrel” means a unit of measurement equal to 31 US gallons.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Barrel sales were 0.1 million and 0.15 million for the three- and six-months ended June 30, 2022, respectively.</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See Item 2, “Management’s Discussion and Analysis of Financial Condition and Results of Operations – Results of Operations” for additional information related to the increase in sales.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and cash equivalents, short-term and long-term investments. </w:t>
      </w:r>
      <w:r>
        <w:rPr>
          <w:rFonts w:ascii="Times New Roman" w:cs="Times New Roman" w:eastAsia="Times New Roman" w:hAnsi="Times New Roman"/>
          <w:sz w:val="18"/>
          <w:szCs w:val="18"/>
          <w:color w:val="auto"/>
        </w:rPr>
        <w:t>At June 30, 2022, we had $1.13 billion in cash and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equivalents, $1.34 billion in short-term investments and $64.1 million in long-term investments, including certificates of deposit, commercial paper, U.S. government agency securities, municipal securities and U.S. treasuries. We maintain our investments for cash</w:t>
      </w:r>
    </w:p>
    <w:p>
      <w:pPr>
        <w:sectPr>
          <w:pgSz w:w="11900" w:h="16838" w:orient="portrait"/>
          <w:cols w:equalWidth="0" w:num="1">
            <w:col w:w="9920"/>
          </w:cols>
          <w:pgMar w:left="980" w:top="661" w:right="999" w:bottom="1440" w:gutter="0" w:footer="0" w:header="0"/>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management purposes and not for purposes of speculation. Our risk management policies emphasize credit quality (primarily based on short-term ratings by nationally recognized statistical organizations) in selecting and maintaining our investments. We regularly assess market risk of our investments and believe our current policies and investment practices adequately limit those risks. However, certain of these investments are subject to general credit, liquidity, market and interest rate risks. These market risks associated with our investment portfolio may have an adverse effect on our future results of operations, liquidity and financial condition.</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Of our $1.13 billion of cash and cash equivalents held at June 30, 2022, $537.2 million was held by our foreign subsidiaries. No short-term or long-term investments were held by our foreign subsidiaries at June 30, 2022.</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believe that cash available from operations, including our cash resources and access to credit, will be sufficient for our working capital needs, including purchase commitments for raw materials and inventory, increases in accounts receivable, payments of tax liabilities, expansion and development needs, purchases of capital assets, purchases of equipment, purchases of real property and purchases of shares of our common stock, through at least the next 12 months. Based on our current plans, at this time we estimate that capital expenditures (exclusive of common stock repurchases) are likely to be less than $200.0 million through June 30, 2023. However, future business opportunities may cause a change in this estimate.</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Purchases of inventories, increases in accounts receivable and other assets, acquisition of property and equipment (including real property, personal property and coolers), leasehold improvements, advances for or the purchase of equipment for our bottlers, acquisition and maintenance of trademarks, payments of accounts payable, income taxes payable and purchases of our common stock are expected to remain our principal recurring use of cash.</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summarizes our cash flows for the six-months ended June 30, 2022 and 2021 (in thousands):</w:t>
      </w:r>
    </w:p>
    <w:p>
      <w:pPr>
        <w:spacing w:after="0" w:line="239"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1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vMerge w:val="restart"/>
          </w:tcPr>
          <w:p>
            <w:pPr>
              <w:jc w:val="right"/>
              <w:ind w:right="170"/>
              <w:spacing w:after="0"/>
              <w:rPr>
                <w:sz w:val="20"/>
                <w:szCs w:val="20"/>
                <w:color w:val="auto"/>
              </w:rPr>
            </w:pPr>
            <w:r>
              <w:rPr>
                <w:rFonts w:ascii="Times New Roman" w:cs="Times New Roman" w:eastAsia="Times New Roman" w:hAnsi="Times New Roman"/>
                <w:sz w:val="18"/>
                <w:szCs w:val="18"/>
                <w:color w:val="auto"/>
              </w:rPr>
              <w:t>2021</w:t>
            </w:r>
          </w:p>
        </w:tc>
        <w:tc>
          <w:tcPr>
            <w:tcW w:w="0" w:type="dxa"/>
            <w:vAlign w:val="bottom"/>
          </w:tcPr>
          <w:p>
            <w:pPr>
              <w:spacing w:after="0"/>
              <w:rPr>
                <w:sz w:val="1"/>
                <w:szCs w:val="1"/>
                <w:color w:val="auto"/>
              </w:rPr>
            </w:pPr>
          </w:p>
        </w:tc>
      </w:tr>
      <w:tr>
        <w:trPr>
          <w:trHeight w:val="216"/>
        </w:trPr>
        <w:tc>
          <w:tcPr>
            <w:tcW w:w="4160" w:type="dxa"/>
            <w:vAlign w:val="bottom"/>
            <w:tcBorders>
              <w:bottom w:val="single" w:sz="8" w:color="CCEEFF"/>
            </w:tcBorders>
          </w:tcPr>
          <w:p>
            <w:pPr>
              <w:spacing w:after="0"/>
              <w:rPr>
                <w:sz w:val="18"/>
                <w:szCs w:val="18"/>
                <w:color w:val="auto"/>
              </w:rPr>
            </w:pPr>
          </w:p>
        </w:tc>
        <w:tc>
          <w:tcPr>
            <w:tcW w:w="18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586,586</w:t>
            </w:r>
          </w:p>
        </w:tc>
        <w:tc>
          <w:tcPr>
            <w:tcW w:w="0" w:type="dxa"/>
            <w:vAlign w:val="bottom"/>
          </w:tcPr>
          <w:p>
            <w:pPr>
              <w:spacing w:after="0"/>
              <w:rPr>
                <w:sz w:val="1"/>
                <w:szCs w:val="1"/>
                <w:color w:val="auto"/>
              </w:rPr>
            </w:pP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(180,162)</w:t>
            </w:r>
          </w:p>
        </w:tc>
        <w:tc>
          <w:tcPr>
            <w:tcW w:w="0" w:type="dxa"/>
            <w:vAlign w:val="bottom"/>
          </w:tcPr>
          <w:p>
            <w:pPr>
              <w:spacing w:after="0"/>
              <w:rPr>
                <w:sz w:val="1"/>
                <w:szCs w:val="1"/>
                <w:color w:val="auto"/>
              </w:rPr>
            </w:pPr>
          </w:p>
        </w:tc>
      </w:tr>
      <w:tr>
        <w:trPr>
          <w:trHeight w:val="216"/>
        </w:trPr>
        <w:tc>
          <w:tcPr>
            <w:tcW w:w="4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(268,953)</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14,292</w:t>
            </w: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provided by operating activities. </w:t>
      </w:r>
      <w:r>
        <w:rPr>
          <w:rFonts w:ascii="Times New Roman" w:cs="Times New Roman" w:eastAsia="Times New Roman" w:hAnsi="Times New Roman"/>
          <w:sz w:val="18"/>
          <w:szCs w:val="18"/>
          <w:color w:val="auto"/>
        </w:rPr>
        <w:t>Cash provided by operating activities was $130.7 million for the six-months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June 30, 2022, as compared with cash provided by operating activities of $586.6 million for the six-months ended June 30, 2021.</w:t>
      </w:r>
    </w:p>
    <w:p>
      <w:pPr>
        <w:spacing w:after="0" w:line="16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six-months ended June 30, 2022, cash provided by operating activities was primarily attributable to net income earned of $567.6 million and adjustments for certain non-cash expenses, consisting of $32.6 million of stock-based compensation and $30.4 million of depreciation and amortization. For the six-months ended June 30, 2022, cash provided by operating activities also increased due to an $85.5 million increase in accounts payable, a $77.7 million increase in accrued promotional allowances and a $21.9 million decrease in deferred income taxes. For the six-months ended June 30, 2022, cash used in operating activities was primarily attributable to a $299.1 million increase in inventories, a $289.2 million increase in accounts receivable, a $15.3 million decrease in accrued compensation, a $55.7 million increase in prepaid expenses and other assets, a $14.7 million decrease in income taxes payable, a $9.1 million decrease in deferred revenue, a $3.2 million decrease in other liabilities and a $1.2 million increase in prepaid income taxes.</w:t>
      </w:r>
    </w:p>
    <w:p>
      <w:pPr>
        <w:spacing w:after="0" w:line="19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For the six-months ended June 30, 2021, cash provided by operating activities was primarily attributable to net income earned of $719.0 million and adjustments for certain non-cash expenses, consisting of $35.7 million of stock-based compensation and $25.5 million of depreciation and amortization. For the six-months ended June 30, 2021, cash provided by operating activities also increased due to a $63.6 million increase in accounts payable, a $42.7 million increase in accrued promotional allowances, a $29.9 million increase in accrued liabilities, a $7.7 million increase in income taxes payable and a $2.5 million decrease in prepaid income taxes. For the six-months ended June 30, 2021, cash used in operating activities was primarily attributable to a $239.5 million increase in accounts receivable, a $52.5 million increase in inventories, a $28.2 million increase in prepaid expenses and other assets, a $10.9 million decrease in deferred revenue and a $10.8 million decrease in accrued compensation.</w:t>
      </w:r>
    </w:p>
    <w:p>
      <w:pPr>
        <w:spacing w:after="0" w:line="19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used in investing activities. </w:t>
      </w:r>
      <w:r>
        <w:rPr>
          <w:rFonts w:ascii="Times New Roman" w:cs="Times New Roman" w:eastAsia="Times New Roman" w:hAnsi="Times New Roman"/>
          <w:sz w:val="18"/>
          <w:szCs w:val="18"/>
          <w:color w:val="auto"/>
        </w:rPr>
        <w:t>Cash used in investing activities was $5.7 million for the six-months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as compared to cash used in investing activities of $180.2 million for the six-months ended June 30, 2021.</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both the six-months ended June 30, 2022 and 2021, cash provided by investing activities was primarily attributable to sales of available-for-sale investments. For the six-months ended June 30, 2022, cash used in investing activities included $329.5 million</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related to the CANarchy Transaction. For both the six-months ended June 30, 2022 and 2021, cash used in investing activities was attributable to purchases of available-for-sale investments. To a lesser extent, for both the six-months ended June 30, 2022 and 2021, cash used in investing activities also included the acquisitions of fixed assets consisting of vans and promotional vehicles, coolers and other equipment to support our marketing and promotional activities, production equipment, furniture and fixtures, office and computer equipment, computer software, equipment used for sales and administrative activities, certain leasehold improvements, as well as acquisitions of and/or improvements to real property. We expect to continue to use a portion of our cash in excess of our requirements for operations for purchasing short-term and long-term investments, leasehold improvements, the acquisition of capital equipment (specifically, vans, trucks and promotional vehicles, coolers, other promotional equipment, merchandise displays, warehousing racks as well as items of production equipment required to produce certain of our existing and/or new products) to develop our brand in international markets and for other corporate purposes. From time to time, we may also use cash to purchase additional real property related to our beverage business and/or acquire compatible businesses.</w:t>
      </w:r>
    </w:p>
    <w:p>
      <w:pPr>
        <w:spacing w:after="0" w:line="19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flow (used in) provided by financing activities. </w:t>
      </w:r>
      <w:r>
        <w:rPr>
          <w:rFonts w:ascii="Times New Roman" w:cs="Times New Roman" w:eastAsia="Times New Roman" w:hAnsi="Times New Roman"/>
          <w:sz w:val="18"/>
          <w:szCs w:val="18"/>
          <w:color w:val="auto"/>
        </w:rPr>
        <w:t>Cash used in financing activities was $269.0 million for the six-months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2022 as compared to cash provided by financing activities of $14.3 million for the six-months ended June 30, 2021. The cash used in financing activities for both the six-months ended June 30, 2022 and 2021 was primarily the result of the repurchases of our common stock. The cash provided by financing activities for both the six-months ended June 30, 2022, and 2021 was primarily attributable to the issuance of our common stock under our stock-based compensation plans and borrowings on debt.</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a summary of the Company’s contractual commitments and related scheduled maturities as of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580" w:type="dxa"/>
            <w:vAlign w:val="bottom"/>
            <w:tcBorders>
              <w:bottom w:val="single" w:sz="8" w:color="auto"/>
            </w:tcBorders>
            <w:gridSpan w:val="8"/>
          </w:tcPr>
          <w:p>
            <w:pPr>
              <w:jc w:val="center"/>
              <w:ind w:right="320"/>
              <w:spacing w:after="0"/>
              <w:rPr>
                <w:sz w:val="20"/>
                <w:szCs w:val="20"/>
                <w:color w:val="auto"/>
              </w:rPr>
            </w:pPr>
            <w:r>
              <w:rPr>
                <w:rFonts w:ascii="Times New Roman" w:cs="Times New Roman" w:eastAsia="Times New Roman" w:hAnsi="Times New Roman"/>
                <w:sz w:val="18"/>
                <w:szCs w:val="18"/>
                <w:color w:val="auto"/>
              </w:rPr>
              <w:t>Payments due by period (in thousands)</w:t>
            </w: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r>
      <w:tr>
        <w:trPr>
          <w:trHeight w:val="191"/>
        </w:trPr>
        <w:tc>
          <w:tcPr>
            <w:tcW w:w="3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340"/>
              <w:spacing w:after="0" w:line="191" w:lineRule="exact"/>
              <w:rPr>
                <w:sz w:val="20"/>
                <w:szCs w:val="20"/>
                <w:color w:val="auto"/>
              </w:rPr>
            </w:pPr>
            <w:r>
              <w:rPr>
                <w:rFonts w:ascii="Times New Roman" w:cs="Times New Roman" w:eastAsia="Times New Roman" w:hAnsi="Times New Roman"/>
                <w:sz w:val="18"/>
                <w:szCs w:val="18"/>
                <w:color w:val="auto"/>
                <w:w w:val="99"/>
              </w:rPr>
              <w:t>Less than</w:t>
            </w:r>
          </w:p>
        </w:tc>
        <w:tc>
          <w:tcPr>
            <w:tcW w:w="200" w:type="dxa"/>
            <w:vAlign w:val="bottom"/>
          </w:tcPr>
          <w:p>
            <w:pPr>
              <w:spacing w:after="0"/>
              <w:rPr>
                <w:sz w:val="16"/>
                <w:szCs w:val="16"/>
                <w:color w:val="auto"/>
              </w:rPr>
            </w:pPr>
          </w:p>
        </w:tc>
        <w:tc>
          <w:tcPr>
            <w:tcW w:w="1040" w:type="dxa"/>
            <w:vAlign w:val="bottom"/>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w:t>
            </w:r>
          </w:p>
        </w:tc>
        <w:tc>
          <w:tcPr>
            <w:tcW w:w="220" w:type="dxa"/>
            <w:vAlign w:val="bottom"/>
          </w:tcPr>
          <w:p>
            <w:pPr>
              <w:spacing w:after="0"/>
              <w:rPr>
                <w:sz w:val="16"/>
                <w:szCs w:val="16"/>
                <w:color w:val="auto"/>
              </w:rPr>
            </w:pPr>
          </w:p>
        </w:tc>
        <w:tc>
          <w:tcPr>
            <w:tcW w:w="1020" w:type="dxa"/>
            <w:vAlign w:val="bottom"/>
            <w:gridSpan w:val="2"/>
          </w:tcPr>
          <w:p>
            <w:pPr>
              <w:jc w:val="center"/>
              <w:ind w:right="460"/>
              <w:spacing w:after="0" w:line="191" w:lineRule="exact"/>
              <w:rPr>
                <w:sz w:val="20"/>
                <w:szCs w:val="20"/>
                <w:color w:val="auto"/>
              </w:rPr>
            </w:pPr>
            <w:r>
              <w:rPr>
                <w:rFonts w:ascii="Times New Roman" w:cs="Times New Roman" w:eastAsia="Times New Roman" w:hAnsi="Times New Roman"/>
                <w:sz w:val="18"/>
                <w:szCs w:val="18"/>
                <w:color w:val="auto"/>
              </w:rPr>
              <w:t>3</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w:t>
            </w:r>
          </w:p>
        </w:tc>
        <w:tc>
          <w:tcPr>
            <w:tcW w:w="120" w:type="dxa"/>
            <w:vAlign w:val="bottom"/>
          </w:tcPr>
          <w:p>
            <w:pPr>
              <w:spacing w:after="0"/>
              <w:rPr>
                <w:sz w:val="16"/>
                <w:szCs w:val="16"/>
                <w:color w:val="auto"/>
              </w:rPr>
            </w:pPr>
          </w:p>
        </w:tc>
        <w:tc>
          <w:tcPr>
            <w:tcW w:w="920" w:type="dxa"/>
            <w:vAlign w:val="bottom"/>
          </w:tcPr>
          <w:p>
            <w:pPr>
              <w:jc w:val="right"/>
              <w:ind w:right="50"/>
              <w:spacing w:after="0" w:line="191" w:lineRule="exact"/>
              <w:rPr>
                <w:sz w:val="20"/>
                <w:szCs w:val="20"/>
                <w:color w:val="auto"/>
              </w:rPr>
            </w:pPr>
            <w:r>
              <w:rPr>
                <w:rFonts w:ascii="Times New Roman" w:cs="Times New Roman" w:eastAsia="Times New Roman" w:hAnsi="Times New Roman"/>
                <w:sz w:val="18"/>
                <w:szCs w:val="18"/>
                <w:color w:val="auto"/>
              </w:rPr>
              <w:t>More than</w:t>
            </w:r>
          </w:p>
        </w:tc>
      </w:tr>
      <w:tr>
        <w:trPr>
          <w:trHeight w:val="234"/>
        </w:trPr>
        <w:tc>
          <w:tcPr>
            <w:tcW w:w="394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Obligations</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8"/>
              </w:rPr>
              <w:t>1 year</w:t>
            </w:r>
          </w:p>
        </w:tc>
        <w:tc>
          <w:tcPr>
            <w:tcW w:w="200" w:type="dxa"/>
            <w:vAlign w:val="bottom"/>
          </w:tcPr>
          <w:p>
            <w:pPr>
              <w:spacing w:after="0"/>
              <w:rPr>
                <w:sz w:val="20"/>
                <w:szCs w:val="20"/>
                <w:color w:val="auto"/>
              </w:rPr>
            </w:pPr>
          </w:p>
        </w:tc>
        <w:tc>
          <w:tcPr>
            <w:tcW w:w="10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color w:val="auto"/>
                <w:w w:val="99"/>
              </w:rPr>
              <w:t>years</w:t>
            </w:r>
          </w:p>
        </w:tc>
        <w:tc>
          <w:tcPr>
            <w:tcW w:w="220" w:type="dxa"/>
            <w:vAlign w:val="bottom"/>
          </w:tcPr>
          <w:p>
            <w:pPr>
              <w:spacing w:after="0"/>
              <w:rPr>
                <w:sz w:val="20"/>
                <w:szCs w:val="20"/>
                <w:color w:val="auto"/>
              </w:rPr>
            </w:pPr>
          </w:p>
        </w:tc>
        <w:tc>
          <w:tcPr>
            <w:tcW w:w="10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years</w:t>
            </w:r>
          </w:p>
        </w:tc>
        <w:tc>
          <w:tcPr>
            <w:tcW w:w="120" w:type="dxa"/>
            <w:vAlign w:val="bottom"/>
          </w:tcPr>
          <w:p>
            <w:pPr>
              <w:spacing w:after="0"/>
              <w:rPr>
                <w:sz w:val="20"/>
                <w:szCs w:val="20"/>
                <w:color w:val="auto"/>
              </w:rPr>
            </w:pPr>
          </w:p>
        </w:tc>
        <w:tc>
          <w:tcPr>
            <w:tcW w:w="9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5 years</w:t>
            </w:r>
          </w:p>
        </w:tc>
      </w:tr>
      <w:tr>
        <w:trPr>
          <w:trHeight w:val="210"/>
        </w:trPr>
        <w:tc>
          <w:tcPr>
            <w:tcW w:w="3740" w:type="dxa"/>
            <w:vAlign w:val="bottom"/>
            <w:tcBorders>
              <w:top w:val="single" w:sz="8" w:color="auto"/>
            </w:tcBorders>
            <w:shd w:val="clear" w:color="auto" w:fill="CCEEFF"/>
          </w:tcPr>
          <w:p>
            <w:pPr>
              <w:spacing w:after="0" w:line="210" w:lineRule="exact"/>
              <w:rPr>
                <w:sz w:val="20"/>
                <w:szCs w:val="20"/>
                <w:color w:val="auto"/>
              </w:rPr>
            </w:pPr>
            <w:r>
              <w:rPr>
                <w:rFonts w:ascii="Times New Roman" w:cs="Times New Roman" w:eastAsia="Times New Roman" w:hAnsi="Times New Roman"/>
                <w:sz w:val="17"/>
                <w:szCs w:val="17"/>
                <w:color w:val="auto"/>
              </w:rPr>
              <w:t>Contractual Obligations</w:t>
            </w:r>
            <w:r>
              <w:rPr>
                <w:rFonts w:ascii="Times New Roman" w:cs="Times New Roman" w:eastAsia="Times New Roman" w:hAnsi="Times New Roman"/>
                <w:sz w:val="24"/>
                <w:szCs w:val="24"/>
                <w:color w:val="auto"/>
                <w:vertAlign w:val="superscript"/>
              </w:rPr>
              <w:t>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332,240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261,886</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70,354</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16"/>
        </w:trPr>
        <w:tc>
          <w:tcPr>
            <w:tcW w:w="3940" w:type="dxa"/>
            <w:vAlign w:val="bottom"/>
            <w:tcBorders>
              <w:bottom w:val="single" w:sz="8" w:color="CCEEFF"/>
            </w:tcBorders>
            <w:gridSpan w:val="2"/>
          </w:tcPr>
          <w:p>
            <w:pPr>
              <w:spacing w:after="0" w:line="216" w:lineRule="exact"/>
              <w:rPr>
                <w:sz w:val="20"/>
                <w:szCs w:val="20"/>
                <w:color w:val="auto"/>
              </w:rPr>
            </w:pPr>
            <w:r>
              <w:rPr>
                <w:rFonts w:ascii="Times New Roman" w:cs="Times New Roman" w:eastAsia="Times New Roman" w:hAnsi="Times New Roman"/>
                <w:sz w:val="17"/>
                <w:szCs w:val="17"/>
                <w:color w:val="auto"/>
              </w:rPr>
              <w:t>Purchase Commitments</w:t>
            </w:r>
            <w:r>
              <w:rPr>
                <w:rFonts w:ascii="Times New Roman" w:cs="Times New Roman" w:eastAsia="Times New Roman" w:hAnsi="Times New Roman"/>
                <w:sz w:val="25"/>
                <w:szCs w:val="25"/>
                <w:color w:val="auto"/>
                <w:vertAlign w:val="superscript"/>
              </w:rPr>
              <w:t>2</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339,061</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320,678</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3,324</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714,099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591,884</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97,347</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10,996</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13,872</w:t>
            </w:r>
          </w:p>
        </w:tc>
      </w:tr>
      <w:tr>
        <w:trPr>
          <w:trHeight w:val="20"/>
        </w:trPr>
        <w:tc>
          <w:tcPr>
            <w:tcW w:w="3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i w:val="1"/>
          <w:iCs w:val="1"/>
          <w:color w:val="auto"/>
          <w:vertAlign w:val="superscript"/>
        </w:rPr>
        <w:t>1</w:t>
      </w:r>
      <w:r>
        <w:rPr>
          <w:rFonts w:ascii="Times New Roman" w:cs="Times New Roman" w:eastAsia="Times New Roman" w:hAnsi="Times New Roman"/>
          <w:sz w:val="14"/>
          <w:szCs w:val="14"/>
          <w:i w:val="1"/>
          <w:iCs w:val="1"/>
          <w:color w:val="auto"/>
        </w:rPr>
        <w:t>Contractual obligations include our obligations related to sponsorships and other commitments.</w:t>
      </w:r>
    </w:p>
    <w:p>
      <w:pPr>
        <w:jc w:val="both"/>
        <w:spacing w:after="0" w:line="196" w:lineRule="auto"/>
        <w:rPr>
          <w:sz w:val="20"/>
          <w:szCs w:val="20"/>
          <w:color w:val="auto"/>
        </w:rPr>
      </w:pPr>
      <w:r>
        <w:rPr>
          <w:rFonts w:ascii="Times New Roman" w:cs="Times New Roman" w:eastAsia="Times New Roman" w:hAnsi="Times New Roman"/>
          <w:sz w:val="21"/>
          <w:szCs w:val="21"/>
          <w:i w:val="1"/>
          <w:iCs w:val="1"/>
          <w:color w:val="auto"/>
          <w:vertAlign w:val="superscript"/>
        </w:rPr>
        <w:t>2</w:t>
      </w:r>
      <w:r>
        <w:rPr>
          <w:rFonts w:ascii="Times New Roman" w:cs="Times New Roman" w:eastAsia="Times New Roman" w:hAnsi="Times New Roman"/>
          <w:sz w:val="14"/>
          <w:szCs w:val="14"/>
          <w:i w:val="1"/>
          <w:iCs w:val="1"/>
          <w:color w:val="auto"/>
        </w:rPr>
        <w:t>Purchase commitments include obligations made by us and our subsidiaries to various suppliers for raw materials used in the production of our products. These obligations vary in terms, but are generally satisfied within one year.</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addition, approximately $2.0 million of unrecognized tax benefits have been recorded as liabilities as of June 30, 2022. It is expected that the amount of unrecognized tax benefits will not significantly change within the next 12 months. As of June 30, 2021, we had $0.1 million of accrued interest and penalties related to unrecognized tax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Our consolidated financial statements are prepared in accordance with GAAP. GAAP requires us to make estimates and assumptions that affect the reported amounts in our consolidated financial statements. Critical accounting estimates are those that management believes are the most important to the portrayal of our financial condition and results and require the most difficult, subjective or complex judgments, often as a result of the need to make estimates about the effect of matters that are inherently uncertain and that have had, or are reasonably likely to have, a material impact on our financial condition or results of operations. Judgments and uncertainties may result in materially different amounts being reported under different conditions or using different assumptions. There have been no material changes to our critical accounting policies or estimates from the information provided in “Part II, Item 7, “Management’s Discussion and Analysis of Financial Condition and Results of Operations” and “Part II, Item 8 – Financial Statements and Supplementary Data – Note 1 – Organization and Summary of Significant Accounting Policies”, included in our Annual Report on Form 10-K for the fiscal year ended December 31, 2021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changes in recently issued or adopted accounting pronouncements that would materially impact the Company from those disclosed in our Annual Report on Form 10-K for the fiscal year ended December 31, 2021.</w:t>
      </w:r>
    </w:p>
    <w:p>
      <w:pPr>
        <w:sectPr>
          <w:pgSz w:w="11900" w:h="16838" w:orient="portrait"/>
          <w:cols w:equalWidth="0" w:num="1">
            <w:col w:w="9920"/>
          </w:cols>
          <w:pgMar w:left="980" w:top="661" w:right="99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Inflation had a negative impact on our results of operations for the three- and six-months ended June 30, 2022, leading to increased cost of sales and operating expenses. To mitigate the impact of inflation, we are implementing a price increase effective September 1, 2022 in the United States and are planning price increases in certain international markets in the second half of 2022.</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Certain statements made in this report may constitute forward-looking statements (within the meaning of Section 27A of the Securities Act of 1933, as amended, and Section 21E of the Securities Exchange Act of 1934, as amended) (the “Exchange Act”) regarding the expectations of management with respect to revenues, profitability, adequacy of funds from operations and our existing credit facility, among other things. All statements containing a projection of revenues, income (loss), earnings (loss) per share, capital expenditures, dividends, capital structure or other financial items, a statement of management’s plans and objectives for future operations, or a statement of future economic performance contained in management’s discussion and analysis of financial condition and results of operations, including statements related to new products, volume growth and statements encompassing general optimism about future operating results and non-historical information, are forward-looking statements within the meaning of the Exchange Act. Without limiting the foregoing, the words “believes,” “thinks,” “anticipates,” “plans,” “expects,” and similar expressions are intended to identify forward-looking statements.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Management cautions that these statements are qualified by their terms and/or important factors, many of which are outside our control, and involve a number of risks, uncertainties and other factors, that could cause actual results and events to differ materially from the statements made including, but not limited to, the following:</w:t>
      </w:r>
    </w:p>
    <w:p>
      <w:pPr>
        <w:spacing w:after="0" w:line="176" w:lineRule="exact"/>
        <w:rPr>
          <w:sz w:val="20"/>
          <w:szCs w:val="20"/>
          <w:color w:val="auto"/>
        </w:rPr>
      </w:pPr>
    </w:p>
    <w:p>
      <w:pPr>
        <w:ind w:left="680" w:hanging="321"/>
        <w:spacing w:after="0" w:line="261"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absorb, mitigate or pass on to our bottlers/distributors and/or consumers increases in commodity, fuel, freight and other costs;</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rising costs and inflation on the discretionary income of our consumers, particularly the rising cost of gasoline;</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military conflict in Ukraine, including supply chain disruptions, volatility in commodity prices, increased economic uncertainty and escalating geopolitical tensions;</w:t>
      </w: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human and economic consequences of the COVID-19 pandemic, including new variants, as well as the measures taken or that may be taken in the future by governments, and consequently, businesses (including the Company and its suppliers, bottlers/distributors, co-packers and other service providers) and the public at large to limit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growth and/or growth rates and/or declining sales in the domestic and international energy drink and alcohol beverage categories generally, including in the convenience and gas channel (which is our largest channel) and the impact on demand for our products resulting from deteriorating economic conditions and/or financial uncertainties due to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temporary plant closures, production slowdowns and disruptions in operations experienced by our suppliers, bottlers/distributors and/or co-packers as a result of the COVID-19 pandemic, including any material disruptions on the production and distribution of our products;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potential future reductions of our sponsorship and endorsement activities as well as our sampling activities as a result of COVID-19 or other pandemics on our future sales and market share;</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countries being in lockdown due to the COVID-19 pandemic at various times;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vaccine mandates on our business and supply chain, including our ability to recruit and/or retain employees, and disruptions in the business of our co-packers, bottlers/distributors and/or suppliers;</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Closures of, and continued restrictions on, on-premise retailers and other establishments which sell our products as the result of the COVID-19 pandemic;</w:t>
      </w:r>
    </w:p>
    <w:p>
      <w:pPr>
        <w:ind w:left="68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limitation or reduction by our suppliers, bottlers/distributors and/or co-packers of their activities and/or operations during the COVID-19 pandemic;</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on our product sampling programs;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the impact of the COVID-19 pandemic on our innovation activities;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adapt to the changing landscape of advertising, marketing, promotional, sponsorship and endorsement opportunities created by the COVID-19 pandemic;</w:t>
      </w:r>
    </w:p>
    <w:p>
      <w:pPr>
        <w:ind w:left="680" w:hanging="321"/>
        <w:spacing w:after="0"/>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effects of the COVID-19 pandemic on our employees, such as mental health challenges that employees may face;</w:t>
      </w:r>
    </w:p>
    <w:p>
      <w:pPr>
        <w:spacing w:after="0" w:line="9" w:lineRule="exact"/>
        <w:rPr>
          <w:rFonts w:ascii="Times New Roman" w:cs="Times New Roman" w:eastAsia="Times New Roman" w:hAnsi="Times New Roman"/>
          <w:sz w:val="18"/>
          <w:szCs w:val="18"/>
          <w:color w:val="auto"/>
        </w:rPr>
      </w:pPr>
    </w:p>
    <w:p>
      <w:pPr>
        <w:ind w:left="680" w:hanging="321"/>
        <w:spacing w:after="0" w:line="260" w:lineRule="auto"/>
        <w:tabs>
          <w:tab w:leader="none" w:pos="6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any reductions in productivity and disruptions to our business routines while most office-based employees of the Company are working remotely;</w:t>
      </w:r>
    </w:p>
    <w:p>
      <w:pPr>
        <w:sectPr>
          <w:pgSz w:w="11900" w:h="16838" w:orient="portrait"/>
          <w:cols w:equalWidth="0" w:num="1">
            <w:col w:w="9920"/>
          </w:cols>
          <w:pgMar w:left="980" w:top="661" w:right="999"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logistical issues, including shortages of shipping containers, port of entry congestion and increased freight costs;</w:t>
      </w:r>
    </w:p>
    <w:p>
      <w:pPr>
        <w:spacing w:after="0" w:line="27"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extensive commercial arrangements with TCCC and, as a result, our future performance is substantially dependent on the success of our relationship with TCCC;</w:t>
      </w:r>
    </w:p>
    <w:p>
      <w:pPr>
        <w:jc w:val="both"/>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TCCC’s bottlers/distributors distributing Coca-Cola brand energy drinks and possible reductions in the number of our SKUs carried by such bottlers/distributors and/or such bottlers/distributors imposing limitations on distributing new product SKUs;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TCCC being one of our significant stockholders and the potential divergence of TCCC’s interests from those of our other stockholders;</w:t>
      </w: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relationships with TCCC system bottlers/distributors and manage their ongoing commitment to focus on our products;</w:t>
      </w: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in distribution channels and/or decline in sales due to the termination and/or insolvency of existing and/or new domestic and/or international bottlers/distributors;</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anticipated demand for our products in domestic and/or international markets;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inventory levels of our bottlers/distributors, planned or otherwise, and the resultant impact on our revenues;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regulations, including taxation requirements, age restrictions imposed on the sale, purchase, or consumption of our products, marketing restrictions, product registration requirements, tariffs, trade restrictions, container size limitations and/or ingredient restrictions;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inquiries from, and/or actions by, state attorneys general, the Federal Trade Commission (the “FTC”), the Food and Drug Administration (the “FDA”), municipalities, city attorneys, other government agencies, quasi-government agencies, government officials (including members of U.S. Congress) and/or analogous central and local agencies and other authorities in the foreign countries in which our products are manufactured and/or distributed, into the advertising, marketing, promotion, ingredients, sale and/or consumption of our energy drink products, including voluntary and/or required changes to our business practices;</w:t>
      </w:r>
    </w:p>
    <w:p>
      <w:pPr>
        <w:spacing w:after="0" w:line="2"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laws, regulations and evolving industry standards regarding consumer privacy and data use and security, including with respect to the General Data Protection Regulation and the California Consumer Privacy Act of 2018;</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and/or repatriate cash from certain of our operations outside the United States;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manage legal and regulatory requirements in foreign jurisdictions, potential difficulties in staffing and managing foreign operations and potentially higher incidence of fraud or corruption and credit risk of foreign customers and/or bottlers/distributors;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tax laws as a result of any legislation proposed by the new U.S. Presidential Administration or U.S. Congress, which may include efforts to change or repeal the 2017 Tax Cuts and Jobs Act and the federal corporate income tax rate reduction;</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produce our products in international markets in which they are sold, thereby reducing freight costs and/or product damages;</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effectively manage our inventories and/or our accounts receivables;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foreign currency exchange rate risk with respect to our sales, expenses, profits, assets and liabilities denominated in currencies other than the U.S. dollar, which will continue to increase as foreign sales increase;</w:t>
      </w: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long-term impact of the United Kingdom’s departure from the European Union (or “Brexit”);</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may affect our reported profitability;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Implications of the Organization for Economic Cooperation and Development’s base erosion and profit shifting project;</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proceedings which may be brought against us by the Securities and Exchange Commission (the “SEC”), the FDA, the FTC or other governmental agencies or bodies;</w:t>
      </w:r>
    </w:p>
    <w:p>
      <w:pPr>
        <w:ind w:left="680" w:right="2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and/or possibility of future shareholder derivative actions or shareholder securities litigation that may be filed against us and/or against certain of our officers and directors, and the possibility of other private shareholder litigation;</w:t>
      </w:r>
    </w:p>
    <w:p>
      <w:pPr>
        <w:jc w:val="both"/>
        <w:ind w:left="680" w:hanging="321"/>
        <w:spacing w:after="0" w:line="250" w:lineRule="auto"/>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product liability or consumer fraud litigation and/or class action litigation (or its analog in foreign jurisdictions) regarding the safety of our products and/or the ingredients in and/or claims made in connection with our products and/or alleging false advertising, marketing and/or promotion, and the possibility of future product liability and/or class action lawsuits;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significant liabilities due to litigation, legal or regulatory proceedings;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injunctions;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resolution of tax matters;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and volatility in the domestic and global economies, including risk of counterparty default or failure;</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address any significant deficiencies or material weakness in our internal controls over financial reporting;</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sufficient cash flows to support our expansion plans and general operating activities;</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5"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our products resulting from changes in consumer preferences, including changes in demand for different packages, sizes and configurations, obesity and other perceived health concerns, including concerns relating to certain ingredients in our products or packaging, product safety concerns and/or from decreased consumer discretionary spending power;</w:t>
      </w:r>
    </w:p>
    <w:p>
      <w:pPr>
        <w:spacing w:after="0" w:line="2"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surrounding obesity and health concerns related to our products, product safety and quality, water usage, environmental impact and sustainability, human rights, our culture, workforce and labor and workplace laws;</w:t>
      </w: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demand that are weather related and/or for other reasons, including changes in product category and/or package consumption and changes in cost and availability of certain key ingredients including aluminum cans, as well as disruptions to the supply chain, as a result of climate change and extreme weather conditions;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unstable political conditions, civil unrest, large scale terrorist acts, the outbreak or escalation of armed hostilities, major natural disasters and extreme weather conditions, or widespread outbreaks of infectious diseases (such as the COVID-19 pandemic);</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competitive products and pricing pressures and our ability to gain or maintain our share of sales in the marketplace as a result of actions by competitors, including unsubstantiated and/or misleading claims, false advertising claims and tortious interference, as well as competitors selling misbranded products;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business of trademark and trade dress infringement proceedings brought against us relating to our brands, which could result in an injunction barring us from selling certain of our products and/or require changes to be made to our current trade dress;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and/or maintain price increases, including through reductions in promotional allowances;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inability to achieve volume growth through product and packaging initiatives;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sustain the current level of sales and/or achieve growth for our Monster Energy® brand energy drinks and/or our other products, including our Strategic Brands and Alcohol Brands;</w:t>
      </w:r>
    </w:p>
    <w:p>
      <w:pPr>
        <w:ind w:left="680" w:right="2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implement our growth strategy, including expanding our business in existing and new sectors, such as the alcoholic beverage sector;</w:t>
      </w: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inherent operational risks presented by the alcoholic beverage industry that may not be adequately covered by insurance or lead to litigation relating to the abuse or misuse of our products;</w:t>
      </w: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CANarchy and other acquired businesses or assets;</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criticism of our energy drink products and/or the energy drink market generally and/or legislation enacted (whether as a result of such criticism or otherwise) that restricts the marketing or sale of energy drinks (including prohibiting the sale of energy drinks at certain establishments or pursuant to certain governmental programs), limits caffeine content in beverages, requires certain product labeling disclosures and/or warnings, imposes excise and/or sales taxes, limits product sizes and/or imposes age restrictions for the sale of energy drinks;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and/or resulting lower consumer demand and/or lower profit margins for energy drinks and/or alcohol beverages due to proposed and/or future U.S. federal, state and local laws and regulations and/or proposed or existing laws and regulations in certain foreign jurisdictions and/or any changes therein, including changes in taxation requirements (including tax rate changes, new tax laws, new and/or increased excise, sales and/or other taxes on our products and revised tax law interpretations) and environmental laws, as well as the Federal Food, Drug, and Cosmetic Act and regulations or rules made thereunder or in connection therewith by the FDA, as well as changes in any other food, drug or similar laws in the United States and internationally, especially those changes that may restrict the sale of energy and/or alcohol drinks (including prohibiting the sale of energy drinks at certain establishments or pursuant to certain governmental programs), limit caffeine or alcohol content in beverages, require certain product labeling disclosures and/or warnings, impose excise taxes, impose sugar taxes, limit product sizes, or impose age restrictions for the sale of energy and/or alcohol drinks, as well as laws and regulations or rules made or enforced by the Bureau of Alcohol, Tobacco, Firearms and Explosives and/or the FTC or their foreign counterparts;</w:t>
      </w:r>
    </w:p>
    <w:p>
      <w:pPr>
        <w:spacing w:after="0" w:line="4"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in the timely import or export of our products and/or ingredients including flavors, flavor ingredients and supplement ingredients due to port congestion, strikes and related labor issues or otherwise;</w:t>
      </w:r>
    </w:p>
    <w:p>
      <w:pPr>
        <w:jc w:val="both"/>
        <w:ind w:left="680" w:hanging="321"/>
        <w:spacing w:after="0" w:line="250"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satisfy all criteria set forth in any model energy drink guidelines, including, without limitation, those adopted by the American Beverage Association, of which we are a member, and/or any international beverage associations and the impact of our failure to satisfy such guidelines may have on our business;</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unfavorable or adverse public relations, press, articles, comments and/or media attention;</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3" w:lineRule="auto"/>
        <w:tabs>
          <w:tab w:leader="none" w:pos="6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cost, quality and availability of containers, packaging materials, aluminum cans, the Midwest and other premiums, raw materials, including flavors and flavor ingredients, and other ingredients and juice concentrates, and our ability to obtain and/or maintain favorable supply arrangements and relationships and procure timely and/or sufficient production of all or any of our products to meet customer demand;</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80" w:hanging="321"/>
        <w:spacing w:after="0" w:line="257"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shortages that may be experienced in the procurement of containers and/or other raw materials including, without limitation, flavors, flavor ingredients, supplement ingredients, aluminum cans generally, PET containers used for our Monster Hydro® energy drinks, 24-ounce aluminum cap cans and 550ml BRE aluminum cans with resealable ends;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in securing the supply of sufficient quantities of aluminum cans may cause us to focus on producing higher volume products. As a result, certain of our lower volume products may be temporarily discontinued by our bottlers/distributors and/or their retail customers, and we may not be able to reinstate all, or any, of such lower volume products in the future;</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secure sufficient quantities of aluminum cans and sufficient co-packing availability in the future, we may be required to commit to minimum purchase volumes and/or minimum co-packing volumes. In the event that we over-estimate future demand for our products and therefore may not purchase such minimum quantities in full, or utilize such minimum co-packing volumes in full, we may incur claims and/or costs or losses in respect of such shortfalls;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on our cost of sales of corporate activity among the limited number of suppliers from whom we purchase certain raw materials;</w:t>
      </w: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pass on to our customers all or a portion of any increases in the costs of raw materials, ingredients, commodities and/or other cost inputs affecting our business;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both internal domestic and international forecasts, which may be based on projected volumes and sales of many product types and/or new products, certain of which are more profitable than others; there can be no assurance that we will achieve projected levels of sales as well as forecasted product and/or geographic mixes;</w:t>
      </w:r>
    </w:p>
    <w:p>
      <w:pPr>
        <w:spacing w:after="0" w:line="1"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domestic and/or international markets and/or gain approval or mitigate the delay in securing approval for the sale of our products in various countries;</w:t>
      </w: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sales and/or marketing efforts by us and/or by the bottlers/distributors of our products, most of whom distribute products that may be regarded as competitive with our products;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Unilateral decisions by bottlers/distributors, buying groups, convenience chains, grocery chains, mass merchandisers, specialty chain stores, e-commerce retailers, e-commerce websites, club stores and other customers to discontinue carrying all or any of our products that they are carrying at any time, restrict the range of our products they carry, impose restrictions or limitations on the sale of our products and/or the sizes of containers of our products and/or devote less resources to the sale of our products;</w:t>
      </w:r>
    </w:p>
    <w:p>
      <w:pPr>
        <w:spacing w:after="0" w:line="1"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certain activities by competitors and others to persuade regulators and/or retailers and/or customers in certain countries to reduce the permitted or maximum container sizes for our products from those currently being sold and marketed by us;</w:t>
      </w:r>
    </w:p>
    <w:p>
      <w:pPr>
        <w:spacing w:after="0" w:line="1"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possible trading disputes between our bottler/distributors and their customers and/or one or more buying groups which may result in the delisting of certain of the Company products, temporarily or otherwise;</w:t>
      </w: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retailer consolidation on our business and our ability to successfully adapt to the rapidly changing retail landscape;</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adapt to the changing retail landscape with the rapid growth in e-commerce retailers;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bottler/distributor consolidation on our business;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and/or effectiveness, now or in the future, of our advertising, marketing and promotional strategies;</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sports marketing, social media and other general marketing endeavors both domestically and internationally;</w:t>
      </w:r>
    </w:p>
    <w:p>
      <w:pPr>
        <w:spacing w:after="0" w:line="9"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economic and political changes and local or international catastrophic events;</w:t>
      </w:r>
    </w:p>
    <w:p>
      <w:pPr>
        <w:spacing w:after="0" w:line="9" w:lineRule="exact"/>
        <w:rPr>
          <w:rFonts w:ascii="Times New Roman" w:cs="Times New Roman" w:eastAsia="Times New Roman" w:hAnsi="Times New Roman"/>
          <w:sz w:val="18"/>
          <w:szCs w:val="18"/>
          <w:color w:val="auto"/>
        </w:rPr>
      </w:pP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product recalls and/or reformulations of certain of our products and/or market withdrawals of certain of our products due to defective and/or non-compliant formulas or production in one or more jurisdictions;</w:t>
      </w: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and/or procure sufficient capacity for the co-packing of any of our products both domestically and internationally, the timely replacement of discontinued co-packing arrangements and/or limitations on co-packing availability, including for retort production;</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suitable arrangements for the timely procurement of non-defective raw materials;</w:t>
      </w:r>
    </w:p>
    <w:p>
      <w:pPr>
        <w:spacing w:after="0" w:line="9" w:lineRule="exact"/>
        <w:rPr>
          <w:rFonts w:ascii="Times New Roman" w:cs="Times New Roman" w:eastAsia="Times New Roman" w:hAnsi="Times New Roman"/>
          <w:sz w:val="18"/>
          <w:szCs w:val="18"/>
          <w:color w:val="auto"/>
        </w:rPr>
      </w:pP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protect and/or the loss of our intellectual property rights and/or our inability to use our trademarks, trade names or designs and/or trade dress in certain countries;</w:t>
      </w:r>
    </w:p>
    <w:p>
      <w:pPr>
        <w:ind w:left="680" w:right="2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of stock prices which may restrict stock sales, stock purchases or other opportunities as well as negatively impact the motivation of equity award grantees;</w:t>
      </w:r>
    </w:p>
    <w:p>
      <w:pPr>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our organizational documents and/or control by insiders which may prevent changes in control even if such changes would be beneficial to other stockholders;</w:t>
      </w: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our bottlers and/or co-packers to manufacture our products on a timely basis or at all;</w:t>
      </w:r>
    </w:p>
    <w:p>
      <w:pPr>
        <w:spacing w:after="0" w:line="9" w:lineRule="exact"/>
        <w:rPr>
          <w:rFonts w:ascii="Times New Roman" w:cs="Times New Roman" w:eastAsia="Times New Roman" w:hAnsi="Times New Roman"/>
          <w:sz w:val="18"/>
          <w:szCs w:val="18"/>
          <w:color w:val="auto"/>
        </w:rPr>
      </w:pPr>
    </w:p>
    <w:p>
      <w:pPr>
        <w:jc w:val="both"/>
        <w:ind w:left="680" w:hanging="321"/>
        <w:spacing w:after="0" w:line="250" w:lineRule="auto"/>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disruption in and/or lack of effectiveness of our information technology systems, including a breach of cyber security, that disrupts our business or negatively impacts customer relationships, as well as cybersecurity incidents involving data shared with third parties; and</w:t>
      </w:r>
    </w:p>
    <w:p>
      <w:pPr>
        <w:spacing w:after="0" w:line="1" w:lineRule="exact"/>
        <w:rPr>
          <w:rFonts w:ascii="Times New Roman" w:cs="Times New Roman" w:eastAsia="Times New Roman" w:hAnsi="Times New Roman"/>
          <w:sz w:val="18"/>
          <w:szCs w:val="18"/>
          <w:color w:val="auto"/>
        </w:rPr>
      </w:pPr>
    </w:p>
    <w:p>
      <w:pPr>
        <w:ind w:left="680" w:hanging="321"/>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and retention of senior management, other key employees and our employee base in general.</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foregoing list of important factors and other risks detailed from time to time in our reports filed with the SEC is not exhaustive. See the section entitled “Risk Factors” in our Form 10-K and in Item 1A of this Quarterly Report for a more complete discussion of these risks and uncertainties and for other risks and uncertainties. Those factors and the other risk factors described therein are not necessarily all of the important factors that could cause actual results or developments to differ materially from those expressed in any of our forward-looking statements. Other unknown or unpredictable factors also could harm our results. Consequently, our actual results could be materially different from the results described or anticipated by our forward-looking statements, due to the inherent uncertainty of estimates, forecasts and projections and may be better or worse than anticipated. Given these uncertainties, you should not rely on forward-looking statements. Forward-looking statements represent our estimates and assumptions only as of the date that they were made. We expressly disclaim any duty to provide updates to forward-looking statements, and the estimates and assumptions associated with them, after the date of this report, in order to reflect changes in circumstances or expectations or the occurrence of unanticipated events except to the extent required by applicable securities laws.</w:t>
      </w:r>
    </w:p>
    <w:p>
      <w:pPr>
        <w:spacing w:after="0" w:line="18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our market risks during the three-months ended June 30, 2022 compared with the disclosures in Part II, Item 7A of our Form 10-K.</w:t>
      </w:r>
    </w:p>
    <w:p>
      <w:pPr>
        <w:spacing w:after="0" w:line="158"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 Under the supervision and with the participation of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management, including our Co-Chief Executive Officers and Chief Financial Officer, we have evaluated the effectiveness of the design and operation of our disclosure controls and procedures (as defined in Rules 13(a)-15(e) and 15(d)-15(e) of the Exchange Act) as of the end of the period covered by this report. Based upon this evaluation, the Co-Chief Executive Officers and Chief Financial Officer have concluded that our disclosure controls and procedures are adequate and effective to ensure that information we are required to disclose in reports that we file or submit under the Exchange Act is (1) recorded, processed, summarized and reported within the time periods specified in rules and forms of the SEC and (2) accumulated and communicated to our management, including its principal executive and principal financial officers, as appropriate, to allow timely decisions regarding required disclosures.</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Changes in Internal Control Over Financial Reporting </w:t>
      </w:r>
      <w:r>
        <w:rPr>
          <w:rFonts w:ascii="Times New Roman" w:cs="Times New Roman" w:eastAsia="Times New Roman" w:hAnsi="Times New Roman"/>
          <w:sz w:val="18"/>
          <w:szCs w:val="18"/>
          <w:color w:val="auto"/>
        </w:rPr>
        <w:t>– There were no changes in the Company’s internal controls 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during the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Notes to Condensed Consolidated Financial Statements - Note 12. Commitments and Contingencies: Litigation in Part I, Item 1, of this Quarterly Report on Form 10-Q.</w:t>
      </w:r>
    </w:p>
    <w:p>
      <w:pPr>
        <w:spacing w:after="0" w:line="15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on Form 10-Q, including Management’s Discussion and Analysis of Financial Condition and Results of Operations and the condensed consolidated financial statements and related notes, you should carefully consider the risks discussed in “Part I, Item 1A – Risk Factors” in our Form 10-K, as updated and supplemented in “Part II, Item 1A – Risk Factors” in our Quarterly Report on Form 10-Q for the quarter ended March 31, 2022. If any of these risks occur or continue to occur, our business, reputation, financial condition and/or operating results could be materially adversely affected. We also note that the risk factors described in our Form 10-K and in our Quarterly Report on Form 10-Q for the quarter ended March 31, 2022 are not the only risks facing our Company, and such additional risks or uncertainties that we currently deem to be immaterial or are unknown to us could negatively impact our business, operations, or financial results.</w:t>
      </w:r>
    </w:p>
    <w:p>
      <w:pPr>
        <w:spacing w:after="0" w:line="188"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March 13, 2020, the Company’s Board of Directors authorized a share repurchase program for the purchase of up to $500.0 million of the Company’s outstanding common stock (the “March 2020 Repurchase Plan”). During the three-months ended June 30, 2022, the Company purchased approximately 3.3 million shares of common stock at an average purchase price of $86.53 per share, for a total amount of approximately $284.1 million (excluding broker commissions) under the March 2020 Repurchase Plan. Such shares are included in the common stock in treasury in the accompanying condensed balance sheet at June 30, 2022. As of August 5, 2022, $157.4 million remained available for repurchase under the March 2020 Repurchase Plan.</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June 14, 2022, the Company’s Board of Directors authorized a share repurchase program for the purchase of up to an additional $500.0 million of the Company’s outstanding common stock (the “June 2022 Repurchase Plan”). During the three-months ended June 30, 2022, no shares were repurchased under the June 2022 Repurchase Plan. As of August 5, 2022, $500.0 million remained available for repurchase under the June 2022 Repurchase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tabular summary reflects the Company’s repurchase activity during the quarter ended June 30, 2022: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9"/>
              </w:rPr>
              <w:t>Maximum Number (or</w:t>
            </w:r>
          </w:p>
        </w:tc>
      </w:t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Total Number of</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Approximate Dollar</w:t>
            </w:r>
          </w:p>
        </w:tc>
      </w:t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Shares Purchased</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8"/>
              </w:rPr>
              <w:t>Value) of Shares that</w:t>
            </w:r>
          </w:p>
        </w:tc>
      </w:t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Total Number</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as Part of Publicly</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w w:val="98"/>
              </w:rPr>
              <w:t>May Yet Be Purchased</w:t>
            </w:r>
          </w:p>
        </w:tc>
      </w:tr>
      <w:tr>
        <w:trPr>
          <w:trHeight w:val="216"/>
        </w:trPr>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of Shares</w:t>
            </w:r>
          </w:p>
        </w:tc>
        <w:tc>
          <w:tcPr>
            <w:tcW w:w="180" w:type="dxa"/>
            <w:vAlign w:val="bottom"/>
          </w:tcPr>
          <w:p>
            <w:pPr>
              <w:spacing w:after="0"/>
              <w:rPr>
                <w:sz w:val="18"/>
                <w:szCs w:val="18"/>
                <w:color w:val="auto"/>
              </w:rPr>
            </w:pPr>
          </w:p>
        </w:tc>
        <w:tc>
          <w:tcPr>
            <w:tcW w:w="13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Average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Announced Plans</w:t>
            </w:r>
          </w:p>
        </w:tc>
        <w:tc>
          <w:tcPr>
            <w:tcW w:w="20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the Plans or Programs (In</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Purchased</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per Share¹</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or Programs</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8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thousands)²</w:t>
            </w:r>
          </w:p>
        </w:tc>
      </w:tr>
      <w:tr>
        <w:trPr>
          <w:trHeight w:val="210"/>
        </w:trPr>
        <w:tc>
          <w:tcPr>
            <w:tcW w:w="3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1 – April 30, 2022</w:t>
            </w:r>
          </w:p>
        </w:tc>
        <w:tc>
          <w:tcPr>
            <w:tcW w:w="2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441,528</w:t>
            </w:r>
          </w:p>
        </w:tc>
      </w:tr>
      <w:tr>
        <w:trPr>
          <w:trHeight w:val="216"/>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 – May 31, 2022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2,637,125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86.81</w:t>
            </w:r>
          </w:p>
        </w:tc>
        <w:tc>
          <w:tcPr>
            <w:tcW w:w="2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2,637,125</w:t>
            </w: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212,567</w:t>
            </w:r>
          </w:p>
        </w:tc>
      </w:tr>
      <w:tr>
        <w:trPr>
          <w:trHeight w:val="216"/>
        </w:trPr>
        <w:tc>
          <w:tcPr>
            <w:tcW w:w="3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 – June 30, 2022</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645,600</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85.40</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645,600</w:t>
            </w:r>
          </w:p>
        </w:tc>
        <w:tc>
          <w:tcPr>
            <w:tcW w:w="4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157,426</w:t>
            </w:r>
          </w:p>
        </w:tc>
      </w:tr>
      <w:tr>
        <w:trPr>
          <w:trHeight w:val="234"/>
        </w:trPr>
        <w:tc>
          <w:tcPr>
            <w:tcW w:w="3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June 14, 2022 authorization</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657,426</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¹Excluding broker commissions paid.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²Net of broker commissions paid.</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three-months ended June 30, 2022, 2,936 shares of common stock were purchased from employees in lieu of cash payments for options exercised or withholding taxes due for a total amount of $0.3 million. While such purchases are considered common stock repurchases, they are not counted as purchases against the Company’s authorized share repurchase programs. Such shares are included in common stock in treasury in the accompanying condensed consolidated balance sheet at June 30, 2022.</w:t>
      </w:r>
    </w:p>
    <w:p>
      <w:pPr>
        <w:sectPr>
          <w:pgSz w:w="11900" w:h="16838" w:orient="portrait"/>
          <w:cols w:equalWidth="0" w:num="1">
            <w:col w:w="9920"/>
          </w:cols>
          <w:pgMar w:left="980" w:top="661"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88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OTHER INFORMATION</w:t>
            </w:r>
          </w:p>
        </w:tc>
      </w:tr>
      <w:tr>
        <w:trPr>
          <w:trHeight w:val="432"/>
        </w:trPr>
        <w:tc>
          <w:tcPr>
            <w:tcW w:w="11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None.</w:t>
            </w:r>
          </w:p>
        </w:tc>
        <w:tc>
          <w:tcPr>
            <w:tcW w:w="23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32"/>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800" w:type="dxa"/>
            <w:vAlign w:val="bottom"/>
            <w:gridSpan w:val="6"/>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39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7500" w:type="dxa"/>
            <w:vAlign w:val="bottom"/>
            <w:tcBorders>
              <w:bottom w:val="single" w:sz="8" w:color="0000EE"/>
            </w:tcBorders>
            <w:gridSpan w:val="5"/>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Co-Chief Executive Officer Pursuant to Section 302 of the Sarbanes-Oxley Act of 2002</w:t>
            </w:r>
          </w:p>
        </w:tc>
        <w:tc>
          <w:tcPr>
            <w:tcW w:w="1300" w:type="dxa"/>
            <w:vAlign w:val="bottom"/>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7480" w:type="dxa"/>
            <w:vAlign w:val="bottom"/>
            <w:tcBorders>
              <w:bottom w:val="single" w:sz="8" w:color="0000EE"/>
            </w:tcBorders>
            <w:gridSpan w:val="4"/>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Co-Chief Executive Officer Pursuant to Section 302 of the Sarbanes-Oxley Act of 2002</w:t>
            </w:r>
          </w:p>
        </w:tc>
        <w:tc>
          <w:tcPr>
            <w:tcW w:w="1320" w:type="dxa"/>
            <w:vAlign w:val="bottom"/>
            <w:gridSpan w:val="2"/>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31.3*</w:t>
            </w:r>
          </w:p>
        </w:tc>
        <w:tc>
          <w:tcPr>
            <w:tcW w:w="7160" w:type="dxa"/>
            <w:vAlign w:val="bottom"/>
            <w:tcBorders>
              <w:bottom w:val="single" w:sz="8" w:color="0000EE"/>
            </w:tcBorders>
            <w:gridSpan w:val="3"/>
          </w:tcPr>
          <w:p>
            <w:pPr>
              <w:ind w:left="20"/>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1640" w:type="dxa"/>
            <w:vAlign w:val="bottom"/>
            <w:gridSpan w:val="3"/>
          </w:tcPr>
          <w:p>
            <w:pPr>
              <w:spacing w:after="0"/>
              <w:rPr>
                <w:sz w:val="24"/>
                <w:szCs w:val="24"/>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80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Co-Chief Executive Officer Pursuant to 18 U.S.C. Section 1350, as Adopted Pursuant to Section 906 of</w:t>
            </w:r>
          </w:p>
        </w:tc>
      </w:tr>
      <w:tr>
        <w:trPr>
          <w:trHeight w:val="196"/>
        </w:trPr>
        <w:tc>
          <w:tcPr>
            <w:tcW w:w="1120" w:type="dxa"/>
            <w:vAlign w:val="bottom"/>
          </w:tcPr>
          <w:p>
            <w:pPr>
              <w:spacing w:after="0"/>
              <w:rPr>
                <w:sz w:val="17"/>
                <w:szCs w:val="17"/>
                <w:color w:val="auto"/>
              </w:rPr>
            </w:pPr>
          </w:p>
        </w:tc>
        <w:tc>
          <w:tcPr>
            <w:tcW w:w="88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1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800" w:type="dxa"/>
            <w:vAlign w:val="bottom"/>
            <w:tcBorders>
              <w:bottom w:val="single" w:sz="8" w:color="0000EE"/>
            </w:tcBorders>
            <w:gridSpan w:val="6"/>
          </w:tcPr>
          <w:p>
            <w:pPr>
              <w:ind w:left="20"/>
              <w:spacing w:after="0"/>
              <w:rPr>
                <w:sz w:val="20"/>
                <w:szCs w:val="20"/>
                <w:color w:val="auto"/>
              </w:rPr>
            </w:pPr>
            <w:r>
              <w:rPr>
                <w:rFonts w:ascii="Times New Roman" w:cs="Times New Roman" w:eastAsia="Times New Roman" w:hAnsi="Times New Roman"/>
                <w:sz w:val="18"/>
                <w:szCs w:val="18"/>
                <w:color w:val="0000EE"/>
              </w:rPr>
              <w:t>Certification of Co-Chief Executive Officer Pursuant to 18 U.S.C. Section 1350, as Adopted Pursuant to Section 906 of</w:t>
            </w:r>
          </w:p>
        </w:tc>
      </w:tr>
      <w:tr>
        <w:trPr>
          <w:trHeight w:val="196"/>
        </w:trPr>
        <w:tc>
          <w:tcPr>
            <w:tcW w:w="1120" w:type="dxa"/>
            <w:vAlign w:val="bottom"/>
          </w:tcPr>
          <w:p>
            <w:pPr>
              <w:spacing w:after="0"/>
              <w:rPr>
                <w:sz w:val="17"/>
                <w:szCs w:val="17"/>
                <w:color w:val="auto"/>
              </w:rPr>
            </w:pPr>
          </w:p>
        </w:tc>
        <w:tc>
          <w:tcPr>
            <w:tcW w:w="880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the Sarbanes-Oxley Act of 2002</w:t>
            </w:r>
          </w:p>
        </w:tc>
      </w:tr>
      <w:tr>
        <w:trPr>
          <w:trHeight w:val="20"/>
        </w:trPr>
        <w:tc>
          <w:tcPr>
            <w:tcW w:w="1120" w:type="dxa"/>
            <w:vAlign w:val="bottom"/>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r>
      <w:tr>
        <w:trPr>
          <w:trHeight w:val="412"/>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32.3*</w:t>
            </w:r>
          </w:p>
        </w:tc>
        <w:tc>
          <w:tcPr>
            <w:tcW w:w="6380" w:type="dxa"/>
            <w:vAlign w:val="bottom"/>
            <w:tcBorders>
              <w:bottom w:val="single" w:sz="8" w:color="0000EE"/>
            </w:tcBorders>
            <w:gridSpan w:val="2"/>
          </w:tcPr>
          <w:p>
            <w:pPr>
              <w:ind w:left="20"/>
              <w:spacing w:after="0"/>
              <w:rPr>
                <w:sz w:val="20"/>
                <w:szCs w:val="20"/>
                <w:color w:val="auto"/>
              </w:rPr>
            </w:pPr>
            <w:r>
              <w:rPr>
                <w:rFonts w:ascii="Times New Roman" w:cs="Times New Roman" w:eastAsia="Times New Roman" w:hAnsi="Times New Roman"/>
                <w:sz w:val="18"/>
                <w:szCs w:val="18"/>
                <w:color w:val="0000EE"/>
                <w:w w:val="99"/>
              </w:rPr>
              <w:t>Certification by Chief Financial Officer Pursuant to 18 U.S.C. Section 1350, as Adopted</w:t>
            </w:r>
          </w:p>
        </w:tc>
        <w:tc>
          <w:tcPr>
            <w:tcW w:w="2420" w:type="dxa"/>
            <w:vAlign w:val="bottom"/>
            <w:gridSpan w:val="4"/>
          </w:tcPr>
          <w:p>
            <w:pPr>
              <w:spacing w:after="0"/>
              <w:rPr>
                <w:sz w:val="24"/>
                <w:szCs w:val="24"/>
                <w:color w:val="auto"/>
              </w:rPr>
            </w:pPr>
          </w:p>
        </w:tc>
      </w:tr>
      <w:tr>
        <w:trPr>
          <w:trHeight w:val="43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following financial information from Monster Beverage Corporation’s Quarterly Report on Form 10-Q for the</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quarter ended June 30, 2022, formatted in iXBRL (Inline eXtensible Business Reporting Language): (i) Condensed</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Consolidated Balance Sheets as of June 30, 2022 and December 31, 2021, (ii) Condensed Consolidated Statements of</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Income for the three-and six-months ended June 30, 2022 and 2021, (iii) Condensed Consolidated Statements of</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Comprehensive Income for the three- and six-months ended June 30, 2022 and 2021, (iv) Condensed Consolidated</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Statements of Stockholders’ Equity for the three- and six-months ended June 30, 2022 and 2021, (v) Condensed</w:t>
            </w:r>
          </w:p>
        </w:tc>
      </w:tr>
      <w:tr>
        <w:trPr>
          <w:trHeight w:val="216"/>
        </w:trPr>
        <w:tc>
          <w:tcPr>
            <w:tcW w:w="1120" w:type="dxa"/>
            <w:vAlign w:val="bottom"/>
          </w:tcPr>
          <w:p>
            <w:pPr>
              <w:spacing w:after="0"/>
              <w:rPr>
                <w:sz w:val="18"/>
                <w:szCs w:val="18"/>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Consolidated Statements of Cash Flows for the six-months ended June 30, 2022 and 2021, and (vi) the Notes to</w:t>
            </w:r>
          </w:p>
        </w:tc>
      </w:tr>
      <w:tr>
        <w:trPr>
          <w:trHeight w:val="234"/>
        </w:trPr>
        <w:tc>
          <w:tcPr>
            <w:tcW w:w="1120" w:type="dxa"/>
            <w:vAlign w:val="bottom"/>
          </w:tcPr>
          <w:p>
            <w:pPr>
              <w:spacing w:after="0"/>
              <w:rPr>
                <w:sz w:val="20"/>
                <w:szCs w:val="20"/>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Condensed Consolidated Financial Statements.</w:t>
            </w:r>
          </w:p>
        </w:tc>
      </w:tr>
      <w:tr>
        <w:trPr>
          <w:trHeight w:val="41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The cover page from Monster Beverage Corporation’s Quarterly Report on Form 10-Q for the quarter ended June 30,</w:t>
            </w:r>
          </w:p>
        </w:tc>
      </w:tr>
      <w:tr>
        <w:trPr>
          <w:trHeight w:val="234"/>
        </w:trPr>
        <w:tc>
          <w:tcPr>
            <w:tcW w:w="1120" w:type="dxa"/>
            <w:vAlign w:val="bottom"/>
          </w:tcPr>
          <w:p>
            <w:pPr>
              <w:spacing w:after="0"/>
              <w:rPr>
                <w:sz w:val="20"/>
                <w:szCs w:val="20"/>
                <w:color w:val="auto"/>
              </w:rPr>
            </w:pPr>
          </w:p>
        </w:tc>
        <w:tc>
          <w:tcPr>
            <w:tcW w:w="8800" w:type="dxa"/>
            <w:vAlign w:val="bottom"/>
            <w:gridSpan w:val="6"/>
          </w:tcPr>
          <w:p>
            <w:pPr>
              <w:ind w:left="20"/>
              <w:spacing w:after="0"/>
              <w:rPr>
                <w:sz w:val="20"/>
                <w:szCs w:val="20"/>
                <w:color w:val="auto"/>
              </w:rPr>
            </w:pPr>
            <w:r>
              <w:rPr>
                <w:rFonts w:ascii="Times New Roman" w:cs="Times New Roman" w:eastAsia="Times New Roman" w:hAnsi="Times New Roman"/>
                <w:sz w:val="18"/>
                <w:szCs w:val="18"/>
                <w:color w:val="auto"/>
              </w:rPr>
              <w:t>2022, formatted in iXBRL (Inline eXtensible Business Reporting Language) and contained in Exhibit 101.</w:t>
            </w:r>
          </w:p>
        </w:tc>
      </w:tr>
    </w:tbl>
    <w:p>
      <w:pPr>
        <w:spacing w:after="0" w:line="198" w:lineRule="exact"/>
        <w:rPr>
          <w:sz w:val="20"/>
          <w:szCs w:val="20"/>
          <w:color w:val="auto"/>
        </w:rPr>
      </w:pPr>
    </w:p>
    <w:p>
      <w:pPr>
        <w:ind w:left="280" w:hanging="272"/>
        <w:spacing w:after="0"/>
        <w:tabs>
          <w:tab w:leader="none" w:pos="2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MONSTER BEVERAGE CORPORATION</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RODNEY C. SACKS</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Rodney C. Sacks</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r>
        <w:trPr>
          <w:trHeight w:val="432"/>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HILTON H. SCHLOSBERG</w:t>
            </w:r>
          </w:p>
        </w:tc>
      </w:tr>
      <w:tr>
        <w:trPr>
          <w:trHeight w:val="191"/>
        </w:trPr>
        <w:tc>
          <w:tcPr>
            <w:tcW w:w="4960" w:type="dxa"/>
            <w:vAlign w:val="bottom"/>
          </w:tcPr>
          <w:p>
            <w:pPr>
              <w:spacing w:after="0"/>
              <w:rPr>
                <w:sz w:val="16"/>
                <w:szCs w:val="16"/>
                <w:color w:val="auto"/>
              </w:rPr>
            </w:pPr>
          </w:p>
        </w:tc>
        <w:tc>
          <w:tcPr>
            <w:tcW w:w="49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Hilton H. Schlosberg</w:t>
            </w:r>
          </w:p>
        </w:tc>
      </w:tr>
      <w:tr>
        <w:trPr>
          <w:trHeight w:val="216"/>
        </w:trPr>
        <w:tc>
          <w:tcPr>
            <w:tcW w:w="4960" w:type="dxa"/>
            <w:vAlign w:val="bottom"/>
          </w:tcPr>
          <w:p>
            <w:pPr>
              <w:spacing w:after="0"/>
              <w:rPr>
                <w:sz w:val="18"/>
                <w:szCs w:val="18"/>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Vice Chairman of the Board of Directors</w:t>
            </w:r>
          </w:p>
        </w:tc>
      </w:tr>
      <w:tr>
        <w:trPr>
          <w:trHeight w:val="234"/>
        </w:trPr>
        <w:tc>
          <w:tcPr>
            <w:tcW w:w="4960" w:type="dxa"/>
            <w:vAlign w:val="bottom"/>
          </w:tcPr>
          <w:p>
            <w:pPr>
              <w:spacing w:after="0"/>
              <w:rPr>
                <w:sz w:val="20"/>
                <w:szCs w:val="20"/>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and Co-Chief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661" w:right="99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Rodney Sacks, certify that:</w:t>
      </w:r>
    </w:p>
    <w:p>
      <w:pPr>
        <w:spacing w:after="0" w:line="229" w:lineRule="exact"/>
        <w:rPr>
          <w:sz w:val="20"/>
          <w:szCs w:val="20"/>
          <w:color w:val="auto"/>
        </w:rPr>
      </w:pPr>
    </w:p>
    <w:p>
      <w:pPr>
        <w:ind w:left="340" w:hanging="332"/>
        <w:spacing w:after="0"/>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1"/>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and Co-Chief Executive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Hilton Schlosberg, certify that:</w:t>
      </w:r>
    </w:p>
    <w:p>
      <w:pPr>
        <w:spacing w:after="0" w:line="229" w:lineRule="exact"/>
        <w:rPr>
          <w:sz w:val="20"/>
          <w:szCs w:val="20"/>
          <w:color w:val="auto"/>
        </w:rPr>
      </w:pPr>
    </w:p>
    <w:p>
      <w:pPr>
        <w:ind w:left="340" w:hanging="332"/>
        <w:spacing w:after="0"/>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29"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4"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29"/>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and</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32" w:lineRule="exact"/>
        <w:rPr>
          <w:sz w:val="20"/>
          <w:szCs w:val="20"/>
          <w:color w:val="auto"/>
        </w:rPr>
      </w:pPr>
    </w:p>
    <w:p>
      <w:pPr>
        <w:jc w:val="center"/>
        <w:spacing w:after="0" w:line="254" w:lineRule="auto"/>
        <w:rPr>
          <w:sz w:val="20"/>
          <w:szCs w:val="20"/>
          <w:color w:val="auto"/>
        </w:rPr>
      </w:pPr>
      <w:r>
        <w:rPr>
          <w:rFonts w:ascii="Times New Roman" w:cs="Times New Roman" w:eastAsia="Times New Roman" w:hAnsi="Times New Roman"/>
          <w:sz w:val="20"/>
          <w:szCs w:val="20"/>
          <w:color w:val="auto"/>
        </w:rPr>
        <w:t>CERTIFICATION PURSUANT TO RULE 13A-14(a) OR 15D-14(a) OF THE SECURITIES EXCHANGE ACT OF 1934, AS ADOPTED PURSUANT TO SECTION 302 OF THE SARBANES-OXLEY ACT OF 2002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 Thomas Kelly, certify that:</w:t>
      </w:r>
    </w:p>
    <w:p>
      <w:pPr>
        <w:spacing w:after="0" w:line="229" w:lineRule="exact"/>
        <w:rPr>
          <w:sz w:val="20"/>
          <w:szCs w:val="20"/>
          <w:color w:val="auto"/>
        </w:rPr>
      </w:pPr>
    </w:p>
    <w:p>
      <w:pPr>
        <w:ind w:left="340" w:hanging="332"/>
        <w:spacing w:after="0"/>
        <w:tabs>
          <w:tab w:leader="none" w:pos="3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have reviewed this quarterly report on Form 10-Q of Monster Beverage Corporation;</w:t>
      </w:r>
    </w:p>
    <w:p>
      <w:pPr>
        <w:spacing w:after="0" w:line="215"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7"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Times New Roman" w:cs="Times New Roman" w:eastAsia="Times New Roman" w:hAnsi="Times New Roman"/>
          <w:sz w:val="20"/>
          <w:szCs w:val="20"/>
          <w:color w:val="auto"/>
        </w:rPr>
      </w:pPr>
    </w:p>
    <w:p>
      <w:pPr>
        <w:jc w:val="both"/>
        <w:ind w:left="340" w:hanging="332"/>
        <w:spacing w:after="0" w:line="254" w:lineRule="auto"/>
        <w:tabs>
          <w:tab w:leader="none" w:pos="3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3"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49"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3" w:lineRule="exact"/>
        <w:rPr>
          <w:rFonts w:ascii="Times New Roman" w:cs="Times New Roman" w:eastAsia="Times New Roman" w:hAnsi="Times New Roman"/>
          <w:sz w:val="20"/>
          <w:szCs w:val="20"/>
          <w:color w:val="auto"/>
        </w:rPr>
      </w:pPr>
    </w:p>
    <w:p>
      <w:pPr>
        <w:jc w:val="both"/>
        <w:ind w:left="340" w:right="20" w:hanging="332"/>
        <w:spacing w:after="0" w:line="254" w:lineRule="auto"/>
        <w:tabs>
          <w:tab w:leader="none" w:pos="34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w:t>
      </w:r>
    </w:p>
    <w:p>
      <w:pPr>
        <w:spacing w:after="0" w:line="187" w:lineRule="exact"/>
        <w:rPr>
          <w:rFonts w:ascii="Times New Roman" w:cs="Times New Roman" w:eastAsia="Times New Roman" w:hAnsi="Times New Roman"/>
          <w:sz w:val="20"/>
          <w:szCs w:val="20"/>
          <w:color w:val="auto"/>
        </w:rPr>
      </w:pPr>
    </w:p>
    <w:p>
      <w:pPr>
        <w:jc w:val="both"/>
        <w:ind w:left="1620" w:hanging="316"/>
        <w:spacing w:after="0" w:line="254"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7" w:lineRule="exact"/>
        <w:rPr>
          <w:rFonts w:ascii="Times New Roman" w:cs="Times New Roman" w:eastAsia="Times New Roman" w:hAnsi="Times New Roman"/>
          <w:sz w:val="20"/>
          <w:szCs w:val="20"/>
          <w:color w:val="auto"/>
        </w:rPr>
      </w:pPr>
    </w:p>
    <w:p>
      <w:pPr>
        <w:ind w:left="1620" w:right="20" w:hanging="316"/>
        <w:spacing w:after="0" w:line="269" w:lineRule="auto"/>
        <w:tabs>
          <w:tab w:leader="none" w:pos="1620" w:val="left"/>
        </w:tabs>
        <w:numPr>
          <w:ilvl w:val="1"/>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fraud, whether or not material, that involves management or other employees who have a significant role in the registrant's internal control over financial reporting.</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J. Kelly</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J. Kelly</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June 30, 2022 as filed with the Securities and Exchange Commission (the “Report”), the undersigned, Rodney C. Sacks, Chairman of the Board of Directors and Co-Chief Executive Officer of the Company, certifies, pursuant to 18 U.S.C. 1350, as adopted pursuant to Section 906 of the Sarbanes-Oxley Act of 2002, that:</w:t>
      </w:r>
    </w:p>
    <w:p>
      <w:pPr>
        <w:spacing w:after="0" w:line="193" w:lineRule="exact"/>
        <w:rPr>
          <w:sz w:val="20"/>
          <w:szCs w:val="20"/>
          <w:color w:val="auto"/>
        </w:rPr>
      </w:pPr>
    </w:p>
    <w:p>
      <w:pPr>
        <w:ind w:left="980" w:right="20" w:hanging="324"/>
        <w:spacing w:after="0" w:line="269"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Rodney C. Sacks</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Rodney C. Sacks</w:t>
            </w:r>
          </w:p>
        </w:tc>
      </w:tr>
      <w:tr>
        <w:trPr>
          <w:trHeight w:val="230"/>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Chairman of the Board of Directors</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and Co-Chief Executive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June 30, 2022 as filed with the Securities and Exchange Commission (the “Report”), the undersigned, Hilton H. Schlosberg, Vice Chairman of the Board of Directors and Co-Chief Executive Officer of the Company, certifies, pursuant to 18 U.S.C. 1350, as adopted pursuant to Section 906 of the Sarbanes-Oxley Act of 2002, that:</w:t>
      </w:r>
    </w:p>
    <w:p>
      <w:pPr>
        <w:spacing w:after="0" w:line="193" w:lineRule="exact"/>
        <w:rPr>
          <w:sz w:val="20"/>
          <w:szCs w:val="20"/>
          <w:color w:val="auto"/>
        </w:rPr>
      </w:pPr>
    </w:p>
    <w:p>
      <w:pPr>
        <w:ind w:left="980" w:right="20" w:hanging="324"/>
        <w:spacing w:after="0" w:line="269" w:lineRule="auto"/>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Hilton H. Schlosberg</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Hilton H. Schlosberg</w:t>
            </w:r>
          </w:p>
        </w:tc>
      </w:tr>
      <w:tr>
        <w:trPr>
          <w:trHeight w:val="230"/>
        </w:trPr>
        <w:tc>
          <w:tcPr>
            <w:tcW w:w="496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Vice Chairman of the Board of Directors and</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Co-Chief Executive Officer</w:t>
            </w:r>
          </w:p>
        </w:tc>
      </w:tr>
      <w:tr>
        <w:trPr>
          <w:trHeight w:val="770"/>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 U.S.C. SECTION 1350,</w:t>
      </w:r>
    </w:p>
    <w:p>
      <w:pPr>
        <w:jc w:val="center"/>
        <w:spacing w:after="0"/>
        <w:rPr>
          <w:sz w:val="20"/>
          <w:szCs w:val="20"/>
          <w:color w:val="auto"/>
        </w:rPr>
      </w:pPr>
      <w:r>
        <w:rPr>
          <w:rFonts w:ascii="Times New Roman" w:cs="Times New Roman" w:eastAsia="Times New Roman" w:hAnsi="Times New Roman"/>
          <w:sz w:val="20"/>
          <w:szCs w:val="20"/>
          <w:color w:val="auto"/>
        </w:rPr>
        <w:t>AS ADOPTED PURSUANT TO</w:t>
      </w:r>
    </w:p>
    <w:p>
      <w:pPr>
        <w:jc w:val="center"/>
        <w:spacing w:after="0"/>
        <w:rPr>
          <w:sz w:val="20"/>
          <w:szCs w:val="20"/>
          <w:color w:val="auto"/>
        </w:rPr>
      </w:pPr>
      <w:r>
        <w:rPr>
          <w:rFonts w:ascii="Times New Roman" w:cs="Times New Roman" w:eastAsia="Times New Roman" w:hAnsi="Times New Roman"/>
          <w:sz w:val="20"/>
          <w:szCs w:val="20"/>
          <w:color w:val="auto"/>
        </w:rPr>
        <w:t>SECTION 906 OF THE SARBANES-OXLEY ACT OF 2002</w:t>
      </w:r>
    </w:p>
    <w:p>
      <w:pPr>
        <w:spacing w:after="0" w:line="20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In connection with the quarterly report of Monster Beverage Corporation (the “Company”) on Form 10-Q for the quarter ended June 30, 2022 as filed with the Securities and Exchange Commission (the “Report”), the undersigned, Thomas J. Kelly, Chief Financial Officer of the Company, certifies, pursuant to 18 U.S.C. 1350, as adopted pursuant to Section 906 of the Sarbanes-Oxley Act of 2002, that:</w:t>
      </w:r>
    </w:p>
    <w:p>
      <w:pPr>
        <w:spacing w:after="0" w:line="193" w:lineRule="exact"/>
        <w:rPr>
          <w:sz w:val="20"/>
          <w:szCs w:val="20"/>
          <w:color w:val="auto"/>
        </w:rPr>
      </w:pPr>
    </w:p>
    <w:p>
      <w:pPr>
        <w:ind w:left="980" w:right="20" w:hanging="324"/>
        <w:spacing w:after="0" w:line="269" w:lineRule="auto"/>
        <w:tabs>
          <w:tab w:leader="none" w:pos="9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Report fully complies with the requirements of Section 13(a) or 15(d) of the Securities Exchange Act of 1934; and</w:t>
      </w:r>
    </w:p>
    <w:p>
      <w:pPr>
        <w:spacing w:after="0" w:line="172" w:lineRule="exact"/>
        <w:rPr>
          <w:rFonts w:ascii="Times New Roman" w:cs="Times New Roman" w:eastAsia="Times New Roman" w:hAnsi="Times New Roman"/>
          <w:sz w:val="20"/>
          <w:szCs w:val="20"/>
          <w:color w:val="auto"/>
        </w:rPr>
      </w:pPr>
    </w:p>
    <w:p>
      <w:pPr>
        <w:ind w:left="980" w:right="20" w:hanging="324"/>
        <w:spacing w:after="0" w:line="269" w:lineRule="auto"/>
        <w:tabs>
          <w:tab w:leader="none" w:pos="98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information contained in the Report fairly presents, in all material respects, the financial condition and results of operations of the Company.</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Date: August 5, 2022</w:t>
            </w:r>
          </w:p>
        </w:tc>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/s/ Thomas J. Kelly</w:t>
            </w:r>
          </w:p>
        </w:tc>
      </w:tr>
      <w:tr>
        <w:trPr>
          <w:trHeight w:val="200"/>
        </w:trPr>
        <w:tc>
          <w:tcPr>
            <w:tcW w:w="4960" w:type="dxa"/>
            <w:vAlign w:val="bottom"/>
          </w:tcPr>
          <w:p>
            <w:pPr>
              <w:spacing w:after="0"/>
              <w:rPr>
                <w:sz w:val="17"/>
                <w:szCs w:val="17"/>
                <w:color w:val="auto"/>
              </w:rPr>
            </w:pPr>
          </w:p>
        </w:tc>
        <w:tc>
          <w:tcPr>
            <w:tcW w:w="49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Thomas J. Kelly</w:t>
            </w:r>
          </w:p>
        </w:tc>
      </w:tr>
      <w:tr>
        <w:trPr>
          <w:trHeight w:val="258"/>
        </w:trPr>
        <w:tc>
          <w:tcPr>
            <w:tcW w:w="4960" w:type="dxa"/>
            <w:vAlign w:val="bottom"/>
          </w:tcPr>
          <w:p>
            <w:pPr>
              <w:spacing w:after="0"/>
              <w:rPr>
                <w:sz w:val="22"/>
                <w:szCs w:val="22"/>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w:t>
            </w:r>
          </w:p>
        </w:tc>
      </w:tr>
      <w:tr>
        <w:trPr>
          <w:trHeight w:val="771"/>
        </w:trPr>
        <w:tc>
          <w:tcPr>
            <w:tcW w:w="496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4"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decimal"/>
      <w:start w:val="1"/>
    </w:lvl>
  </w:abstractNum>
  <w:abstractNum w:abstractNumId="1">
    <w:nsid w:val="431BD7B7"/>
    <w:multiLevelType w:val="hybridMultilevel"/>
    <w:lvl w:ilvl="0">
      <w:lvlJc w:val="left"/>
      <w:lvlText w:val="%1."/>
      <w:numFmt w:val="decimal"/>
      <w:start w:val="2"/>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3"/>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1."/>
      <w:numFmt w:val="decimal"/>
      <w:start w:val="5"/>
    </w:lvl>
  </w:abstractNum>
  <w:abstractNum w:abstractNumId="8">
    <w:nsid w:val="333AB105"/>
    <w:multiLevelType w:val="hybridMultilevel"/>
    <w:lvl w:ilvl="0">
      <w:lvlJc w:val="left"/>
      <w:lvlText w:val="%1."/>
      <w:numFmt w:val="decimal"/>
      <w:start w:val="6"/>
    </w:lvl>
  </w:abstractNum>
  <w:abstractNum w:abstractNumId="9">
    <w:nsid w:val="721DA317"/>
    <w:multiLevelType w:val="hybridMultilevel"/>
    <w:lvl w:ilvl="0">
      <w:lvlJc w:val="left"/>
      <w:lvlText w:val="●"/>
      <w:numFmt w:val="bullet"/>
      <w:start w:val="1"/>
    </w:lvl>
  </w:abstractNum>
  <w:abstractNum w:abstractNumId="10">
    <w:nsid w:val="2443A858"/>
    <w:multiLevelType w:val="hybridMultilevel"/>
    <w:lvl w:ilvl="0">
      <w:lvlJc w:val="left"/>
      <w:lvlText w:val="%1."/>
      <w:numFmt w:val="decimal"/>
      <w:start w:val="7"/>
    </w:lvl>
  </w:abstractNum>
  <w:abstractNum w:abstractNumId="11">
    <w:nsid w:val="2D1D5AE9"/>
    <w:multiLevelType w:val="hybridMultilevel"/>
    <w:lvl w:ilvl="0">
      <w:lvlJc w:val="left"/>
      <w:lvlText w:val="%1."/>
      <w:numFmt w:val="decimal"/>
      <w:start w:val="8"/>
    </w:lvl>
  </w:abstractNum>
  <w:abstractNum w:abstractNumId="12">
    <w:nsid w:val="6763845E"/>
    <w:multiLevelType w:val="hybridMultilevel"/>
    <w:lvl w:ilvl="0">
      <w:lvlJc w:val="left"/>
      <w:lvlText w:val="%1."/>
      <w:numFmt w:val="decimal"/>
      <w:start w:val="10"/>
    </w:lvl>
  </w:abstractNum>
  <w:abstractNum w:abstractNumId="13">
    <w:nsid w:val="75A2A8D4"/>
    <w:multiLevelType w:val="hybridMultilevel"/>
    <w:lvl w:ilvl="0">
      <w:lvlJc w:val="left"/>
      <w:lvlText w:val="%1."/>
      <w:numFmt w:val="decimal"/>
      <w:start w:val="12"/>
    </w:lvl>
  </w:abstractNum>
  <w:abstractNum w:abstractNumId="14">
    <w:nsid w:val="8EDBDAB"/>
    <w:multiLevelType w:val="hybridMultilevel"/>
    <w:lvl w:ilvl="0">
      <w:lvlJc w:val="left"/>
      <w:lvlText w:val="%1."/>
      <w:numFmt w:val="decimal"/>
      <w:start w:val="13"/>
    </w:lvl>
  </w:abstractNum>
  <w:abstractNum w:abstractNumId="15">
    <w:nsid w:val="79838CB2"/>
    <w:multiLevelType w:val="hybridMultilevel"/>
    <w:lvl w:ilvl="0">
      <w:lvlJc w:val="left"/>
      <w:lvlText w:val="%1."/>
      <w:numFmt w:val="decimal"/>
      <w:start w:val="15"/>
    </w:lvl>
  </w:abstractNum>
  <w:abstractNum w:abstractNumId="16">
    <w:nsid w:val="4353D0CD"/>
    <w:multiLevelType w:val="hybridMultilevel"/>
    <w:lvl w:ilvl="0">
      <w:lvlJc w:val="left"/>
      <w:lvlText w:val="%1."/>
      <w:numFmt w:val="decimal"/>
      <w:start w:val="16"/>
    </w:lvl>
  </w:abstractNum>
  <w:abstractNum w:abstractNumId="17">
    <w:nsid w:val="B03E0C6"/>
    <w:multiLevelType w:val="hybridMultilevel"/>
    <w:lvl w:ilvl="0">
      <w:lvlJc w:val="left"/>
      <w:lvlText w:val="%1."/>
      <w:numFmt w:val="decimal"/>
      <w:start w:val="17"/>
    </w:lvl>
  </w:abstractNum>
  <w:abstractNum w:abstractNumId="18">
    <w:nsid w:val="189A769B"/>
    <w:multiLevelType w:val="hybridMultilevel"/>
    <w:lvl w:ilvl="0">
      <w:lvlJc w:val="left"/>
      <w:lvlText w:val="%1."/>
      <w:numFmt w:val="decimal"/>
      <w:start w:val="18"/>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9"/>
    </w:lvl>
  </w:abstractNum>
  <w:abstractNum w:abstractNumId="21">
    <w:nsid w:val="2CA88611"/>
    <w:multiLevelType w:val="hybridMultilevel"/>
    <w:lvl w:ilvl="0">
      <w:lvlJc w:val="left"/>
      <w:lvlText w:val="●"/>
      <w:numFmt w:val="bullet"/>
      <w:start w:val="1"/>
    </w:lvl>
  </w:abstractNum>
  <w:abstractNum w:abstractNumId="22">
    <w:nsid w:val="836C40E"/>
    <w:multiLevelType w:val="hybridMultilevel"/>
    <w:lvl w:ilvl="0">
      <w:lvlJc w:val="left"/>
      <w:lvlText w:val="***"/>
      <w:numFmt w:val="bullet"/>
      <w:start w:val="1"/>
    </w:lvl>
  </w:abstractNum>
  <w:abstractNum w:abstractNumId="23">
    <w:nsid w:val="2901D82"/>
    <w:multiLevelType w:val="hybridMultilevel"/>
    <w:lvl w:ilvl="0">
      <w:lvlJc w:val="left"/>
      <w:lvlText w:val="●"/>
      <w:numFmt w:val="bullet"/>
      <w:start w:val="1"/>
    </w:lvl>
  </w:abstractNum>
  <w:abstractNum w:abstractNumId="24">
    <w:nsid w:val="3A95F874"/>
    <w:multiLevelType w:val="hybridMultilevel"/>
    <w:lvl w:ilvl="0">
      <w:lvlJc w:val="left"/>
      <w:lvlText w:val="●"/>
      <w:numFmt w:val="bullet"/>
      <w:start w:val="1"/>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
      <w:numFmt w:val="bullet"/>
      <w:start w:val="1"/>
    </w:lvl>
  </w:abstractNum>
  <w:abstractNum w:abstractNumId="27">
    <w:nsid w:val="7C3DBD3D"/>
    <w:multiLevelType w:val="hybridMultilevel"/>
    <w:lvl w:ilvl="0">
      <w:lvlJc w:val="left"/>
      <w:lvlText w:val="*"/>
      <w:numFmt w:val="bullet"/>
      <w:start w:val="1"/>
    </w:lvl>
  </w:abstractNum>
  <w:abstractNum w:abstractNumId="28">
    <w:nsid w:val="737B8DDC"/>
    <w:multiLevelType w:val="hybridMultilevel"/>
    <w:lvl w:ilvl="0">
      <w:lvlJc w:val="left"/>
      <w:lvlText w:val="%1."/>
      <w:numFmt w:val="decimal"/>
      <w:start w:val="1"/>
    </w:lvl>
    <w:lvl w:ilvl="1">
      <w:lvlJc w:val="left"/>
      <w:lvlText w:val="%2."/>
      <w:numFmt w:val="lowerLetter"/>
      <w:start w:val="1"/>
    </w:lvl>
  </w:abstractNum>
  <w:abstractNum w:abstractNumId="29">
    <w:nsid w:val="6CEAF087"/>
    <w:multiLevelType w:val="hybridMultilevel"/>
    <w:lvl w:ilvl="0">
      <w:lvlJc w:val="left"/>
      <w:lvlText w:val="%1."/>
      <w:numFmt w:val="decimal"/>
      <w:start w:val="1"/>
    </w:lvl>
    <w:lvl w:ilvl="1">
      <w:lvlJc w:val="left"/>
      <w:lvlText w:val="%2."/>
      <w:numFmt w:val="lowerLetter"/>
      <w:start w:val="1"/>
    </w:lvl>
  </w:abstractNum>
  <w:abstractNum w:abstractNumId="30">
    <w:nsid w:val="22221A70"/>
    <w:multiLevelType w:val="hybridMultilevel"/>
    <w:lvl w:ilvl="0">
      <w:lvlJc w:val="left"/>
      <w:lvlText w:val="%1."/>
      <w:numFmt w:val="decimal"/>
      <w:start w:val="1"/>
    </w:lvl>
    <w:lvl w:ilvl="1">
      <w:lvlJc w:val="left"/>
      <w:lvlText w:val="%2."/>
      <w:numFmt w:val="lowerLetter"/>
      <w:start w:val="1"/>
    </w:lvl>
  </w:abstractNum>
  <w:abstractNum w:abstractNumId="31">
    <w:nsid w:val="4516DDE9"/>
    <w:multiLevelType w:val="hybridMultilevel"/>
    <w:lvl w:ilvl="0">
      <w:lvlJc w:val="left"/>
      <w:lvlText w:val="%1."/>
      <w:numFmt w:val="decimal"/>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2022-08-05T16:00:26Z</dcterms:created>
  <dcterms:modified xsi:type="dcterms:W3CDTF">2022-08-05T16:00:26Z</dcterms:modified>
</cp:coreProperties>
</file>