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7780" w:val="left"/>
        </w:tabs>
        <w:rPr>
          <w:sz w:val="20"/>
          <w:szCs w:val="20"/>
          <w:color w:val="auto"/>
        </w:rPr>
      </w:pPr>
      <w:r>
        <w:rPr>
          <w:rFonts w:ascii="Arial" w:cs="Arial" w:eastAsia="Arial" w:hAnsi="Arial"/>
          <w:sz w:val="20"/>
          <w:szCs w:val="20"/>
          <w:color w:val="auto"/>
        </w:rPr>
        <w:t>For the quarterly period ended June 30, 2018</w:t>
      </w:r>
      <w:r>
        <w:rPr>
          <w:sz w:val="20"/>
          <w:szCs w:val="20"/>
          <w:color w:val="auto"/>
        </w:rPr>
        <w:tab/>
      </w:r>
      <w:r>
        <w:rPr>
          <w:rFonts w:ascii="Arial" w:cs="Arial" w:eastAsia="Arial" w:hAnsi="Arial"/>
          <w:sz w:val="18"/>
          <w:szCs w:val="18"/>
          <w:color w:val="auto"/>
        </w:rPr>
        <w:t>Commission File Number 001-18761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5" w:gutter="0" w:footer="0" w:header="0"/>
        </w:sectPr>
      </w:pPr>
    </w:p>
    <w:p>
      <w:pPr>
        <w:spacing w:after="0" w:line="200" w:lineRule="exact"/>
        <w:rPr>
          <w:sz w:val="24"/>
          <w:szCs w:val="24"/>
          <w:color w:val="auto"/>
        </w:rPr>
      </w:pPr>
    </w:p>
    <w:p>
      <w:pPr>
        <w:spacing w:after="0" w:line="210" w:lineRule="exact"/>
        <w:rPr>
          <w:sz w:val="24"/>
          <w:szCs w:val="24"/>
          <w:color w:val="auto"/>
        </w:rPr>
      </w:pPr>
    </w:p>
    <w:p>
      <w:pPr>
        <w:jc w:val="center"/>
        <w:ind w:left="74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color w:val="auto"/>
        </w:rPr>
        <w:t>47-1809393</w:t>
      </w:r>
    </w:p>
    <w:p>
      <w:pPr>
        <w:spacing w:after="0" w:line="43" w:lineRule="exact"/>
        <w:rPr>
          <w:sz w:val="24"/>
          <w:szCs w:val="24"/>
          <w:color w:val="auto"/>
        </w:rPr>
      </w:pPr>
    </w:p>
    <w:p>
      <w:pPr>
        <w:sectPr>
          <w:pgSz w:w="11900" w:h="16838" w:orient="portrait"/>
          <w:cols w:equalWidth="0" w:num="2">
            <w:col w:w="5900" w:space="720"/>
            <w:col w:w="4800"/>
          </w:cols>
          <w:pgMar w:left="240" w:top="233" w:right="239" w:bottom="5" w:gutter="0" w:footer="0" w:header="0"/>
          <w:type w:val="continuous"/>
        </w:sectPr>
      </w:pPr>
    </w:p>
    <w:p>
      <w:pPr>
        <w:spacing w:after="0" w:line="12" w:lineRule="exact"/>
        <w:rPr>
          <w:sz w:val="24"/>
          <w:szCs w:val="24"/>
          <w:color w:val="auto"/>
        </w:rPr>
      </w:pPr>
    </w:p>
    <w:p>
      <w:pPr>
        <w:ind w:left="2940"/>
        <w:spacing w:after="0"/>
        <w:rPr>
          <w:sz w:val="20"/>
          <w:szCs w:val="20"/>
          <w:color w:val="auto"/>
        </w:rPr>
      </w:pPr>
      <w:r>
        <w:rPr>
          <w:rFonts w:ascii="Arial" w:cs="Arial" w:eastAsia="Arial" w:hAnsi="Arial"/>
          <w:sz w:val="13"/>
          <w:szCs w:val="13"/>
          <w:color w:val="auto"/>
        </w:rPr>
        <w:t>(State or other jurisdiction of</w:t>
      </w:r>
    </w:p>
    <w:p>
      <w:pPr>
        <w:ind w:left="29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5900" w:space="720"/>
            <w:col w:w="4800"/>
          </w:cols>
          <w:pgMar w:left="240" w:top="233" w:right="239" w:bottom="5" w:gutter="0" w:footer="0" w:header="0"/>
          <w:type w:val="continuous"/>
        </w:sect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3" w:right="239" w:bottom="5" w:gutter="0" w:footer="0" w:header="0"/>
          <w:type w:val="continuous"/>
        </w:sectPr>
      </w:pP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17" w:lineRule="exact"/>
        <w:rPr>
          <w:sz w:val="24"/>
          <w:szCs w:val="24"/>
          <w:color w:val="auto"/>
        </w:rPr>
      </w:pPr>
    </w:p>
    <w:p>
      <w:pPr>
        <w:sectPr>
          <w:pgSz w:w="11900" w:h="16838" w:orient="portrait"/>
          <w:cols w:equalWidth="0" w:num="2">
            <w:col w:w="6680" w:space="720"/>
            <w:col w:w="4020"/>
          </w:cols>
          <w:pgMar w:left="240" w:top="233" w:right="239" w:bottom="5"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22" w:lineRule="exact"/>
        <w:rPr>
          <w:sz w:val="24"/>
          <w:szCs w:val="24"/>
          <w:color w:val="auto"/>
        </w:rPr>
      </w:pPr>
    </w:p>
    <w:p>
      <w:pPr>
        <w:sectPr>
          <w:pgSz w:w="11900" w:h="16838" w:orient="portrait"/>
          <w:cols w:equalWidth="0" w:num="2">
            <w:col w:w="6680" w:space="720"/>
            <w:col w:w="4020"/>
          </w:cols>
          <w:pgMar w:left="240" w:top="233" w:right="239" w:bottom="5"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ectPr>
          <w:pgSz w:w="11900" w:h="16838" w:orient="portrait"/>
          <w:cols w:equalWidth="0" w:num="1">
            <w:col w:w="11420"/>
          </w:cols>
          <w:pgMar w:left="240" w:top="233" w:right="239" w:bottom="5" w:gutter="0" w:footer="0" w:header="0"/>
          <w:type w:val="continuous"/>
        </w:sectPr>
      </w:pPr>
    </w:p>
    <w:p>
      <w:pPr>
        <w:spacing w:after="0" w:line="252" w:lineRule="exact"/>
        <w:rPr>
          <w:sz w:val="24"/>
          <w:szCs w:val="24"/>
          <w:color w:val="auto"/>
        </w:rPr>
      </w:pPr>
    </w:p>
    <w:p>
      <w:pPr>
        <w:ind w:firstLine="648"/>
        <w:spacing w:after="0" w:line="287"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552,523,130 shares of common stock, par value $0.005 per share, outstanding as of August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5"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JUNE 30, 2018</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rPr>
              <w:t>INDEX</w:t>
            </w:r>
          </w:p>
        </w:tc>
        <w:tc>
          <w:tcPr>
            <w:tcW w:w="4640" w:type="dxa"/>
            <w:vAlign w:val="bottom"/>
            <w:gridSpan w:val="8"/>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69"/>
        </w:trPr>
        <w:tc>
          <w:tcPr>
            <w:tcW w:w="560" w:type="dxa"/>
            <w:vAlign w:val="bottom"/>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780" w:type="dxa"/>
            <w:vAlign w:val="bottom"/>
            <w:gridSpan w:val="3"/>
          </w:tcPr>
          <w:p>
            <w:pPr>
              <w:spacing w:after="0"/>
              <w:rPr>
                <w:sz w:val="24"/>
                <w:szCs w:val="24"/>
                <w:color w:val="auto"/>
              </w:rPr>
            </w:pPr>
          </w:p>
        </w:tc>
        <w:tc>
          <w:tcPr>
            <w:tcW w:w="2640" w:type="dxa"/>
            <w:vAlign w:val="bottom"/>
            <w:gridSpan w:val="9"/>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700" w:type="dxa"/>
            <w:vAlign w:val="bottom"/>
            <w:gridSpan w:val="1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84"/>
              </w:rPr>
              <w:t>Page No.</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340" w:type="dxa"/>
            <w:vAlign w:val="bottom"/>
            <w:gridSpan w:val="21"/>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60" w:type="dxa"/>
            <w:vAlign w:val="bottom"/>
            <w:tcBorders>
              <w:bottom w:val="single" w:sz="8" w:color="0000EE"/>
            </w:tcBorders>
            <w:gridSpan w:val="16"/>
          </w:tcPr>
          <w:p>
            <w:pPr>
              <w:spacing w:after="0"/>
              <w:rPr>
                <w:rFonts w:ascii="Arial" w:cs="Arial" w:eastAsia="Arial" w:hAnsi="Arial"/>
                <w:sz w:val="20"/>
                <w:szCs w:val="20"/>
                <w:color w:val="0000EE"/>
                <w:w w:val="87"/>
              </w:rPr>
            </w:pPr>
            <w:hyperlink w:anchor="page2">
              <w:r>
                <w:rPr>
                  <w:rFonts w:ascii="Arial" w:cs="Arial" w:eastAsia="Arial" w:hAnsi="Arial"/>
                  <w:sz w:val="20"/>
                  <w:szCs w:val="20"/>
                  <w:color w:val="0000EE"/>
                  <w:w w:val="87"/>
                </w:rPr>
                <w:t>Condensed Consolidated Balance Sheets as of June 30, 2018 and December 31, 2017</w:t>
              </w:r>
            </w:hyperlink>
          </w:p>
        </w:tc>
        <w:tc>
          <w:tcPr>
            <w:tcW w:w="2580" w:type="dxa"/>
            <w:vAlign w:val="bottom"/>
            <w:gridSpan w:val="5"/>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w:t>
            </w: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720" w:type="dxa"/>
            <w:vAlign w:val="bottom"/>
            <w:tcBorders>
              <w:bottom w:val="single" w:sz="8" w:color="0000EE"/>
            </w:tcBorders>
            <w:gridSpan w:val="19"/>
          </w:tcPr>
          <w:p>
            <w:pPr>
              <w:spacing w:after="0"/>
              <w:rPr>
                <w:rFonts w:ascii="Arial" w:cs="Arial" w:eastAsia="Arial" w:hAnsi="Arial"/>
                <w:sz w:val="20"/>
                <w:szCs w:val="20"/>
                <w:color w:val="0000EE"/>
                <w:w w:val="88"/>
              </w:rPr>
            </w:pPr>
            <w:hyperlink w:anchor="page3">
              <w:r>
                <w:rPr>
                  <w:rFonts w:ascii="Arial" w:cs="Arial" w:eastAsia="Arial" w:hAnsi="Arial"/>
                  <w:sz w:val="20"/>
                  <w:szCs w:val="20"/>
                  <w:color w:val="0000EE"/>
                  <w:w w:val="88"/>
                </w:rPr>
                <w:t>Condensed Consolidated Statements of Income for the Three- and Six-Months Ended June 30, 2018 and 2017</w:t>
              </w:r>
            </w:hyperlink>
          </w:p>
        </w:tc>
        <w:tc>
          <w:tcPr>
            <w:tcW w:w="62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w:t>
            </w: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780" w:type="dxa"/>
            <w:vAlign w:val="bottom"/>
            <w:tcBorders>
              <w:bottom w:val="single" w:sz="8" w:color="0000EE"/>
            </w:tcBorders>
            <w:gridSpan w:val="20"/>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Comprehensive Income for the Three- and Six-Months Ended June 30,</w:t>
              </w:r>
            </w:hyperlink>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340" w:type="dxa"/>
            <w:vAlign w:val="bottom"/>
            <w:gridSpan w:val="21"/>
          </w:tcPr>
          <w:p>
            <w:pPr>
              <w:spacing w:after="0" w:line="209" w:lineRule="exact"/>
              <w:rPr>
                <w:rFonts w:ascii="Arial" w:cs="Arial" w:eastAsia="Arial" w:hAnsi="Arial"/>
                <w:sz w:val="20"/>
                <w:szCs w:val="20"/>
                <w:color w:val="0000EE"/>
              </w:rPr>
            </w:pPr>
            <w:hyperlink w:anchor="page4">
              <w:r>
                <w:rPr>
                  <w:rFonts w:ascii="Arial" w:cs="Arial" w:eastAsia="Arial" w:hAnsi="Arial"/>
                  <w:sz w:val="20"/>
                  <w:szCs w:val="20"/>
                  <w:color w:val="0000EE"/>
                </w:rPr>
                <w:t>2018 and 2017</w:t>
              </w:r>
            </w:hyperlink>
          </w:p>
        </w:tc>
        <w:tc>
          <w:tcPr>
            <w:tcW w:w="7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40" w:type="dxa"/>
            <w:vAlign w:val="bottom"/>
            <w:tcBorders>
              <w:bottom w:val="single" w:sz="8" w:color="0000EE"/>
            </w:tcBorders>
            <w:gridSpan w:val="18"/>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Cash Flows for the Six-Months Ended June 30, 2018 and 2017</w:t>
              </w:r>
            </w:hyperlink>
          </w:p>
        </w:tc>
        <w:tc>
          <w:tcPr>
            <w:tcW w:w="1200" w:type="dxa"/>
            <w:vAlign w:val="bottom"/>
            <w:gridSpan w:val="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0" w:type="dxa"/>
            <w:vAlign w:val="bottom"/>
            <w:tcBorders>
              <w:bottom w:val="single" w:sz="8" w:color="0000EE"/>
            </w:tcBorders>
            <w:gridSpan w:val="11"/>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4940" w:type="dxa"/>
            <w:vAlign w:val="bottom"/>
            <w:gridSpan w:val="10"/>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r>
      <w:tr>
        <w:trPr>
          <w:trHeight w:val="426"/>
        </w:trPr>
        <w:tc>
          <w:tcPr>
            <w:tcW w:w="1340" w:type="dxa"/>
            <w:vAlign w:val="bottom"/>
            <w:gridSpan w:val="4"/>
          </w:tcPr>
          <w:p>
            <w:pPr>
              <w:spacing w:after="0"/>
              <w:rPr>
                <w:rFonts w:ascii="Arial" w:cs="Arial" w:eastAsia="Arial" w:hAnsi="Arial"/>
                <w:sz w:val="20"/>
                <w:szCs w:val="20"/>
                <w:color w:val="0000EE"/>
              </w:rPr>
            </w:pPr>
            <w:hyperlink w:anchor="page21">
              <w:r>
                <w:rPr>
                  <w:rFonts w:ascii="Arial" w:cs="Arial" w:eastAsia="Arial" w:hAnsi="Arial"/>
                  <w:sz w:val="20"/>
                  <w:szCs w:val="20"/>
                  <w:color w:val="0000EE"/>
                </w:rPr>
                <w:t>Item 2.</w:t>
              </w:r>
            </w:hyperlink>
          </w:p>
        </w:tc>
        <w:tc>
          <w:tcPr>
            <w:tcW w:w="9340" w:type="dxa"/>
            <w:vAlign w:val="bottom"/>
            <w:gridSpan w:val="21"/>
          </w:tcPr>
          <w:p>
            <w:pPr>
              <w:spacing w:after="0"/>
              <w:rPr>
                <w:rFonts w:ascii="Arial" w:cs="Arial" w:eastAsia="Arial" w:hAnsi="Arial"/>
                <w:sz w:val="20"/>
                <w:szCs w:val="20"/>
                <w:color w:val="0000EE"/>
              </w:rPr>
            </w:pPr>
            <w:hyperlink w:anchor="page21">
              <w:r>
                <w:rPr>
                  <w:rFonts w:ascii="Arial" w:cs="Arial" w:eastAsia="Arial" w:hAnsi="Arial"/>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31</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640" w:type="dxa"/>
            <w:vAlign w:val="bottom"/>
            <w:tcBorders>
              <w:bottom w:val="single" w:sz="8" w:color="0000EE"/>
            </w:tcBorders>
            <w:gridSpan w:val="2"/>
          </w:tcPr>
          <w:p>
            <w:pPr>
              <w:spacing w:after="0"/>
              <w:rPr>
                <w:rFonts w:ascii="Arial" w:cs="Arial" w:eastAsia="Arial" w:hAnsi="Arial"/>
                <w:sz w:val="20"/>
                <w:szCs w:val="20"/>
                <w:color w:val="0000EE"/>
              </w:rPr>
            </w:pPr>
            <w:hyperlink w:anchor="page33">
              <w:r>
                <w:rPr>
                  <w:rFonts w:ascii="Arial" w:cs="Arial" w:eastAsia="Arial" w:hAnsi="Arial"/>
                  <w:sz w:val="20"/>
                  <w:szCs w:val="20"/>
                  <w:color w:val="0000EE"/>
                </w:rPr>
                <w:t>Item 3.</w:t>
              </w:r>
            </w:hyperlink>
          </w:p>
        </w:tc>
        <w:tc>
          <w:tcPr>
            <w:tcW w:w="700" w:type="dxa"/>
            <w:vAlign w:val="bottom"/>
            <w:gridSpan w:val="2"/>
          </w:tcPr>
          <w:p>
            <w:pPr>
              <w:spacing w:after="0"/>
              <w:rPr>
                <w:sz w:val="24"/>
                <w:szCs w:val="24"/>
                <w:color w:val="auto"/>
              </w:rPr>
            </w:pPr>
          </w:p>
        </w:tc>
        <w:tc>
          <w:tcPr>
            <w:tcW w:w="4800" w:type="dxa"/>
            <w:vAlign w:val="bottom"/>
            <w:tcBorders>
              <w:bottom w:val="single" w:sz="8" w:color="0000EE"/>
            </w:tcBorders>
            <w:gridSpan w:val="15"/>
          </w:tcPr>
          <w:p>
            <w:pPr>
              <w:spacing w:after="0"/>
              <w:rPr>
                <w:rFonts w:ascii="Arial" w:cs="Arial" w:eastAsia="Arial" w:hAnsi="Arial"/>
                <w:sz w:val="20"/>
                <w:szCs w:val="20"/>
                <w:color w:val="0000EE"/>
                <w:w w:val="91"/>
              </w:rPr>
            </w:pPr>
            <w:hyperlink w:anchor="page33">
              <w:r>
                <w:rPr>
                  <w:rFonts w:ascii="Arial" w:cs="Arial" w:eastAsia="Arial" w:hAnsi="Arial"/>
                  <w:sz w:val="20"/>
                  <w:szCs w:val="20"/>
                  <w:color w:val="0000EE"/>
                  <w:w w:val="91"/>
                </w:rPr>
                <w:t>Quantitative and Qualitative Disclosures About Market Risk</w:t>
              </w:r>
            </w:hyperlink>
          </w:p>
        </w:tc>
        <w:tc>
          <w:tcPr>
            <w:tcW w:w="4540" w:type="dxa"/>
            <w:vAlign w:val="bottom"/>
            <w:gridSpan w:val="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49</w:t>
            </w:r>
          </w:p>
        </w:tc>
      </w:tr>
      <w:tr>
        <w:trPr>
          <w:trHeight w:val="426"/>
        </w:trPr>
        <w:tc>
          <w:tcPr>
            <w:tcW w:w="1340" w:type="dxa"/>
            <w:vAlign w:val="bottom"/>
            <w:gridSpan w:val="4"/>
          </w:tcPr>
          <w:p>
            <w:pPr>
              <w:spacing w:after="0"/>
              <w:rPr>
                <w:rFonts w:ascii="Arial" w:cs="Arial" w:eastAsia="Arial" w:hAnsi="Arial"/>
                <w:sz w:val="20"/>
                <w:szCs w:val="20"/>
                <w:color w:val="0000EE"/>
              </w:rPr>
            </w:pPr>
            <w:hyperlink w:anchor="page33">
              <w:r>
                <w:rPr>
                  <w:rFonts w:ascii="Arial" w:cs="Arial" w:eastAsia="Arial" w:hAnsi="Arial"/>
                  <w:sz w:val="20"/>
                  <w:szCs w:val="20"/>
                  <w:color w:val="0000EE"/>
                </w:rPr>
                <w:t>Item 4.</w:t>
              </w:r>
            </w:hyperlink>
          </w:p>
        </w:tc>
        <w:tc>
          <w:tcPr>
            <w:tcW w:w="9340" w:type="dxa"/>
            <w:vAlign w:val="bottom"/>
            <w:gridSpan w:val="21"/>
          </w:tcPr>
          <w:p>
            <w:pPr>
              <w:spacing w:after="0"/>
              <w:rPr>
                <w:rFonts w:ascii="Arial" w:cs="Arial" w:eastAsia="Arial" w:hAnsi="Arial"/>
                <w:sz w:val="20"/>
                <w:szCs w:val="20"/>
                <w:color w:val="0000EE"/>
              </w:rPr>
            </w:pPr>
            <w:hyperlink w:anchor="page33">
              <w:r>
                <w:rPr>
                  <w:rFonts w:ascii="Arial" w:cs="Arial" w:eastAsia="Arial" w:hAnsi="Arial"/>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50</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 w:type="dxa"/>
            <w:vAlign w:val="bottom"/>
            <w:gridSpan w:val="2"/>
          </w:tcPr>
          <w:p>
            <w:pPr>
              <w:spacing w:after="0"/>
              <w:rPr>
                <w:rFonts w:ascii="Arial" w:cs="Arial" w:eastAsia="Arial" w:hAnsi="Arial"/>
                <w:sz w:val="20"/>
                <w:szCs w:val="20"/>
                <w:b w:val="1"/>
                <w:bCs w:val="1"/>
                <w:color w:val="0000EE"/>
              </w:rPr>
            </w:pPr>
            <w:hyperlink w:anchor="page34">
              <w:r>
                <w:rPr>
                  <w:rFonts w:ascii="Arial" w:cs="Arial" w:eastAsia="Arial" w:hAnsi="Arial"/>
                  <w:sz w:val="20"/>
                  <w:szCs w:val="20"/>
                  <w:b w:val="1"/>
                  <w:bCs w:val="1"/>
                  <w:color w:val="0000EE"/>
                </w:rPr>
                <w:t>Part II.</w:t>
              </w:r>
            </w:hyperlink>
          </w:p>
        </w:tc>
        <w:tc>
          <w:tcPr>
            <w:tcW w:w="700" w:type="dxa"/>
            <w:vAlign w:val="bottom"/>
            <w:gridSpan w:val="2"/>
          </w:tcPr>
          <w:p>
            <w:pPr>
              <w:spacing w:after="0"/>
              <w:rPr>
                <w:sz w:val="24"/>
                <w:szCs w:val="24"/>
                <w:color w:val="auto"/>
              </w:rPr>
            </w:pPr>
          </w:p>
        </w:tc>
        <w:tc>
          <w:tcPr>
            <w:tcW w:w="9340" w:type="dxa"/>
            <w:vAlign w:val="bottom"/>
            <w:gridSpan w:val="21"/>
          </w:tcPr>
          <w:p>
            <w:pPr>
              <w:spacing w:after="0"/>
              <w:rPr>
                <w:rFonts w:ascii="Arial" w:cs="Arial" w:eastAsia="Arial" w:hAnsi="Arial"/>
                <w:sz w:val="20"/>
                <w:szCs w:val="20"/>
                <w:b w:val="1"/>
                <w:bCs w:val="1"/>
                <w:color w:val="0000EE"/>
              </w:rPr>
            </w:pPr>
            <w:hyperlink w:anchor="page34">
              <w:r>
                <w:rPr>
                  <w:rFonts w:ascii="Arial" w:cs="Arial" w:eastAsia="Arial" w:hAnsi="Arial"/>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Item 1.</w:t>
              </w:r>
            </w:hyperlink>
          </w:p>
        </w:tc>
        <w:tc>
          <w:tcPr>
            <w:tcW w:w="700" w:type="dxa"/>
            <w:vAlign w:val="bottom"/>
            <w:gridSpan w:val="2"/>
          </w:tcPr>
          <w:p>
            <w:pPr>
              <w:spacing w:after="0"/>
              <w:rPr>
                <w:sz w:val="24"/>
                <w:szCs w:val="24"/>
                <w:color w:val="auto"/>
              </w:rPr>
            </w:pPr>
          </w:p>
        </w:tc>
        <w:tc>
          <w:tcPr>
            <w:tcW w:w="2220" w:type="dxa"/>
            <w:vAlign w:val="bottom"/>
            <w:tcBorders>
              <w:top w:val="single" w:sz="8" w:color="0000EE"/>
            </w:tcBorders>
            <w:gridSpan w:val="7"/>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Legal Proceedings</w:t>
              </w:r>
            </w:hyperlink>
          </w:p>
        </w:tc>
        <w:tc>
          <w:tcPr>
            <w:tcW w:w="7120" w:type="dxa"/>
            <w:vAlign w:val="bottom"/>
            <w:gridSpan w:val="1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50</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720" w:type="dxa"/>
            <w:vAlign w:val="bottom"/>
            <w:gridSpan w:val="3"/>
          </w:tcPr>
          <w:p>
            <w:pPr>
              <w:spacing w:after="0"/>
              <w:rPr>
                <w:rFonts w:ascii="Arial" w:cs="Arial" w:eastAsia="Arial" w:hAnsi="Arial"/>
                <w:sz w:val="20"/>
                <w:szCs w:val="20"/>
                <w:color w:val="0000EE"/>
                <w:w w:val="93"/>
              </w:rPr>
            </w:pPr>
            <w:hyperlink w:anchor="page34">
              <w:r>
                <w:rPr>
                  <w:rFonts w:ascii="Arial" w:cs="Arial" w:eastAsia="Arial" w:hAnsi="Arial"/>
                  <w:sz w:val="20"/>
                  <w:szCs w:val="20"/>
                  <w:color w:val="0000EE"/>
                  <w:w w:val="93"/>
                </w:rPr>
                <w:t>Item 1A.</w:t>
              </w:r>
            </w:hyperlink>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Risk Factors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50</w:t>
            </w: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720" w:type="dxa"/>
            <w:vAlign w:val="bottom"/>
            <w:gridSpan w:val="3"/>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Item 2.</w:t>
              </w:r>
            </w:hyperlink>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50</w:t>
            </w:r>
          </w:p>
        </w:tc>
      </w:tr>
      <w:tr>
        <w:trPr>
          <w:trHeight w:val="426"/>
        </w:trPr>
        <w:tc>
          <w:tcPr>
            <w:tcW w:w="1340" w:type="dxa"/>
            <w:vAlign w:val="bottom"/>
            <w:tcBorders>
              <w:top w:val="single" w:sz="8" w:color="0000EE"/>
            </w:tcBorders>
            <w:gridSpan w:val="4"/>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Item 3.</w:t>
              </w:r>
            </w:hyperlink>
          </w:p>
        </w:tc>
        <w:tc>
          <w:tcPr>
            <w:tcW w:w="4780" w:type="dxa"/>
            <w:vAlign w:val="bottom"/>
            <w:tcBorders>
              <w:top w:val="single" w:sz="8" w:color="0000EE"/>
            </w:tcBorders>
            <w:gridSpan w:val="14"/>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Defaults Upon Senior Securities</w:t>
              </w:r>
            </w:hyperlink>
          </w:p>
        </w:tc>
        <w:tc>
          <w:tcPr>
            <w:tcW w:w="4560" w:type="dxa"/>
            <w:vAlign w:val="bottom"/>
            <w:gridSpan w:val="7"/>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51</w:t>
            </w:r>
          </w:p>
        </w:tc>
      </w:tr>
      <w:tr>
        <w:trPr>
          <w:trHeight w:val="426"/>
        </w:trPr>
        <w:tc>
          <w:tcPr>
            <w:tcW w:w="1340" w:type="dxa"/>
            <w:vAlign w:val="bottom"/>
            <w:tcBorders>
              <w:top w:val="single" w:sz="8" w:color="0000EE"/>
            </w:tcBorders>
            <w:gridSpan w:val="4"/>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Item 4.</w:t>
              </w:r>
            </w:hyperlink>
          </w:p>
        </w:tc>
        <w:tc>
          <w:tcPr>
            <w:tcW w:w="2560" w:type="dxa"/>
            <w:vAlign w:val="bottom"/>
            <w:tcBorders>
              <w:top w:val="single" w:sz="8" w:color="0000EE"/>
            </w:tcBorders>
            <w:gridSpan w:val="8"/>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Mine Safety Disclosures</w:t>
              </w:r>
            </w:hyperlink>
          </w:p>
        </w:tc>
        <w:tc>
          <w:tcPr>
            <w:tcW w:w="6780" w:type="dxa"/>
            <w:vAlign w:val="bottom"/>
            <w:gridSpan w:val="1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1340" w:type="dxa"/>
            <w:vAlign w:val="bottom"/>
            <w:gridSpan w:val="4"/>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Item 5.</w:t>
              </w:r>
            </w:hyperlink>
          </w:p>
        </w:tc>
        <w:tc>
          <w:tcPr>
            <w:tcW w:w="9340" w:type="dxa"/>
            <w:vAlign w:val="bottom"/>
            <w:gridSpan w:val="21"/>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Other Information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1340" w:type="dxa"/>
            <w:vAlign w:val="bottom"/>
            <w:gridSpan w:val="4"/>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Item 6.</w:t>
              </w:r>
            </w:hyperlink>
          </w:p>
        </w:tc>
        <w:tc>
          <w:tcPr>
            <w:tcW w:w="9340" w:type="dxa"/>
            <w:vAlign w:val="bottom"/>
            <w:gridSpan w:val="21"/>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00" w:type="dxa"/>
            <w:vAlign w:val="bottom"/>
            <w:gridSpan w:val="1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35">
              <w:r>
                <w:rPr>
                  <w:rFonts w:ascii="Arial" w:cs="Arial" w:eastAsia="Arial" w:hAnsi="Arial"/>
                  <w:sz w:val="20"/>
                  <w:szCs w:val="20"/>
                  <w:color w:val="0000EE"/>
                </w:rPr>
                <w:t>Signatures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52</w:t>
            </w:r>
          </w:p>
        </w:tc>
      </w:tr>
      <w:tr>
        <w:trPr>
          <w:trHeight w:val="45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Borders>
              <w:top w:val="single" w:sz="8" w:color="0000EE"/>
            </w:tcBorders>
            <w:gridSpan w:val="2"/>
          </w:tcPr>
          <w:p>
            <w:pPr>
              <w:spacing w:after="0"/>
              <w:rPr>
                <w:sz w:val="24"/>
                <w:szCs w:val="24"/>
                <w:color w:val="auto"/>
              </w:rPr>
            </w:pPr>
          </w:p>
        </w:tc>
        <w:tc>
          <w:tcPr>
            <w:tcW w:w="3840" w:type="dxa"/>
            <w:vAlign w:val="bottom"/>
            <w:gridSpan w:val="10"/>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rPr>
          <w:sz w:val="20"/>
          <w:szCs w:val="20"/>
          <w:color w:val="auto"/>
        </w:rPr>
      </w:pPr>
      <w:r>
        <w:rPr>
          <w:rFonts w:ascii="Arial" w:cs="Arial" w:eastAsia="Arial" w:hAnsi="Arial"/>
          <w:sz w:val="20"/>
          <w:szCs w:val="20"/>
          <w:b w:val="1"/>
          <w:bCs w:val="1"/>
          <w:color w:val="auto"/>
        </w:rPr>
        <w:t>AS OF JUNE 30, 2018 AND DECEMBER 31, 2017</w:t>
      </w:r>
    </w:p>
    <w:p>
      <w:pPr>
        <w:spacing w:after="0"/>
        <w:rPr>
          <w:sz w:val="20"/>
          <w:szCs w:val="20"/>
          <w:color w:val="auto"/>
        </w:rPr>
      </w:pPr>
      <w:r>
        <w:rPr>
          <w:rFonts w:ascii="Arial" w:cs="Arial" w:eastAsia="Arial" w:hAnsi="Arial"/>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5100" w:type="dxa"/>
            <w:vAlign w:val="bottom"/>
            <w:gridSpan w:val="3"/>
            <w:vMerge w:val="restart"/>
          </w:tcPr>
          <w:p>
            <w:pPr>
              <w:ind w:left="50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48"/>
        </w:trPr>
        <w:tc>
          <w:tcPr>
            <w:tcW w:w="320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51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2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38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659,687</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528,622</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Short-term investments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211,093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672,933</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592,568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449,476</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Inventories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275,566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255,745</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57,320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40,877</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20"/>
                <w:szCs w:val="20"/>
                <w:color w:val="auto"/>
              </w:rPr>
            </w:pPr>
            <w:r>
              <w:rPr>
                <w:rFonts w:ascii="Arial" w:cs="Arial" w:eastAsia="Arial" w:hAnsi="Arial"/>
                <w:sz w:val="16"/>
                <w:szCs w:val="16"/>
                <w:color w:val="auto"/>
              </w:rPr>
              <w:t>Prepaid income taxes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32,445</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138,724</w:t>
            </w:r>
          </w:p>
        </w:tc>
        <w:tc>
          <w:tcPr>
            <w:tcW w:w="0" w:type="dxa"/>
            <w:vAlign w:val="bottom"/>
          </w:tcPr>
          <w:p>
            <w:pPr>
              <w:spacing w:after="0"/>
              <w:rPr>
                <w:sz w:val="1"/>
                <w:szCs w:val="1"/>
                <w:color w:val="auto"/>
              </w:rPr>
            </w:pPr>
          </w:p>
        </w:tc>
      </w:tr>
      <w:tr>
        <w:trPr>
          <w:trHeight w:val="206"/>
        </w:trPr>
        <w:tc>
          <w:tcPr>
            <w:tcW w:w="320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1,828,679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2,086,377</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6"/>
                <w:szCs w:val="16"/>
                <w:color w:val="auto"/>
              </w:rPr>
              <w:t>INVESTMENTS</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240,658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230,276</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5" w:right="199" w:bottom="0" w:gutter="0" w:footer="0" w:header="0"/>
        </w:sectPr>
      </w:pPr>
    </w:p>
    <w:bookmarkStart w:id="2" w:name="page3"/>
    <w:bookmarkEnd w:id="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85,253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92,333</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1,331,643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1,331,643</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1,039,401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1,034,085</w:t>
            </w:r>
          </w:p>
        </w:tc>
        <w:tc>
          <w:tcPr>
            <w:tcW w:w="0" w:type="dxa"/>
            <w:vAlign w:val="bottom"/>
          </w:tcPr>
          <w:p>
            <w:pPr>
              <w:spacing w:after="0"/>
              <w:rPr>
                <w:sz w:val="1"/>
                <w:szCs w:val="1"/>
                <w:color w:val="auto"/>
              </w:rPr>
            </w:pPr>
          </w:p>
        </w:tc>
      </w:tr>
      <w:tr>
        <w:trPr>
          <w:trHeight w:val="206"/>
        </w:trPr>
        <w:tc>
          <w:tcPr>
            <w:tcW w:w="830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16,436</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13,932</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606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86"/>
              </w:rPr>
              <w:t>Total Assets</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4,542,070</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4,791,012</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line="20" w:lineRule="exact"/>
              <w:rPr>
                <w:sz w:val="1"/>
                <w:szCs w:val="1"/>
                <w:color w:val="auto"/>
              </w:rPr>
            </w:pPr>
          </w:p>
        </w:tc>
        <w:tc>
          <w:tcPr>
            <w:tcW w:w="6060" w:type="dxa"/>
            <w:vAlign w:val="bottom"/>
            <w:gridSpan w:val="2"/>
            <w:vMerge w:val="restart"/>
          </w:tcPr>
          <w:p>
            <w:pPr>
              <w:jc w:val="center"/>
              <w:ind w:right="254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40" w:type="dxa"/>
            <w:vAlign w:val="bottom"/>
            <w:vMerge w:val="continue"/>
          </w:tcPr>
          <w:p>
            <w:pPr>
              <w:spacing w:after="0"/>
              <w:rPr>
                <w:sz w:val="24"/>
                <w:szCs w:val="24"/>
                <w:color w:val="auto"/>
              </w:rPr>
            </w:pPr>
          </w:p>
        </w:tc>
        <w:tc>
          <w:tcPr>
            <w:tcW w:w="60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40" w:type="dxa"/>
            <w:vAlign w:val="bottom"/>
          </w:tcPr>
          <w:p>
            <w:pPr>
              <w:spacing w:after="0"/>
              <w:rPr>
                <w:sz w:val="20"/>
                <w:szCs w:val="20"/>
                <w:color w:val="auto"/>
              </w:rPr>
            </w:pPr>
            <w:r>
              <w:rPr>
                <w:rFonts w:ascii="Arial" w:cs="Arial" w:eastAsia="Arial" w:hAnsi="Arial"/>
                <w:sz w:val="16"/>
                <w:szCs w:val="16"/>
                <w:color w:val="auto"/>
              </w:rPr>
              <w:t>CURRENT LIABILITIES:</w:t>
            </w:r>
          </w:p>
        </w:tc>
        <w:tc>
          <w:tcPr>
            <w:tcW w:w="3520" w:type="dxa"/>
            <w:vAlign w:val="bottom"/>
            <w:tcBorders>
              <w:top w:val="single" w:sz="8" w:color="auto"/>
            </w:tcBorders>
          </w:tcPr>
          <w:p>
            <w:pPr>
              <w:spacing w:after="0"/>
              <w:rPr>
                <w:sz w:val="18"/>
                <w:szCs w:val="18"/>
                <w:color w:val="auto"/>
              </w:rPr>
            </w:pP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267,117</w:t>
            </w:r>
          </w:p>
        </w:tc>
        <w:tc>
          <w:tcPr>
            <w:tcW w:w="28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245,910</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82,191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87,475</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178,193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137,998</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distributor terminations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43,888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43,236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26,357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34,996</w:t>
            </w:r>
          </w:p>
        </w:tc>
        <w:tc>
          <w:tcPr>
            <w:tcW w:w="0" w:type="dxa"/>
            <w:vAlign w:val="bottom"/>
          </w:tcPr>
          <w:p>
            <w:pPr>
              <w:spacing w:after="0"/>
              <w:rPr>
                <w:sz w:val="1"/>
                <w:szCs w:val="1"/>
                <w:color w:val="auto"/>
              </w:rPr>
            </w:pPr>
          </w:p>
        </w:tc>
      </w:tr>
      <w:tr>
        <w:trPr>
          <w:trHeight w:val="206"/>
        </w:trPr>
        <w:tc>
          <w:tcPr>
            <w:tcW w:w="830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15,978</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10,645</w:t>
            </w:r>
          </w:p>
        </w:tc>
        <w:tc>
          <w:tcPr>
            <w:tcW w:w="0" w:type="dxa"/>
            <w:vAlign w:val="bottom"/>
          </w:tcPr>
          <w:p>
            <w:pPr>
              <w:spacing w:after="0"/>
              <w:rPr>
                <w:sz w:val="1"/>
                <w:szCs w:val="1"/>
                <w:color w:val="auto"/>
              </w:rPr>
            </w:pPr>
          </w:p>
        </w:tc>
      </w:tr>
      <w:tr>
        <w:trPr>
          <w:trHeight w:val="206"/>
        </w:trPr>
        <w:tc>
          <w:tcPr>
            <w:tcW w:w="8300" w:type="dxa"/>
            <w:vAlign w:val="bottom"/>
            <w:gridSpan w:val="3"/>
          </w:tcPr>
          <w:p>
            <w:pPr>
              <w:ind w:left="200"/>
              <w:spacing w:after="0"/>
              <w:rPr>
                <w:sz w:val="20"/>
                <w:szCs w:val="20"/>
                <w:color w:val="auto"/>
              </w:rPr>
            </w:pPr>
            <w:r>
              <w:rPr>
                <w:rFonts w:ascii="Arial" w:cs="Arial" w:eastAsia="Arial" w:hAnsi="Arial"/>
                <w:sz w:val="16"/>
                <w:szCs w:val="16"/>
                <w:color w:val="auto"/>
              </w:rPr>
              <w:t>Total current liabilities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614,212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560,351</w:t>
            </w:r>
          </w:p>
        </w:tc>
        <w:tc>
          <w:tcPr>
            <w:tcW w:w="0" w:type="dxa"/>
            <w:vAlign w:val="bottom"/>
          </w:tcPr>
          <w:p>
            <w:pPr>
              <w:spacing w:after="0"/>
              <w:rPr>
                <w:sz w:val="1"/>
                <w:szCs w:val="1"/>
                <w:color w:val="auto"/>
              </w:rPr>
            </w:pPr>
          </w:p>
        </w:tc>
      </w:tr>
      <w:tr>
        <w:trPr>
          <w:trHeight w:val="287"/>
        </w:trPr>
        <w:tc>
          <w:tcPr>
            <w:tcW w:w="83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320,259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334,354</w:t>
            </w:r>
          </w:p>
        </w:tc>
        <w:tc>
          <w:tcPr>
            <w:tcW w:w="0" w:type="dxa"/>
            <w:vAlign w:val="bottom"/>
          </w:tcPr>
          <w:p>
            <w:pPr>
              <w:spacing w:after="0"/>
              <w:rPr>
                <w:sz w:val="1"/>
                <w:szCs w:val="1"/>
                <w:color w:val="auto"/>
              </w:rPr>
            </w:pPr>
          </w:p>
        </w:tc>
      </w:tr>
      <w:tr>
        <w:trPr>
          <w:trHeight w:val="297"/>
        </w:trPr>
        <w:tc>
          <w:tcPr>
            <w:tcW w:w="830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2,439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297"/>
        </w:trPr>
        <w:tc>
          <w:tcPr>
            <w:tcW w:w="8300" w:type="dxa"/>
            <w:vAlign w:val="bottom"/>
            <w:gridSpan w:val="3"/>
          </w:tcPr>
          <w:p>
            <w:pPr>
              <w:spacing w:after="0"/>
              <w:rPr>
                <w:sz w:val="20"/>
                <w:szCs w:val="20"/>
                <w:color w:val="auto"/>
              </w:rPr>
            </w:pPr>
            <w:r>
              <w:rPr>
                <w:rFonts w:ascii="Arial" w:cs="Arial" w:eastAsia="Arial" w:hAnsi="Arial"/>
                <w:sz w:val="16"/>
                <w:szCs w:val="16"/>
                <w:color w:val="auto"/>
              </w:rPr>
              <w:t>COMMITMENTS AND CONTINGENCIES (Note 11)</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30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w w:val="94"/>
              </w:rPr>
              <w:t>Common stock - $0.005 par value; 1,250,000 shares authorized; 630,330 shares issued and 552,457 shares outstanding as</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ind w:left="180"/>
              <w:spacing w:after="0"/>
              <w:rPr>
                <w:sz w:val="20"/>
                <w:szCs w:val="20"/>
                <w:color w:val="auto"/>
              </w:rPr>
            </w:pPr>
            <w:r>
              <w:rPr>
                <w:rFonts w:ascii="Arial" w:cs="Arial" w:eastAsia="Arial" w:hAnsi="Arial"/>
                <w:sz w:val="16"/>
                <w:szCs w:val="16"/>
                <w:color w:val="auto"/>
              </w:rPr>
              <w:t>of June 30, 2018; 629,255 shares issued and 566,298 shares outstanding as of December 31, 2017</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3,152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4,194,676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4,150,628</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3,407,806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2,928,226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(25,196)</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(16,659)</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Common stock in treasury, at cost; 77,873 shares and 62,957 shares as of June 30, 2018 and December 31, 2017,</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00" w:type="dxa"/>
            <w:vAlign w:val="bottom"/>
            <w:gridSpan w:val="3"/>
          </w:tcPr>
          <w:p>
            <w:pPr>
              <w:ind w:left="180"/>
              <w:spacing w:after="0"/>
              <w:rPr>
                <w:sz w:val="20"/>
                <w:szCs w:val="20"/>
                <w:color w:val="auto"/>
              </w:rPr>
            </w:pPr>
            <w:r>
              <w:rPr>
                <w:rFonts w:ascii="Arial" w:cs="Arial" w:eastAsia="Arial" w:hAnsi="Arial"/>
                <w:sz w:val="16"/>
                <w:szCs w:val="16"/>
                <w:color w:val="auto"/>
              </w:rPr>
              <w:t>respectively</w:t>
            </w:r>
          </w:p>
        </w:tc>
        <w:tc>
          <w:tcPr>
            <w:tcW w:w="40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(3,975,278)</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(3,170,129)</w:t>
            </w:r>
          </w:p>
        </w:tc>
        <w:tc>
          <w:tcPr>
            <w:tcW w:w="0" w:type="dxa"/>
            <w:vAlign w:val="bottom"/>
          </w:tcPr>
          <w:p>
            <w:pPr>
              <w:spacing w:after="0"/>
              <w:rPr>
                <w:sz w:val="1"/>
                <w:szCs w:val="1"/>
                <w:color w:val="auto"/>
              </w:rPr>
            </w:pPr>
          </w:p>
        </w:tc>
      </w:tr>
      <w:tr>
        <w:trPr>
          <w:trHeight w:val="202"/>
        </w:trPr>
        <w:tc>
          <w:tcPr>
            <w:tcW w:w="8300" w:type="dxa"/>
            <w:vAlign w:val="bottom"/>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3,605,160</w:t>
            </w:r>
          </w:p>
        </w:tc>
        <w:tc>
          <w:tcPr>
            <w:tcW w:w="2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3,895,212</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606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4,542,070</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4,791,012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INCOME</w:t>
      </w:r>
    </w:p>
    <w:p>
      <w:pPr>
        <w:ind w:right="4840"/>
        <w:spacing w:after="0" w:line="244" w:lineRule="auto"/>
        <w:rPr>
          <w:sz w:val="20"/>
          <w:szCs w:val="20"/>
          <w:color w:val="auto"/>
        </w:rPr>
      </w:pPr>
      <w:r>
        <w:rPr>
          <w:rFonts w:ascii="Arial" w:cs="Arial" w:eastAsia="Arial" w:hAnsi="Arial"/>
          <w:sz w:val="20"/>
          <w:szCs w:val="20"/>
          <w:b w:val="1"/>
          <w:bCs w:val="1"/>
          <w:color w:val="auto"/>
        </w:rPr>
        <w:t>FOR THE THREE- AND SIX-MONTHS ENDED JUNE 30, 2018 AND 2017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Three-Months Ended</w:t>
            </w:r>
          </w:p>
        </w:tc>
        <w:tc>
          <w:tcPr>
            <w:tcW w:w="340" w:type="dxa"/>
            <w:vAlign w:val="bottom"/>
          </w:tcPr>
          <w:p>
            <w:pPr>
              <w:spacing w:after="0"/>
              <w:rPr>
                <w:sz w:val="18"/>
                <w:szCs w:val="18"/>
                <w:color w:val="auto"/>
              </w:rPr>
            </w:pPr>
          </w:p>
        </w:tc>
        <w:tc>
          <w:tcPr>
            <w:tcW w:w="26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Six-Months Ended</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1,015,873</w:t>
            </w:r>
          </w:p>
        </w:tc>
        <w:tc>
          <w:tcPr>
            <w:tcW w:w="2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907,068</w:t>
            </w:r>
          </w:p>
        </w:tc>
        <w:tc>
          <w:tcPr>
            <w:tcW w:w="2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1,866,793</w:t>
            </w:r>
          </w:p>
        </w:tc>
        <w:tc>
          <w:tcPr>
            <w:tcW w:w="2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1,649,214</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395,615</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323,571</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731,279</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584,843</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620,258</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583,497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1,135,514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1,064,371</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262,637</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233,456</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497,979</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450,068</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357,621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350,041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637,535</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614,303</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(2,551)</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358,097</w:t>
            </w: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347,490</w:t>
            </w: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639,816</w:t>
            </w: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612,410</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87,981</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124,857</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153,651</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211,797</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270,116</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222,633</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486,165</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400,613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COMMON STOCK AND COMMON STOCK</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559,867</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567,910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562,917</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567,384</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566,352</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578,020</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570,231</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577,719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320"/>
          </w:cols>
          <w:pgMar w:left="240" w:top="130" w:right="339" w:bottom="0" w:gutter="0" w:footer="0" w:header="0"/>
        </w:sectPr>
      </w:pPr>
    </w:p>
    <w:bookmarkStart w:id="3" w:name="page4"/>
    <w:bookmarkEnd w:id="3"/>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02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 AND SIX-MONTHS ENDED JUNE 30, 2018 AND 2017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gridSpan w:val="5"/>
          </w:tcPr>
          <w:p>
            <w:pPr>
              <w:ind w:left="260"/>
              <w:spacing w:after="0"/>
              <w:rPr>
                <w:sz w:val="20"/>
                <w:szCs w:val="20"/>
                <w:color w:val="auto"/>
              </w:rPr>
            </w:pPr>
            <w:r>
              <w:rPr>
                <w:rFonts w:ascii="Arial" w:cs="Arial" w:eastAsia="Arial" w:hAnsi="Arial"/>
                <w:sz w:val="20"/>
                <w:szCs w:val="20"/>
                <w:b w:val="1"/>
                <w:bCs w:val="1"/>
                <w:color w:val="auto"/>
              </w:rPr>
              <w:t>Three-Months Ended</w:t>
            </w:r>
          </w:p>
        </w:tc>
        <w:tc>
          <w:tcPr>
            <w:tcW w:w="340" w:type="dxa"/>
            <w:vAlign w:val="bottom"/>
          </w:tcPr>
          <w:p>
            <w:pPr>
              <w:spacing w:after="0"/>
              <w:rPr>
                <w:sz w:val="19"/>
                <w:szCs w:val="19"/>
                <w:color w:val="auto"/>
              </w:rPr>
            </w:pPr>
          </w:p>
        </w:tc>
        <w:tc>
          <w:tcPr>
            <w:tcW w:w="2660" w:type="dxa"/>
            <w:vAlign w:val="bottom"/>
            <w:gridSpan w:val="4"/>
          </w:tcPr>
          <w:p>
            <w:pPr>
              <w:jc w:val="right"/>
              <w:ind w:right="621"/>
              <w:spacing w:after="0"/>
              <w:rPr>
                <w:sz w:val="20"/>
                <w:szCs w:val="20"/>
                <w:color w:val="auto"/>
              </w:rPr>
            </w:pPr>
            <w:r>
              <w:rPr>
                <w:rFonts w:ascii="Arial" w:cs="Arial" w:eastAsia="Arial" w:hAnsi="Arial"/>
                <w:sz w:val="20"/>
                <w:szCs w:val="20"/>
                <w:b w:val="1"/>
                <w:bCs w:val="1"/>
                <w:color w:val="auto"/>
              </w:rPr>
              <w:t>Six-Months Ended</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auto"/>
              </w:rPr>
              <w:t>June 30,</w:t>
            </w:r>
          </w:p>
        </w:tc>
        <w:tc>
          <w:tcPr>
            <w:tcW w:w="10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b w:val="1"/>
                <w:bCs w:val="1"/>
                <w:color w:val="auto"/>
              </w:rPr>
              <w:t>2018</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b w:val="1"/>
                <w:bCs w:val="1"/>
                <w:color w:val="auto"/>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b w:val="1"/>
                <w:bCs w:val="1"/>
                <w:color w:val="auto"/>
              </w:rPr>
              <w:t>2018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b w:val="1"/>
                <w:bCs w:val="1"/>
                <w:color w:val="auto"/>
              </w:rPr>
              <w:t>2017</w:t>
            </w: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3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07" w:lineRule="exact"/>
              <w:rPr>
                <w:sz w:val="20"/>
                <w:szCs w:val="20"/>
                <w:color w:val="auto"/>
              </w:rPr>
            </w:pPr>
            <w:r>
              <w:rPr>
                <w:rFonts w:ascii="Arial" w:cs="Arial" w:eastAsia="Arial" w:hAnsi="Arial"/>
                <w:sz w:val="20"/>
                <w:szCs w:val="20"/>
                <w:color w:val="auto"/>
              </w:rPr>
              <w:t>270,116</w:t>
            </w:r>
          </w:p>
        </w:tc>
        <w:tc>
          <w:tcPr>
            <w:tcW w:w="30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07" w:lineRule="exact"/>
              <w:rPr>
                <w:sz w:val="20"/>
                <w:szCs w:val="20"/>
                <w:color w:val="auto"/>
              </w:rPr>
            </w:pPr>
            <w:r>
              <w:rPr>
                <w:rFonts w:ascii="Arial" w:cs="Arial" w:eastAsia="Arial" w:hAnsi="Arial"/>
                <w:sz w:val="20"/>
                <w:szCs w:val="20"/>
                <w:color w:val="auto"/>
              </w:rPr>
              <w:t>222,633</w:t>
            </w:r>
          </w:p>
        </w:tc>
        <w:tc>
          <w:tcPr>
            <w:tcW w:w="28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00" w:type="dxa"/>
            <w:vAlign w:val="bottom"/>
          </w:tcPr>
          <w:p>
            <w:pPr>
              <w:jc w:val="right"/>
              <w:spacing w:after="0" w:line="207" w:lineRule="exact"/>
              <w:rPr>
                <w:sz w:val="20"/>
                <w:szCs w:val="20"/>
                <w:color w:val="auto"/>
              </w:rPr>
            </w:pPr>
            <w:r>
              <w:rPr>
                <w:rFonts w:ascii="Arial" w:cs="Arial" w:eastAsia="Arial" w:hAnsi="Arial"/>
                <w:sz w:val="20"/>
                <w:szCs w:val="20"/>
                <w:color w:val="auto"/>
              </w:rPr>
              <w:t>486,165</w:t>
            </w:r>
          </w:p>
        </w:tc>
        <w:tc>
          <w:tcPr>
            <w:tcW w:w="280" w:type="dxa"/>
            <w:vAlign w:val="bottom"/>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07" w:lineRule="exact"/>
              <w:rPr>
                <w:sz w:val="20"/>
                <w:szCs w:val="20"/>
                <w:color w:val="auto"/>
              </w:rPr>
            </w:pPr>
            <w:r>
              <w:rPr>
                <w:rFonts w:ascii="Arial" w:cs="Arial" w:eastAsia="Arial" w:hAnsi="Arial"/>
                <w:sz w:val="20"/>
                <w:szCs w:val="20"/>
                <w:color w:val="auto"/>
              </w:rPr>
              <w:t>400,613</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Arial" w:cs="Arial" w:eastAsia="Arial" w:hAnsi="Arial"/>
                <w:sz w:val="20"/>
                <w:szCs w:val="20"/>
                <w:color w:val="auto"/>
              </w:rPr>
              <w:t>Change in foreign currency translation adjustment</w:t>
            </w:r>
          </w:p>
        </w:tc>
        <w:tc>
          <w:tcPr>
            <w:tcW w:w="34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20"/>
                <w:szCs w:val="20"/>
                <w:color w:val="auto"/>
              </w:rPr>
              <w:t>(11,988)</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5,111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20"/>
                <w:szCs w:val="20"/>
                <w:color w:val="auto"/>
              </w:rPr>
              <w:t>(9,265)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6,311</w:t>
            </w: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Arial" w:cs="Arial" w:eastAsia="Arial" w:hAnsi="Arial"/>
                <w:sz w:val="20"/>
                <w:szCs w:val="20"/>
                <w:color w:val="auto"/>
              </w:rPr>
              <w:t>Available-for-sale investments: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80"/>
              <w:spacing w:after="0"/>
              <w:rPr>
                <w:sz w:val="20"/>
                <w:szCs w:val="20"/>
                <w:color w:val="auto"/>
              </w:rPr>
            </w:pPr>
            <w:r>
              <w:rPr>
                <w:rFonts w:ascii="Arial" w:cs="Arial" w:eastAsia="Arial" w:hAnsi="Arial"/>
                <w:sz w:val="20"/>
                <w:szCs w:val="20"/>
                <w:color w:val="auto"/>
              </w:rPr>
              <w:t>Change in net unrealized gains (losses)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513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20"/>
                <w:szCs w:val="20"/>
                <w:color w:val="auto"/>
              </w:rPr>
              <w:t>(26)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728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30"/>
        </w:trPr>
        <w:tc>
          <w:tcPr>
            <w:tcW w:w="5000" w:type="dxa"/>
            <w:vAlign w:val="bottom"/>
          </w:tcPr>
          <w:p>
            <w:pPr>
              <w:ind w:left="380"/>
              <w:spacing w:after="0"/>
              <w:rPr>
                <w:sz w:val="20"/>
                <w:szCs w:val="20"/>
                <w:color w:val="auto"/>
              </w:rPr>
            </w:pPr>
            <w:r>
              <w:rPr>
                <w:rFonts w:ascii="Arial" w:cs="Arial" w:eastAsia="Arial" w:hAnsi="Arial"/>
                <w:sz w:val="20"/>
                <w:szCs w:val="20"/>
                <w:color w:val="auto"/>
              </w:rPr>
              <w:t>Reclassification adjustment for net gains included in</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00" w:type="dxa"/>
            <w:vAlign w:val="bottom"/>
          </w:tcPr>
          <w:p>
            <w:pPr>
              <w:ind w:left="560"/>
              <w:spacing w:after="0"/>
              <w:rPr>
                <w:sz w:val="20"/>
                <w:szCs w:val="20"/>
                <w:color w:val="auto"/>
              </w:rPr>
            </w:pPr>
            <w:r>
              <w:rPr>
                <w:rFonts w:ascii="Arial" w:cs="Arial" w:eastAsia="Arial" w:hAnsi="Arial"/>
                <w:sz w:val="20"/>
                <w:szCs w:val="20"/>
                <w:color w:val="auto"/>
              </w:rPr>
              <w:t>net income</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380"/>
              <w:spacing w:after="0" w:line="213" w:lineRule="exact"/>
              <w:rPr>
                <w:sz w:val="20"/>
                <w:szCs w:val="20"/>
                <w:color w:val="auto"/>
              </w:rPr>
            </w:pPr>
            <w:r>
              <w:rPr>
                <w:rFonts w:ascii="Arial" w:cs="Arial" w:eastAsia="Arial" w:hAnsi="Arial"/>
                <w:sz w:val="20"/>
                <w:szCs w:val="20"/>
                <w:color w:val="auto"/>
              </w:rPr>
              <w:t>Net change in available-for-sale investments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513</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(26)</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728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23"/>
        </w:trPr>
        <w:tc>
          <w:tcPr>
            <w:tcW w:w="5000" w:type="dxa"/>
            <w:vAlign w:val="bottom"/>
          </w:tcPr>
          <w:p>
            <w:pPr>
              <w:spacing w:after="0" w:line="213" w:lineRule="exact"/>
              <w:rPr>
                <w:sz w:val="20"/>
                <w:szCs w:val="20"/>
                <w:color w:val="auto"/>
              </w:rPr>
            </w:pPr>
            <w:r>
              <w:rPr>
                <w:rFonts w:ascii="Arial" w:cs="Arial" w:eastAsia="Arial" w:hAnsi="Arial"/>
                <w:sz w:val="20"/>
                <w:szCs w:val="20"/>
                <w:color w:val="auto"/>
              </w:rPr>
              <w:t>Other comprehensive (loss) income</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(11,475)</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5,085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(8,537)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6,416</w:t>
            </w:r>
          </w:p>
        </w:tc>
        <w:tc>
          <w:tcPr>
            <w:tcW w:w="0" w:type="dxa"/>
            <w:vAlign w:val="bottom"/>
          </w:tcPr>
          <w:p>
            <w:pPr>
              <w:spacing w:after="0"/>
              <w:rPr>
                <w:sz w:val="1"/>
                <w:szCs w:val="1"/>
                <w:color w:val="auto"/>
              </w:rPr>
            </w:pPr>
          </w:p>
        </w:tc>
      </w:tr>
      <w:tr>
        <w:trPr>
          <w:trHeight w:val="230"/>
        </w:trPr>
        <w:tc>
          <w:tcPr>
            <w:tcW w:w="5000" w:type="dxa"/>
            <w:vAlign w:val="bottom"/>
          </w:tcPr>
          <w:p>
            <w:pPr>
              <w:spacing w:after="0" w:line="220" w:lineRule="exact"/>
              <w:rPr>
                <w:sz w:val="20"/>
                <w:szCs w:val="20"/>
                <w:color w:val="auto"/>
              </w:rPr>
            </w:pPr>
            <w:r>
              <w:rPr>
                <w:rFonts w:ascii="Arial" w:cs="Arial" w:eastAsia="Arial" w:hAnsi="Arial"/>
                <w:sz w:val="20"/>
                <w:szCs w:val="20"/>
                <w:color w:val="auto"/>
              </w:rPr>
              <w:t>Comprehensive income</w:t>
            </w: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258,641</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227,718</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477,628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407,029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3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SIX-MONTHS ENDED JUNE 30, 2018 AND 2017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Six-Months Ended</w:t>
      </w:r>
    </w:p>
    <w:p>
      <w:pPr>
        <w:jc w:val="center"/>
        <w:ind w:left="75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2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48"/>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10"/>
        </w:trPr>
        <w:tc>
          <w:tcPr>
            <w:tcW w:w="76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486,165</w:t>
            </w:r>
          </w:p>
        </w:tc>
        <w:tc>
          <w:tcPr>
            <w:tcW w:w="300" w:type="dxa"/>
            <w:vAlign w:val="bottom"/>
          </w:tcPr>
          <w:p>
            <w:pPr>
              <w:spacing w:after="0"/>
              <w:rPr>
                <w:sz w:val="12"/>
                <w:szCs w:val="12"/>
                <w:color w:val="auto"/>
              </w:rPr>
            </w:pPr>
          </w:p>
        </w:tc>
        <w:tc>
          <w:tcPr>
            <w:tcW w:w="4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400,613</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40"/>
              <w:spacing w:after="0" w:line="149" w:lineRule="exact"/>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28,185</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22,775</w:t>
            </w:r>
          </w:p>
        </w:tc>
        <w:tc>
          <w:tcPr>
            <w:tcW w:w="0" w:type="dxa"/>
            <w:vAlign w:val="bottom"/>
          </w:tcPr>
          <w:p>
            <w:pPr>
              <w:spacing w:after="0"/>
              <w:rPr>
                <w:sz w:val="1"/>
                <w:szCs w:val="1"/>
                <w:color w:val="auto"/>
              </w:rPr>
            </w:pPr>
          </w:p>
        </w:tc>
      </w:tr>
      <w:tr>
        <w:trPr>
          <w:trHeight w:val="149"/>
        </w:trPr>
        <w:tc>
          <w:tcPr>
            <w:tcW w:w="7620" w:type="dxa"/>
            <w:vAlign w:val="bottom"/>
          </w:tcPr>
          <w:p>
            <w:pPr>
              <w:ind w:left="34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(308)</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49"/>
        </w:trPr>
        <w:tc>
          <w:tcPr>
            <w:tcW w:w="7620" w:type="dxa"/>
            <w:vAlign w:val="bottom"/>
          </w:tcPr>
          <w:p>
            <w:pPr>
              <w:ind w:left="340"/>
              <w:spacing w:after="0" w:line="149" w:lineRule="exact"/>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28,345</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25,983</w:t>
            </w:r>
          </w:p>
        </w:tc>
        <w:tc>
          <w:tcPr>
            <w:tcW w:w="0" w:type="dxa"/>
            <w:vAlign w:val="bottom"/>
          </w:tcPr>
          <w:p>
            <w:pPr>
              <w:spacing w:after="0"/>
              <w:rPr>
                <w:sz w:val="1"/>
                <w:szCs w:val="1"/>
                <w:color w:val="auto"/>
              </w:rPr>
            </w:pPr>
          </w:p>
        </w:tc>
      </w:tr>
      <w:tr>
        <w:trPr>
          <w:trHeight w:val="149"/>
        </w:trPr>
        <w:tc>
          <w:tcPr>
            <w:tcW w:w="7620" w:type="dxa"/>
            <w:vAlign w:val="bottom"/>
          </w:tcPr>
          <w:p>
            <w:pPr>
              <w:ind w:left="340"/>
              <w:spacing w:after="0" w:line="149" w:lineRule="exact"/>
              <w:rPr>
                <w:sz w:val="20"/>
                <w:szCs w:val="20"/>
                <w:color w:val="auto"/>
              </w:rPr>
            </w:pPr>
            <w:r>
              <w:rPr>
                <w:rFonts w:ascii="Arial" w:cs="Arial" w:eastAsia="Arial" w:hAnsi="Arial"/>
                <w:sz w:val="14"/>
                <w:szCs w:val="14"/>
                <w:color w:val="auto"/>
              </w:rPr>
              <w:t>Deferred income taxes</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(76)</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7620" w:type="dxa"/>
            <w:vAlign w:val="bottom"/>
          </w:tcPr>
          <w:p>
            <w:pPr>
              <w:ind w:left="34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Accounts receivable</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(154,369)</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(75,178)</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TCCC Transaction receivable</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Distributor receivables</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5,826</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Inventories</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(22,753)</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(24,859)</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(15,977)</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(8,131)</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Prepaid income taxes</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104,969</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60,696</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Accounts payable</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24,684</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8,784</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Accrued liabilities</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(15,617)</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Accrued promotional allowances</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43,196</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25,805</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Accrued distributor terminations</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(7,917)</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Accrued compensation</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(8,413)</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(7,225)</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Income taxes payable</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8,043</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(5,362)</w:t>
            </w:r>
          </w:p>
        </w:tc>
        <w:tc>
          <w:tcPr>
            <w:tcW w:w="0" w:type="dxa"/>
            <w:vAlign w:val="bottom"/>
          </w:tcPr>
          <w:p>
            <w:pPr>
              <w:spacing w:after="0"/>
              <w:rPr>
                <w:sz w:val="1"/>
                <w:szCs w:val="1"/>
                <w:color w:val="auto"/>
              </w:rPr>
            </w:pPr>
          </w:p>
        </w:tc>
      </w:tr>
      <w:tr>
        <w:trPr>
          <w:trHeight w:val="149"/>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Other liabilities</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7620" w:type="dxa"/>
            <w:vAlign w:val="bottom"/>
          </w:tcPr>
          <w:p>
            <w:pPr>
              <w:ind w:left="600"/>
              <w:spacing w:after="0" w:line="149" w:lineRule="exact"/>
              <w:rPr>
                <w:sz w:val="20"/>
                <w:szCs w:val="20"/>
                <w:color w:val="auto"/>
              </w:rPr>
            </w:pPr>
            <w:r>
              <w:rPr>
                <w:rFonts w:ascii="Arial" w:cs="Arial" w:eastAsia="Arial" w:hAnsi="Arial"/>
                <w:sz w:val="14"/>
                <w:szCs w:val="14"/>
                <w:color w:val="auto"/>
              </w:rPr>
              <w:t>Deferred revenue</w:t>
            </w:r>
          </w:p>
        </w:tc>
        <w:tc>
          <w:tcPr>
            <w:tcW w:w="106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(12,342)</w:t>
            </w:r>
          </w:p>
        </w:tc>
        <w:tc>
          <w:tcPr>
            <w:tcW w:w="440" w:type="dxa"/>
            <w:vAlign w:val="bottom"/>
          </w:tcPr>
          <w:p>
            <w:pPr>
              <w:spacing w:after="0"/>
              <w:rPr>
                <w:sz w:val="13"/>
                <w:szCs w:val="13"/>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(7,069)</w:t>
            </w:r>
          </w:p>
        </w:tc>
        <w:tc>
          <w:tcPr>
            <w:tcW w:w="0" w:type="dxa"/>
            <w:vAlign w:val="bottom"/>
          </w:tcPr>
          <w:p>
            <w:pPr>
              <w:spacing w:after="0"/>
              <w:rPr>
                <w:sz w:val="1"/>
                <w:szCs w:val="1"/>
                <w:color w:val="auto"/>
              </w:rPr>
            </w:pPr>
          </w:p>
        </w:tc>
      </w:tr>
      <w:tr>
        <w:trPr>
          <w:trHeight w:val="182"/>
        </w:trPr>
        <w:tc>
          <w:tcPr>
            <w:tcW w:w="7620" w:type="dxa"/>
            <w:vAlign w:val="bottom"/>
          </w:tcPr>
          <w:p>
            <w:pPr>
              <w:ind w:left="840"/>
              <w:spacing w:after="0" w:line="150" w:lineRule="exact"/>
              <w:rPr>
                <w:sz w:val="20"/>
                <w:szCs w:val="20"/>
                <w:color w:val="auto"/>
              </w:rPr>
            </w:pPr>
            <w:r>
              <w:rPr>
                <w:rFonts w:ascii="Arial" w:cs="Arial" w:eastAsia="Arial" w:hAnsi="Arial"/>
                <w:sz w:val="14"/>
                <w:szCs w:val="14"/>
                <w:color w:val="auto"/>
              </w:rPr>
              <w:t>Net cash provided by operating activities</w:t>
            </w:r>
          </w:p>
        </w:tc>
        <w:tc>
          <w:tcPr>
            <w:tcW w:w="10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501,300</w:t>
            </w:r>
          </w:p>
        </w:tc>
        <w:tc>
          <w:tcPr>
            <w:tcW w:w="3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533,222</w:t>
            </w:r>
          </w:p>
        </w:tc>
        <w:tc>
          <w:tcPr>
            <w:tcW w:w="0" w:type="dxa"/>
            <w:vAlign w:val="bottom"/>
          </w:tcPr>
          <w:p>
            <w:pPr>
              <w:spacing w:after="0"/>
              <w:rPr>
                <w:sz w:val="1"/>
                <w:szCs w:val="1"/>
                <w:color w:val="auto"/>
              </w:rPr>
            </w:pPr>
          </w:p>
        </w:tc>
      </w:tr>
      <w:tr>
        <w:trPr>
          <w:trHeight w:val="177"/>
        </w:trPr>
        <w:tc>
          <w:tcPr>
            <w:tcW w:w="76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807,396</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172,528</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(342,463)</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(286,858)</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(34,619)</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(40,477)</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3,590</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Decrease (Increase) in intangibles</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1"/>
        </w:trPr>
        <w:tc>
          <w:tcPr>
            <w:tcW w:w="7620" w:type="dxa"/>
            <w:vAlign w:val="bottom"/>
          </w:tcPr>
          <w:p>
            <w:pPr>
              <w:spacing w:after="0" w:line="149" w:lineRule="exact"/>
              <w:rPr>
                <w:sz w:val="20"/>
                <w:szCs w:val="20"/>
                <w:color w:val="auto"/>
              </w:rPr>
            </w:pPr>
            <w:r>
              <w:rPr>
                <w:rFonts w:ascii="Arial" w:cs="Arial" w:eastAsia="Arial" w:hAnsi="Arial"/>
                <w:sz w:val="14"/>
                <w:szCs w:val="14"/>
                <w:color w:val="auto"/>
              </w:rPr>
              <w:t>Increase in other assets</w:t>
            </w:r>
          </w:p>
        </w:tc>
        <w:tc>
          <w:tcPr>
            <w:tcW w:w="106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(7,684)</w:t>
            </w:r>
          </w:p>
        </w:tc>
        <w:tc>
          <w:tcPr>
            <w:tcW w:w="440" w:type="dxa"/>
            <w:vAlign w:val="bottom"/>
          </w:tcPr>
          <w:p>
            <w:pPr>
              <w:spacing w:after="0"/>
              <w:rPr>
                <w:sz w:val="13"/>
                <w:szCs w:val="13"/>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82"/>
        </w:trPr>
        <w:tc>
          <w:tcPr>
            <w:tcW w:w="7620" w:type="dxa"/>
            <w:vAlign w:val="bottom"/>
          </w:tcPr>
          <w:p>
            <w:pPr>
              <w:ind w:left="840"/>
              <w:spacing w:after="0" w:line="150" w:lineRule="exact"/>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426,178</w:t>
            </w:r>
          </w:p>
        </w:tc>
        <w:tc>
          <w:tcPr>
            <w:tcW w:w="3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(154,680)</w:t>
            </w:r>
          </w:p>
        </w:tc>
        <w:tc>
          <w:tcPr>
            <w:tcW w:w="0" w:type="dxa"/>
            <w:vAlign w:val="bottom"/>
          </w:tcPr>
          <w:p>
            <w:pPr>
              <w:spacing w:after="0"/>
              <w:rPr>
                <w:sz w:val="1"/>
                <w:szCs w:val="1"/>
                <w:color w:val="auto"/>
              </w:rPr>
            </w:pPr>
          </w:p>
        </w:tc>
      </w:tr>
      <w:tr>
        <w:trPr>
          <w:trHeight w:val="177"/>
        </w:trPr>
        <w:tc>
          <w:tcPr>
            <w:tcW w:w="76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1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(972)</w:t>
            </w: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10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13,616</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19,093</w:t>
            </w:r>
          </w:p>
        </w:tc>
        <w:tc>
          <w:tcPr>
            <w:tcW w:w="0" w:type="dxa"/>
            <w:vAlign w:val="bottom"/>
          </w:tcPr>
          <w:p>
            <w:pPr>
              <w:spacing w:after="0"/>
              <w:rPr>
                <w:sz w:val="1"/>
                <w:szCs w:val="1"/>
                <w:color w:val="auto"/>
              </w:rPr>
            </w:pPr>
          </w:p>
        </w:tc>
      </w:tr>
      <w:tr>
        <w:trPr>
          <w:trHeight w:val="161"/>
        </w:trPr>
        <w:tc>
          <w:tcPr>
            <w:tcW w:w="7620" w:type="dxa"/>
            <w:vAlign w:val="bottom"/>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106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(805,149)</w:t>
            </w:r>
          </w:p>
        </w:tc>
        <w:tc>
          <w:tcPr>
            <w:tcW w:w="440" w:type="dxa"/>
            <w:vAlign w:val="bottom"/>
          </w:tcPr>
          <w:p>
            <w:pPr>
              <w:spacing w:after="0"/>
              <w:rPr>
                <w:sz w:val="13"/>
                <w:szCs w:val="13"/>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9"/>
        </w:trPr>
        <w:tc>
          <w:tcPr>
            <w:tcW w:w="7620" w:type="dxa"/>
            <w:vAlign w:val="bottom"/>
          </w:tcPr>
          <w:p>
            <w:pPr>
              <w:ind w:left="840"/>
              <w:spacing w:after="0" w:line="149" w:lineRule="exact"/>
              <w:rPr>
                <w:sz w:val="20"/>
                <w:szCs w:val="20"/>
                <w:color w:val="auto"/>
              </w:rPr>
            </w:pPr>
            <w:r>
              <w:rPr>
                <w:rFonts w:ascii="Arial" w:cs="Arial" w:eastAsia="Arial" w:hAnsi="Arial"/>
                <w:sz w:val="14"/>
                <w:szCs w:val="14"/>
                <w:color w:val="auto"/>
              </w:rPr>
              <w:t>Net cash (used in) provided by financing activities</w:t>
            </w:r>
          </w:p>
        </w:tc>
        <w:tc>
          <w:tcPr>
            <w:tcW w:w="10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(792,505)</w:t>
            </w:r>
          </w:p>
        </w:tc>
        <w:tc>
          <w:tcPr>
            <w:tcW w:w="30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17,457</w:t>
            </w:r>
          </w:p>
        </w:tc>
        <w:tc>
          <w:tcPr>
            <w:tcW w:w="0" w:type="dxa"/>
            <w:vAlign w:val="bottom"/>
          </w:tcPr>
          <w:p>
            <w:pPr>
              <w:spacing w:after="0"/>
              <w:rPr>
                <w:sz w:val="1"/>
                <w:szCs w:val="1"/>
                <w:color w:val="auto"/>
              </w:rPr>
            </w:pPr>
          </w:p>
        </w:tc>
      </w:tr>
      <w:tr>
        <w:trPr>
          <w:trHeight w:val="238"/>
        </w:trPr>
        <w:tc>
          <w:tcPr>
            <w:tcW w:w="76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0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(3,908)</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4,074</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131,065</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400,073</w:t>
            </w:r>
          </w:p>
        </w:tc>
        <w:tc>
          <w:tcPr>
            <w:tcW w:w="0" w:type="dxa"/>
            <w:vAlign w:val="bottom"/>
          </w:tcPr>
          <w:p>
            <w:pPr>
              <w:spacing w:after="0"/>
              <w:rPr>
                <w:sz w:val="1"/>
                <w:szCs w:val="1"/>
                <w:color w:val="auto"/>
              </w:rPr>
            </w:pPr>
          </w:p>
        </w:tc>
      </w:tr>
      <w:tr>
        <w:trPr>
          <w:trHeight w:val="161"/>
        </w:trPr>
        <w:tc>
          <w:tcPr>
            <w:tcW w:w="762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0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528,622</w:t>
            </w: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377,582</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1060" w:type="dxa"/>
            <w:vAlign w:val="bottom"/>
            <w:tcBorders>
              <w:bottom w:val="single" w:sz="8" w:color="auto"/>
            </w:tcBorders>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659,687</w:t>
            </w:r>
          </w:p>
        </w:tc>
        <w:tc>
          <w:tcPr>
            <w:tcW w:w="300" w:type="dxa"/>
            <w:vAlign w:val="bottom"/>
          </w:tcPr>
          <w:p>
            <w:pPr>
              <w:spacing w:after="0"/>
              <w:rPr>
                <w:sz w:val="12"/>
                <w:szCs w:val="12"/>
                <w:color w:val="auto"/>
              </w:rPr>
            </w:pPr>
          </w:p>
        </w:tc>
        <w:tc>
          <w:tcPr>
            <w:tcW w:w="44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777,655</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2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200"/>
              <w:spacing w:after="0" w:line="149" w:lineRule="exact"/>
              <w:rPr>
                <w:sz w:val="20"/>
                <w:szCs w:val="20"/>
                <w:color w:val="auto"/>
              </w:rPr>
            </w:pPr>
            <w:r>
              <w:rPr>
                <w:rFonts w:ascii="Arial" w:cs="Arial" w:eastAsia="Arial" w:hAnsi="Arial"/>
                <w:sz w:val="14"/>
                <w:szCs w:val="14"/>
                <w:color w:val="auto"/>
              </w:rPr>
              <w:t>Cash paid during the period for:</w:t>
            </w: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20" w:type="dxa"/>
            <w:vAlign w:val="bottom"/>
          </w:tcPr>
          <w:p>
            <w:pPr>
              <w:ind w:left="380"/>
              <w:spacing w:after="0"/>
              <w:rPr>
                <w:sz w:val="20"/>
                <w:szCs w:val="20"/>
                <w:color w:val="auto"/>
              </w:rPr>
            </w:pPr>
            <w:r>
              <w:rPr>
                <w:rFonts w:ascii="Arial" w:cs="Arial" w:eastAsia="Arial" w:hAnsi="Arial"/>
                <w:sz w:val="14"/>
                <w:szCs w:val="14"/>
                <w:color w:val="auto"/>
              </w:rPr>
              <w:t>Interest</w:t>
            </w:r>
          </w:p>
        </w:tc>
        <w:tc>
          <w:tcPr>
            <w:tcW w:w="10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14"/>
                <w:szCs w:val="14"/>
                <w:color w:val="auto"/>
              </w:rPr>
            </w:pPr>
          </w:p>
        </w:tc>
        <w:tc>
          <w:tcPr>
            <w:tcW w:w="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ectPr>
          <w:pgSz w:w="11900" w:h="16900" w:orient="portrait"/>
          <w:cols w:equalWidth="0" w:num="1">
            <w:col w:w="11320"/>
          </w:cols>
          <w:pgMar w:left="240" w:top="341" w:right="339" w:bottom="0" w:gutter="0" w:footer="0" w:header="0"/>
        </w:sectPr>
      </w:pPr>
    </w:p>
    <w:bookmarkStart w:id="4" w:name="page5"/>
    <w:bookmarkEnd w:id="4"/>
    <w:p>
      <w:pPr>
        <w:spacing w:after="0" w:line="62" w:lineRule="exact"/>
        <w:rPr>
          <w:sz w:val="20"/>
          <w:szCs w:val="20"/>
          <w:color w:val="auto"/>
        </w:rPr>
      </w:pPr>
    </w:p>
    <w:p>
      <w:pPr>
        <w:ind w:left="380"/>
        <w:spacing w:after="0"/>
        <w:tabs>
          <w:tab w:leader="none" w:pos="7700" w:val="left"/>
          <w:tab w:leader="none" w:pos="8860" w:val="left"/>
          <w:tab w:leader="none" w:pos="9700" w:val="left"/>
          <w:tab w:leader="none" w:pos="10780" w:val="left"/>
        </w:tabs>
        <w:rPr>
          <w:sz w:val="20"/>
          <w:szCs w:val="20"/>
          <w:color w:val="auto"/>
        </w:rPr>
      </w:pPr>
      <w:r>
        <w:rPr>
          <w:rFonts w:ascii="Arial" w:cs="Arial" w:eastAsia="Arial" w:hAnsi="Arial"/>
          <w:sz w:val="28"/>
          <w:szCs w:val="28"/>
          <w:color w:val="auto"/>
          <w:vertAlign w:val="superscript"/>
        </w:rPr>
        <w:t>Income taxes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41,780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156,039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-80645</wp:posOffset>
            </wp:positionV>
            <wp:extent cx="234950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9500" cy="2603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-192405</wp:posOffset>
            </wp:positionV>
            <wp:extent cx="23495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9500" cy="1714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SIX-MONTHS ENDED JUNE 30, 2018 AND 2017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16" w:lineRule="exact"/>
        <w:rPr>
          <w:sz w:val="20"/>
          <w:szCs w:val="20"/>
          <w:color w:val="auto"/>
        </w:rPr>
      </w:pPr>
    </w:p>
    <w:p>
      <w:pPr>
        <w:ind w:left="120" w:right="20"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$0.7 million and $1.5 million for the six-months ended June 30, 2018 and 2017, respectively.</w:t>
      </w:r>
    </w:p>
    <w:p>
      <w:pPr>
        <w:spacing w:after="0" w:line="177" w:lineRule="exact"/>
        <w:rPr>
          <w:sz w:val="20"/>
          <w:szCs w:val="20"/>
          <w:color w:val="auto"/>
        </w:rPr>
      </w:pPr>
    </w:p>
    <w:p>
      <w:pPr>
        <w:ind w:left="120" w:firstLine="648"/>
        <w:spacing w:after="0" w:line="260" w:lineRule="auto"/>
        <w:rPr>
          <w:sz w:val="20"/>
          <w:szCs w:val="20"/>
          <w:color w:val="auto"/>
        </w:rPr>
      </w:pPr>
      <w:r>
        <w:rPr>
          <w:rFonts w:ascii="Arial" w:cs="Arial" w:eastAsia="Arial" w:hAnsi="Arial"/>
          <w:sz w:val="20"/>
          <w:szCs w:val="20"/>
          <w:color w:val="auto"/>
        </w:rPr>
        <w:t>Included in accounts payable as of June 30, 2018 and 2017 were $1.5 million and $0.3 million, respectively, related to purchases of property and equipment.</w:t>
      </w:r>
    </w:p>
    <w:p>
      <w:pPr>
        <w:spacing w:after="0" w:line="177" w:lineRule="exact"/>
        <w:rPr>
          <w:sz w:val="20"/>
          <w:szCs w:val="20"/>
          <w:color w:val="auto"/>
        </w:rPr>
      </w:pPr>
    </w:p>
    <w:p>
      <w:pPr>
        <w:ind w:left="120" w:right="20" w:firstLine="648"/>
        <w:spacing w:after="0" w:line="260" w:lineRule="auto"/>
        <w:rPr>
          <w:sz w:val="20"/>
          <w:szCs w:val="20"/>
          <w:color w:val="auto"/>
        </w:rPr>
      </w:pPr>
      <w:r>
        <w:rPr>
          <w:rFonts w:ascii="Arial" w:cs="Arial" w:eastAsia="Arial" w:hAnsi="Arial"/>
          <w:sz w:val="20"/>
          <w:szCs w:val="20"/>
          <w:color w:val="auto"/>
        </w:rPr>
        <w:t>Included in accrued liabilities as of June 30, 2018 and 2017 were $0.1 million and $12.1 million, respectively, related to purchases of property and equipment.</w:t>
      </w:r>
    </w:p>
    <w:p>
      <w:pPr>
        <w:spacing w:after="0" w:line="177" w:lineRule="exact"/>
        <w:rPr>
          <w:sz w:val="20"/>
          <w:szCs w:val="20"/>
          <w:color w:val="auto"/>
        </w:rPr>
      </w:pPr>
    </w:p>
    <w:p>
      <w:pPr>
        <w:ind w:left="120" w:right="20" w:firstLine="648"/>
        <w:spacing w:after="0" w:line="260" w:lineRule="auto"/>
        <w:rPr>
          <w:sz w:val="20"/>
          <w:szCs w:val="20"/>
          <w:color w:val="auto"/>
        </w:rPr>
      </w:pPr>
      <w:r>
        <w:rPr>
          <w:rFonts w:ascii="Arial" w:cs="Arial" w:eastAsia="Arial" w:hAnsi="Arial"/>
          <w:sz w:val="20"/>
          <w:szCs w:val="20"/>
          <w:color w:val="auto"/>
        </w:rPr>
        <w:t>Included in accounts payable as of June 30, 2018 was $1.8 million related to additions to other intangible assets. No such amounts were included in accounts payable at June 30, 2017.</w:t>
      </w:r>
    </w:p>
    <w:p>
      <w:pPr>
        <w:spacing w:after="0" w:line="177" w:lineRule="exact"/>
        <w:rPr>
          <w:sz w:val="20"/>
          <w:szCs w:val="20"/>
          <w:color w:val="auto"/>
        </w:rPr>
      </w:pPr>
    </w:p>
    <w:p>
      <w:pPr>
        <w:ind w:left="120" w:firstLine="648"/>
        <w:spacing w:after="0" w:line="260" w:lineRule="auto"/>
        <w:rPr>
          <w:sz w:val="20"/>
          <w:szCs w:val="20"/>
          <w:color w:val="auto"/>
        </w:rPr>
      </w:pPr>
      <w:r>
        <w:rPr>
          <w:rFonts w:ascii="Arial" w:cs="Arial" w:eastAsia="Arial" w:hAnsi="Arial"/>
          <w:sz w:val="20"/>
          <w:szCs w:val="20"/>
          <w:color w:val="auto"/>
        </w:rPr>
        <w:t>Included in accrued liabilities as of June 30, 2018 and 2017 were $9.5 million and $6.2 million, respectively, related to additions to other intangible assets.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the Notes to Consolidated Financial Statements, in Monster Beverage Corporation and Subsidiaries (the “Company”) Annual Report on Form 10-K for the year ended December 31, 2017 (“Form 10-K”) for a summary of significant accounting policies utilized by the Company and its consolidated subsidiaries and other disclosures, which should be read in conjunction with this Quarterly Report on Form 10-Q (“Form 10-Q”).</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2018 and 2017,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18"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52525"/>
        </w:rPr>
        <w:t>Recently issued accounting pronouncements not yet adopted</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52525"/>
        </w:rPr>
        <w:t xml:space="preserve">In February 2018, the Financial Accounting Standards Board (the “FASB”) issued Accounting Standards Update (“ASU”) No. 2018-02 (ASU No. 2018-02), “Income Statement - Reporting Comprehensive Income (Topic 220)”, which amends the previous guidance to allow for certain tax effects “stranded” in accumulated other comprehensive income, which are impacted by the </w:t>
      </w:r>
      <w:r>
        <w:rPr>
          <w:rFonts w:ascii="Arial" w:cs="Arial" w:eastAsia="Arial" w:hAnsi="Arial"/>
          <w:sz w:val="18"/>
          <w:szCs w:val="18"/>
          <w:color w:val="000000"/>
        </w:rPr>
        <w:t>Tax Cuts and Jobs Act (the “Tax Reform</w:t>
      </w:r>
      <w:r>
        <w:rPr>
          <w:rFonts w:ascii="Arial" w:cs="Arial" w:eastAsia="Arial" w:hAnsi="Arial"/>
          <w:sz w:val="18"/>
          <w:szCs w:val="18"/>
          <w:color w:val="252525"/>
        </w:rPr>
        <w:t xml:space="preserve"> </w:t>
      </w:r>
      <w:r>
        <w:rPr>
          <w:rFonts w:ascii="Arial" w:cs="Arial" w:eastAsia="Arial" w:hAnsi="Arial"/>
          <w:sz w:val="18"/>
          <w:szCs w:val="18"/>
          <w:color w:val="000000"/>
        </w:rPr>
        <w:t>Act”)</w:t>
      </w:r>
      <w:r>
        <w:rPr>
          <w:rFonts w:ascii="Arial" w:cs="Arial" w:eastAsia="Arial" w:hAnsi="Arial"/>
          <w:sz w:val="18"/>
          <w:szCs w:val="18"/>
          <w:color w:val="252525"/>
        </w:rPr>
        <w:t>, to be reclassified from accumulated other comprehensive income into retained earnings. This amendment pertains only to those items</w:t>
      </w:r>
      <w:r>
        <w:rPr>
          <w:rFonts w:ascii="Arial" w:cs="Arial" w:eastAsia="Arial" w:hAnsi="Arial"/>
          <w:sz w:val="18"/>
          <w:szCs w:val="18"/>
          <w:color w:val="000000"/>
        </w:rPr>
        <w:t xml:space="preserve"> </w:t>
      </w:r>
      <w:r>
        <w:rPr>
          <w:rFonts w:ascii="Arial" w:cs="Arial" w:eastAsia="Arial" w:hAnsi="Arial"/>
          <w:sz w:val="18"/>
          <w:szCs w:val="18"/>
          <w:color w:val="252525"/>
        </w:rPr>
        <w:t xml:space="preserve">impacted by the new tax law and will not apply to any future tax effects stranded in accumulated other comprehensive income. This standard is effective for fiscal years beginning after December 15, 2018, and allows for early adoption. </w:t>
      </w:r>
      <w:r>
        <w:rPr>
          <w:rFonts w:ascii="Arial" w:cs="Arial" w:eastAsia="Arial" w:hAnsi="Arial"/>
          <w:sz w:val="18"/>
          <w:szCs w:val="18"/>
          <w:color w:val="000000"/>
        </w:rPr>
        <w:t>The Company is currently evaluating the impact of</w:t>
      </w:r>
      <w:r>
        <w:rPr>
          <w:rFonts w:ascii="Arial" w:cs="Arial" w:eastAsia="Arial" w:hAnsi="Arial"/>
          <w:sz w:val="18"/>
          <w:szCs w:val="18"/>
          <w:color w:val="252525"/>
        </w:rPr>
        <w:t xml:space="preserve"> </w:t>
      </w:r>
      <w:r>
        <w:rPr>
          <w:rFonts w:ascii="Arial" w:cs="Arial" w:eastAsia="Arial" w:hAnsi="Arial"/>
          <w:sz w:val="18"/>
          <w:szCs w:val="18"/>
          <w:color w:val="000000"/>
        </w:rPr>
        <w:t>ASU No. 2018-02 on its financial position, results of operations and liquidity.</w:t>
      </w:r>
    </w:p>
    <w:p>
      <w:pPr>
        <w:sectPr>
          <w:pgSz w:w="11900" w:h="16901" w:orient="portrait"/>
          <w:cols w:equalWidth="0" w:num="1">
            <w:col w:w="11420"/>
          </w:cols>
          <w:pgMar w:left="240" w:top="122" w:right="239" w:bottom="0" w:gutter="0" w:footer="0" w:header="0"/>
        </w:sectPr>
      </w:pPr>
    </w:p>
    <w:bookmarkStart w:id="5" w:name="page6"/>
    <w:bookmarkEnd w:id="5"/>
    <w:p>
      <w:pPr>
        <w:jc w:val="both"/>
        <w:ind w:firstLine="648"/>
        <w:spacing w:after="0" w:line="260" w:lineRule="auto"/>
        <w:rPr>
          <w:sz w:val="20"/>
          <w:szCs w:val="20"/>
          <w:color w:val="auto"/>
        </w:rPr>
      </w:pPr>
      <w:r>
        <w:rPr>
          <w:rFonts w:ascii="Arial" w:cs="Arial" w:eastAsia="Arial" w:hAnsi="Arial"/>
          <w:sz w:val="19"/>
          <w:szCs w:val="19"/>
          <w:color w:val="252525"/>
        </w:rPr>
        <w:t>In January 2017, the FASB issued ASU No. 2017-04, “Intangibles and Other (Topic 350): Simplifying the Test for Goodwill Impairment</w:t>
      </w:r>
      <w:r>
        <w:rPr>
          <w:rFonts w:ascii="Arial" w:cs="Arial" w:eastAsia="Arial" w:hAnsi="Arial"/>
          <w:sz w:val="19"/>
          <w:szCs w:val="19"/>
          <w:i w:val="1"/>
          <w:iCs w:val="1"/>
          <w:color w:val="252525"/>
        </w:rPr>
        <w:t>”</w:t>
      </w:r>
      <w:r>
        <w:rPr>
          <w:rFonts w:ascii="Arial" w:cs="Arial" w:eastAsia="Arial" w:hAnsi="Arial"/>
          <w:sz w:val="19"/>
          <w:szCs w:val="19"/>
          <w:color w:val="252525"/>
        </w:rPr>
        <w:t xml:space="preserve">,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w:t>
      </w:r>
      <w:r>
        <w:rPr>
          <w:rFonts w:ascii="Arial" w:cs="Arial" w:eastAsia="Arial" w:hAnsi="Arial"/>
          <w:sz w:val="19"/>
          <w:szCs w:val="19"/>
          <w:color w:val="000000"/>
        </w:rPr>
        <w:t>The Company is currently evaluating</w:t>
      </w:r>
      <w:r>
        <w:rPr>
          <w:rFonts w:ascii="Arial" w:cs="Arial" w:eastAsia="Arial" w:hAnsi="Arial"/>
          <w:sz w:val="19"/>
          <w:szCs w:val="19"/>
          <w:color w:val="252525"/>
        </w:rPr>
        <w:t xml:space="preserve"> </w:t>
      </w:r>
      <w:r>
        <w:rPr>
          <w:rFonts w:ascii="Arial" w:cs="Arial" w:eastAsia="Arial" w:hAnsi="Arial"/>
          <w:sz w:val="19"/>
          <w:szCs w:val="19"/>
          <w:color w:val="000000"/>
        </w:rPr>
        <w:t>the impact of ASU No. 2017-04 on its financial position, results of operations and liquidity.</w:t>
      </w:r>
    </w:p>
    <w:p>
      <w:pPr>
        <w:spacing w:after="0" w:line="18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Recently adopted accounting pronouncements</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52525"/>
        </w:rPr>
        <w:t xml:space="preserve">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recognizes the income tax consequences of an intra-entity transfer of an asset other than inventory when the transfer occurs. ASU No. 2016-16 was effective for financial statements issued for annual periods beginning after December 15, 2017 and interim periods within those annual periods. </w:t>
      </w:r>
      <w:r>
        <w:rPr>
          <w:rFonts w:ascii="Arial" w:cs="Arial" w:eastAsia="Arial" w:hAnsi="Arial"/>
          <w:sz w:val="18"/>
          <w:szCs w:val="18"/>
          <w:color w:val="000000"/>
        </w:rPr>
        <w:t>The Company adopted ASU No. 2016-16 effective</w:t>
      </w:r>
      <w:r>
        <w:rPr>
          <w:rFonts w:ascii="Arial" w:cs="Arial" w:eastAsia="Arial" w:hAnsi="Arial"/>
          <w:sz w:val="18"/>
          <w:szCs w:val="18"/>
          <w:color w:val="252525"/>
        </w:rPr>
        <w:t xml:space="preserve"> </w:t>
      </w:r>
      <w:r>
        <w:rPr>
          <w:rFonts w:ascii="Arial" w:cs="Arial" w:eastAsia="Arial" w:hAnsi="Arial"/>
          <w:sz w:val="18"/>
          <w:szCs w:val="18"/>
          <w:color w:val="000000"/>
        </w:rPr>
        <w:t>January 1, 2018 on a modified retrospective basis, resulting in a $6.6 million reclassification of the unrecognized income tax effects related to assets transfers that occurred prior to the adoption from deferred income taxes to opening retained earnings.</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May 2014, the FASB issued ASU No. 2014-09, “Revenue from Contracts with Customers (Topic 606)”, which superseded previous revenue recognition guidance. ASU No. 2014-09 and its amendments were included in Accounting Standards Codification (“ASC”) 606 “Revenue from Contracts with Customers”. ASC 606 requires that a company recognize revenue at an amount that reflects the consideration to which the company expects to be entitled in exchange for transferring goods or services to a customer. The Company adopted ASC 606 effective January 1, 2018, using the modified retrospective approach, with no impact to the opening retained earnings. Results for periods beginning on or after January 1, 2018 are presented under ASC 606, while prior periods are not adjusted and continue to be reported in accordance with the prior accounting guidance under ASC 605 “Revenue Recognition”. See Note 3.</w:t>
      </w:r>
    </w:p>
    <w:p>
      <w:pPr>
        <w:spacing w:after="0" w:line="16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RECOGNITION</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Company currently has three operating and reportable segments, (i) Monster Energy® Drinks segment (“Monster Energy® Drinks”), which is comprised of the Company’s Monster Energy® drinks and Mutant® Super Soda drinks, (ii) Strategic Brands segment (“Strategic Brands”), which is comprised of the various energy drink brands acquired from The Coca-Cola Company (“TCCC”) in 2015, and</w:t>
      </w:r>
    </w:p>
    <w:p>
      <w:pPr>
        <w:spacing w:after="0" w:line="1" w:lineRule="exact"/>
        <w:rPr>
          <w:sz w:val="20"/>
          <w:szCs w:val="20"/>
          <w:color w:val="auto"/>
        </w:rPr>
      </w:pPr>
    </w:p>
    <w:p>
      <w:pPr>
        <w:ind w:firstLine="8"/>
        <w:spacing w:after="0" w:line="244" w:lineRule="auto"/>
        <w:tabs>
          <w:tab w:leader="none" w:pos="358" w:val="left"/>
        </w:tabs>
        <w:numPr>
          <w:ilvl w:val="0"/>
          <w:numId w:val="4"/>
        </w:numPr>
        <w:rPr>
          <w:rFonts w:ascii="Arial" w:cs="Arial" w:eastAsia="Arial" w:hAnsi="Arial"/>
          <w:sz w:val="20"/>
          <w:szCs w:val="20"/>
          <w:color w:val="auto"/>
        </w:rPr>
      </w:pPr>
      <w:r>
        <w:rPr>
          <w:rFonts w:ascii="Arial" w:cs="Arial" w:eastAsia="Arial" w:hAnsi="Arial"/>
          <w:sz w:val="20"/>
          <w:szCs w:val="20"/>
          <w:color w:val="auto"/>
        </w:rPr>
        <w:t>Other segment (“Other”), which is comprised of certain products sold by American Fruits &amp; Flavors LLC, a wholly-owned subsidiary of the Company, to independent third-party customers.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Company’s Monster Energy® Drinks segment generates net operating revenues by selling ready-to-drink packaged energy drinks primarily to bottlers and full service beverage distributors. In some cases, the Company sells directly to retail grocery and specialty chains, wholesalers, club stores, mass merchandisers, convenience chains, drug stores, food service customers and the military.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and full service distributors and to retail grocery and specialty chains, wholesalers, club stores, mass merchandisers, convenience</w:t>
      </w:r>
    </w:p>
    <w:p>
      <w:pPr>
        <w:sectPr>
          <w:pgSz w:w="11900" w:h="16838" w:orient="portrait"/>
          <w:cols w:equalWidth="0" w:num="1">
            <w:col w:w="11420"/>
          </w:cols>
          <w:pgMar w:left="240" w:top="339" w:right="239" w:bottom="0" w:gutter="0" w:footer="0" w:header="0"/>
        </w:sectPr>
      </w:pPr>
    </w:p>
    <w:bookmarkStart w:id="6" w:name="page7"/>
    <w:bookmarkEnd w:id="6"/>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chains, food service customers, drug stores and the military. To a lesser extent, our Strategic Brands segment generates net operating revenues by selling certain ready-to-drink packaged energy drinks to bottlers and full service beverage distributors.</w:t>
      </w:r>
    </w:p>
    <w:p>
      <w:pPr>
        <w:spacing w:after="0" w:line="17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June 30, 2018 or December 31, 2017.</w:t>
      </w:r>
    </w:p>
    <w:p>
      <w:pPr>
        <w:spacing w:after="0" w:line="1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excludes from revenues all taxes assessed by a governmental authority that are imposed on the sale of its products and collected from customers.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Distribution expenses to transport the Company’s products, where applicable, and warehousing expense after manufacture are accounted for within operating expenses.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were no changes to the Company’s accounting for variable consideration under ASC 606. Promotional and other allowances (variable consideration) recorded as a reduction to net sales, primarily include consideration given to the Company’s bottlers/distributors or retail customers including, but not limited to the following:</w:t>
      </w:r>
    </w:p>
    <w:p>
      <w:pPr>
        <w:spacing w:after="0" w:line="200" w:lineRule="exact"/>
        <w:rPr>
          <w:sz w:val="20"/>
          <w:szCs w:val="20"/>
          <w:color w:val="auto"/>
        </w:rPr>
      </w:pPr>
    </w:p>
    <w:p>
      <w:pPr>
        <w:ind w:left="1380" w:hanging="400"/>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discounts granted off list prices to support price promotions to end-consumers by retailers;</w:t>
      </w:r>
    </w:p>
    <w:p>
      <w:pPr>
        <w:spacing w:after="0" w:line="15" w:lineRule="exact"/>
        <w:rPr>
          <w:rFonts w:ascii="Arial" w:cs="Arial" w:eastAsia="Arial" w:hAnsi="Arial"/>
          <w:sz w:val="20"/>
          <w:szCs w:val="20"/>
          <w:color w:val="auto"/>
        </w:rPr>
      </w:pPr>
    </w:p>
    <w:p>
      <w:pPr>
        <w:ind w:left="1380" w:right="380" w:hanging="400"/>
        <w:spacing w:after="0" w:line="239" w:lineRule="auto"/>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reimbursements given to the Company’s bottlers/distributors for agreed portions of their promotional spend with retailers, including slotting, shelf space allowances and other fees for both new and existing products;</w:t>
      </w:r>
    </w:p>
    <w:p>
      <w:pPr>
        <w:spacing w:after="0" w:line="1" w:lineRule="exact"/>
        <w:rPr>
          <w:rFonts w:ascii="Arial" w:cs="Arial" w:eastAsia="Arial" w:hAnsi="Arial"/>
          <w:sz w:val="20"/>
          <w:szCs w:val="20"/>
          <w:color w:val="auto"/>
        </w:rPr>
      </w:pPr>
    </w:p>
    <w:p>
      <w:pPr>
        <w:ind w:left="1380" w:right="920" w:hanging="400"/>
        <w:spacing w:after="0" w:line="239" w:lineRule="auto"/>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Company’s agreed share of fees given to bottlers/distributors and/or directly to retailers for advertising, in-store marketing and promotional activities;</w:t>
      </w:r>
    </w:p>
    <w:p>
      <w:pPr>
        <w:spacing w:after="0" w:line="1" w:lineRule="exact"/>
        <w:rPr>
          <w:rFonts w:ascii="Arial" w:cs="Arial" w:eastAsia="Arial" w:hAnsi="Arial"/>
          <w:sz w:val="20"/>
          <w:szCs w:val="20"/>
          <w:color w:val="auto"/>
        </w:rPr>
      </w:pPr>
    </w:p>
    <w:p>
      <w:pPr>
        <w:ind w:left="1380" w:hanging="400"/>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Company’s agreed share of slotting, shelf space allowances and other fees given directly to retailers;</w:t>
      </w:r>
    </w:p>
    <w:p>
      <w:pPr>
        <w:ind w:left="1380" w:right="500" w:hanging="400"/>
        <w:spacing w:after="0" w:line="239" w:lineRule="auto"/>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incentives given to the Company’s bottlers/distributors and/or retailers for achieving or exceeding certain predetermined sales goals;</w:t>
      </w:r>
    </w:p>
    <w:p>
      <w:pPr>
        <w:spacing w:after="0" w:line="1" w:lineRule="exact"/>
        <w:rPr>
          <w:rFonts w:ascii="Arial" w:cs="Arial" w:eastAsia="Arial" w:hAnsi="Arial"/>
          <w:sz w:val="20"/>
          <w:szCs w:val="20"/>
          <w:color w:val="auto"/>
        </w:rPr>
      </w:pPr>
    </w:p>
    <w:p>
      <w:pPr>
        <w:ind w:left="1380" w:hanging="400"/>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discounted or free products;</w:t>
      </w:r>
    </w:p>
    <w:p>
      <w:pPr>
        <w:ind w:left="1380" w:right="900" w:hanging="400"/>
        <w:spacing w:after="0" w:line="239" w:lineRule="auto"/>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contractual fees given to the Company’s bottlers/distributors related to sales made by the Company direct to certain customers that fall within the bottlers’/distributors’ sales territories; and</w:t>
      </w:r>
    </w:p>
    <w:p>
      <w:pPr>
        <w:spacing w:after="0" w:line="1" w:lineRule="exact"/>
        <w:rPr>
          <w:rFonts w:ascii="Arial" w:cs="Arial" w:eastAsia="Arial" w:hAnsi="Arial"/>
          <w:sz w:val="20"/>
          <w:szCs w:val="20"/>
          <w:color w:val="auto"/>
        </w:rPr>
      </w:pPr>
    </w:p>
    <w:p>
      <w:pPr>
        <w:ind w:left="1380" w:hanging="400"/>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certain commissions paid based on sales to the Company’s bottlers/distributors.</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are calculated based on various programs with bottlers/distributors and retail customers, and accruals are established during the year for its anticipated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Upon adoption of ASC 606, commissions paid to TCCC based on sales to certain of the Company’s bottlers/distributors who are</w:t>
      </w:r>
    </w:p>
    <w:p>
      <w:pPr>
        <w:spacing w:after="0" w:line="27" w:lineRule="exact"/>
        <w:rPr>
          <w:sz w:val="20"/>
          <w:szCs w:val="20"/>
          <w:color w:val="auto"/>
        </w:rPr>
      </w:pPr>
    </w:p>
    <w:p>
      <w:pPr>
        <w:ind w:right="20" w:firstLine="8"/>
        <w:spacing w:after="0" w:line="244" w:lineRule="auto"/>
        <w:tabs>
          <w:tab w:leader="none" w:pos="251" w:val="left"/>
        </w:tabs>
        <w:numPr>
          <w:ilvl w:val="0"/>
          <w:numId w:val="6"/>
        </w:numPr>
        <w:rPr>
          <w:rFonts w:ascii="Arial" w:cs="Arial" w:eastAsia="Arial" w:hAnsi="Arial"/>
          <w:sz w:val="20"/>
          <w:szCs w:val="20"/>
          <w:color w:val="auto"/>
        </w:rPr>
      </w:pPr>
      <w:r>
        <w:rPr>
          <w:rFonts w:ascii="Arial" w:cs="Arial" w:eastAsia="Arial" w:hAnsi="Arial"/>
          <w:sz w:val="20"/>
          <w:szCs w:val="20"/>
          <w:color w:val="auto"/>
        </w:rPr>
        <w:t>consolidated subsidiaries of TCCC (the “TCCC Subsidiaries”), (ii) accounted for under the equity method by TCCC (the “TCCC Related Parties”) and (iii) those not included in (i) or (ii) (the “TCCC Independent Bottlers”) are accounted for as follows:</w:t>
      </w:r>
    </w:p>
    <w:p>
      <w:pPr>
        <w:spacing w:after="0" w:line="194"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color w:val="auto"/>
              </w:rPr>
              <w:t>Three- and Six-Months Ended June 30, 2018</w:t>
            </w:r>
          </w:p>
        </w:tc>
      </w:tr>
      <w:tr>
        <w:trPr>
          <w:trHeight w:val="195"/>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Pr>
          <w:p>
            <w:pPr>
              <w:jc w:val="center"/>
              <w:spacing w:after="0" w:line="195" w:lineRule="exact"/>
              <w:rPr>
                <w:sz w:val="20"/>
                <w:szCs w:val="20"/>
                <w:color w:val="auto"/>
              </w:rPr>
            </w:pPr>
            <w:r>
              <w:rPr>
                <w:rFonts w:ascii="Arial" w:cs="Arial" w:eastAsia="Arial" w:hAnsi="Arial"/>
                <w:sz w:val="18"/>
                <w:szCs w:val="18"/>
                <w:color w:val="auto"/>
                <w:w w:val="95"/>
              </w:rPr>
              <w:t>Without Adoption of</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Commissions Related To:</w:t>
            </w:r>
          </w:p>
        </w:tc>
        <w:tc>
          <w:tcPr>
            <w:tcW w:w="2480" w:type="dxa"/>
            <w:vAlign w:val="bottom"/>
          </w:tcPr>
          <w:p>
            <w:pPr>
              <w:ind w:left="780"/>
              <w:spacing w:after="0"/>
              <w:rPr>
                <w:sz w:val="20"/>
                <w:szCs w:val="20"/>
                <w:color w:val="auto"/>
              </w:rPr>
            </w:pPr>
            <w:r>
              <w:rPr>
                <w:rFonts w:ascii="Arial" w:cs="Arial" w:eastAsia="Arial" w:hAnsi="Arial"/>
                <w:sz w:val="18"/>
                <w:szCs w:val="18"/>
                <w:color w:val="auto"/>
              </w:rPr>
              <w:t>As Reported</w:t>
            </w:r>
          </w:p>
        </w:tc>
        <w:tc>
          <w:tcPr>
            <w:tcW w:w="24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ASC 606</w:t>
            </w:r>
          </w:p>
        </w:tc>
      </w:tr>
      <w:tr>
        <w:trPr>
          <w:trHeight w:val="187"/>
        </w:trPr>
        <w:tc>
          <w:tcPr>
            <w:tcW w:w="286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TCCC Subsidiaries</w:t>
            </w:r>
          </w:p>
        </w:tc>
        <w:tc>
          <w:tcPr>
            <w:tcW w:w="260" w:type="dxa"/>
            <w:vAlign w:val="bottom"/>
          </w:tcPr>
          <w:p>
            <w:pPr>
              <w:spacing w:after="0"/>
              <w:rPr>
                <w:sz w:val="16"/>
                <w:szCs w:val="16"/>
                <w:color w:val="auto"/>
              </w:rPr>
            </w:pPr>
          </w:p>
        </w:tc>
        <w:tc>
          <w:tcPr>
            <w:tcW w:w="248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Reduction to net sales</w:t>
            </w:r>
          </w:p>
        </w:tc>
        <w:tc>
          <w:tcPr>
            <w:tcW w:w="240" w:type="dxa"/>
            <w:vAlign w:val="bottom"/>
          </w:tcPr>
          <w:p>
            <w:pPr>
              <w:spacing w:after="0"/>
              <w:rPr>
                <w:sz w:val="16"/>
                <w:szCs w:val="16"/>
                <w:color w:val="auto"/>
              </w:rPr>
            </w:pPr>
          </w:p>
        </w:tc>
        <w:tc>
          <w:tcPr>
            <w:tcW w:w="248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Reduction to net sales</w:t>
            </w:r>
          </w:p>
        </w:tc>
      </w:tr>
      <w:tr>
        <w:trPr>
          <w:trHeight w:val="216"/>
        </w:trPr>
        <w:tc>
          <w:tcPr>
            <w:tcW w:w="3120" w:type="dxa"/>
            <w:vAlign w:val="bottom"/>
            <w:gridSpan w:val="2"/>
          </w:tcPr>
          <w:p>
            <w:pPr>
              <w:spacing w:after="0" w:line="216" w:lineRule="exact"/>
              <w:rPr>
                <w:sz w:val="20"/>
                <w:szCs w:val="20"/>
                <w:color w:val="auto"/>
              </w:rPr>
            </w:pPr>
            <w:r>
              <w:rPr>
                <w:rFonts w:ascii="Arial" w:cs="Arial" w:eastAsia="Arial" w:hAnsi="Arial"/>
                <w:sz w:val="19"/>
                <w:szCs w:val="19"/>
                <w:color w:val="auto"/>
              </w:rPr>
              <w:t>TCCC Related Parties</w:t>
            </w:r>
          </w:p>
        </w:tc>
        <w:tc>
          <w:tcPr>
            <w:tcW w:w="2480" w:type="dxa"/>
            <w:vAlign w:val="bottom"/>
          </w:tcPr>
          <w:p>
            <w:pPr>
              <w:spacing w:after="0" w:line="216" w:lineRule="exact"/>
              <w:rPr>
                <w:sz w:val="20"/>
                <w:szCs w:val="20"/>
                <w:color w:val="auto"/>
              </w:rPr>
            </w:pPr>
            <w:r>
              <w:rPr>
                <w:rFonts w:ascii="Arial" w:cs="Arial" w:eastAsia="Arial" w:hAnsi="Arial"/>
                <w:sz w:val="19"/>
                <w:szCs w:val="19"/>
                <w:color w:val="auto"/>
              </w:rPr>
              <w:t>Reduction to net sales</w:t>
            </w:r>
          </w:p>
        </w:tc>
        <w:tc>
          <w:tcPr>
            <w:tcW w:w="2720" w:type="dxa"/>
            <w:vAlign w:val="bottom"/>
            <w:gridSpan w:val="2"/>
          </w:tcPr>
          <w:p>
            <w:pPr>
              <w:ind w:left="240"/>
              <w:spacing w:after="0" w:line="216" w:lineRule="exact"/>
              <w:rPr>
                <w:sz w:val="20"/>
                <w:szCs w:val="20"/>
                <w:color w:val="auto"/>
              </w:rPr>
            </w:pPr>
            <w:r>
              <w:rPr>
                <w:rFonts w:ascii="Arial" w:cs="Arial" w:eastAsia="Arial" w:hAnsi="Arial"/>
                <w:sz w:val="19"/>
                <w:szCs w:val="19"/>
                <w:color w:val="auto"/>
              </w:rPr>
              <w:t>Operating expenses</w:t>
            </w:r>
          </w:p>
        </w:tc>
      </w:tr>
      <w:tr>
        <w:trPr>
          <w:trHeight w:val="240"/>
        </w:trPr>
        <w:tc>
          <w:tcPr>
            <w:tcW w:w="3120" w:type="dxa"/>
            <w:vAlign w:val="bottom"/>
            <w:gridSpan w:val="2"/>
          </w:tcPr>
          <w:p>
            <w:pPr>
              <w:spacing w:after="0"/>
              <w:rPr>
                <w:sz w:val="20"/>
                <w:szCs w:val="20"/>
                <w:color w:val="auto"/>
              </w:rPr>
            </w:pPr>
            <w:r>
              <w:rPr>
                <w:rFonts w:ascii="Arial" w:cs="Arial" w:eastAsia="Arial" w:hAnsi="Arial"/>
                <w:sz w:val="19"/>
                <w:szCs w:val="19"/>
                <w:color w:val="auto"/>
              </w:rPr>
              <w:t>TCCC Independent Bottlers</w:t>
            </w:r>
          </w:p>
        </w:tc>
        <w:tc>
          <w:tcPr>
            <w:tcW w:w="2480" w:type="dxa"/>
            <w:vAlign w:val="bottom"/>
          </w:tcPr>
          <w:p>
            <w:pPr>
              <w:spacing w:after="0"/>
              <w:rPr>
                <w:sz w:val="20"/>
                <w:szCs w:val="20"/>
                <w:color w:val="auto"/>
              </w:rPr>
            </w:pPr>
            <w:r>
              <w:rPr>
                <w:rFonts w:ascii="Arial" w:cs="Arial" w:eastAsia="Arial" w:hAnsi="Arial"/>
                <w:sz w:val="19"/>
                <w:szCs w:val="19"/>
                <w:color w:val="auto"/>
              </w:rPr>
              <w:t>Operating expenses</w:t>
            </w:r>
          </w:p>
        </w:tc>
        <w:tc>
          <w:tcPr>
            <w:tcW w:w="2720" w:type="dxa"/>
            <w:vAlign w:val="bottom"/>
            <w:gridSpan w:val="2"/>
          </w:tcPr>
          <w:p>
            <w:pPr>
              <w:ind w:left="240"/>
              <w:spacing w:after="0"/>
              <w:rPr>
                <w:sz w:val="20"/>
                <w:szCs w:val="20"/>
                <w:color w:val="auto"/>
              </w:rPr>
            </w:pPr>
            <w:r>
              <w:rPr>
                <w:rFonts w:ascii="Arial" w:cs="Arial" w:eastAsia="Arial" w:hAnsi="Arial"/>
                <w:sz w:val="19"/>
                <w:szCs w:val="19"/>
                <w:color w:val="auto"/>
              </w:rPr>
              <w:t>Operating expenses</w:t>
            </w:r>
          </w:p>
        </w:tc>
      </w:tr>
    </w:tbl>
    <w:p>
      <w:pPr>
        <w:spacing w:after="0" w:line="19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impact of the adoption of ASC 606 on the Company’s condensed consolidated statement of income for the three- and six-months ended June 30, 2018 was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center"/>
              <w:ind w:left="1065"/>
              <w:spacing w:after="0"/>
              <w:rPr>
                <w:sz w:val="20"/>
                <w:szCs w:val="20"/>
                <w:color w:val="auto"/>
              </w:rPr>
            </w:pPr>
            <w:r>
              <w:rPr>
                <w:rFonts w:ascii="Arial" w:cs="Arial" w:eastAsia="Arial" w:hAnsi="Arial"/>
                <w:sz w:val="19"/>
                <w:szCs w:val="19"/>
                <w:color w:val="auto"/>
                <w:w w:val="89"/>
              </w:rPr>
              <w:t>Three-Months Ended June 30, 2018</w:t>
            </w:r>
          </w:p>
        </w:tc>
        <w:tc>
          <w:tcPr>
            <w:tcW w:w="1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45"/>
              <w:spacing w:after="0" w:line="187" w:lineRule="exact"/>
              <w:rPr>
                <w:sz w:val="20"/>
                <w:szCs w:val="20"/>
                <w:color w:val="auto"/>
              </w:rPr>
            </w:pPr>
            <w:r>
              <w:rPr>
                <w:rFonts w:ascii="Arial" w:cs="Arial" w:eastAsia="Arial" w:hAnsi="Arial"/>
                <w:sz w:val="19"/>
                <w:szCs w:val="19"/>
                <w:color w:val="auto"/>
                <w:w w:val="87"/>
              </w:rPr>
              <w:t>Decrease due to</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3"/>
          </w:tcPr>
          <w:p>
            <w:pPr>
              <w:jc w:val="center"/>
              <w:ind w:right="260"/>
              <w:spacing w:after="0" w:line="216" w:lineRule="exact"/>
              <w:rPr>
                <w:sz w:val="20"/>
                <w:szCs w:val="20"/>
                <w:color w:val="auto"/>
              </w:rPr>
            </w:pPr>
            <w:r>
              <w:rPr>
                <w:rFonts w:ascii="Arial" w:cs="Arial" w:eastAsia="Arial" w:hAnsi="Arial"/>
                <w:sz w:val="19"/>
                <w:szCs w:val="19"/>
                <w:color w:val="auto"/>
                <w:w w:val="93"/>
              </w:rPr>
              <w:t>Without Adoption</w:t>
            </w:r>
          </w:p>
        </w:tc>
        <w:tc>
          <w:tcPr>
            <w:tcW w:w="1760" w:type="dxa"/>
            <w:vAlign w:val="bottom"/>
            <w:gridSpan w:val="3"/>
          </w:tcPr>
          <w:p>
            <w:pPr>
              <w:jc w:val="center"/>
              <w:ind w:right="13"/>
              <w:spacing w:after="0" w:line="216" w:lineRule="exact"/>
              <w:rPr>
                <w:sz w:val="20"/>
                <w:szCs w:val="20"/>
                <w:color w:val="auto"/>
              </w:rPr>
            </w:pPr>
            <w:r>
              <w:rPr>
                <w:rFonts w:ascii="Arial" w:cs="Arial" w:eastAsia="Arial" w:hAnsi="Arial"/>
                <w:sz w:val="19"/>
                <w:szCs w:val="19"/>
                <w:color w:val="auto"/>
                <w:w w:val="95"/>
              </w:rPr>
              <w:t>Adoption of ASC</w:t>
            </w:r>
          </w:p>
        </w:tc>
        <w:tc>
          <w:tcPr>
            <w:tcW w:w="0" w:type="dxa"/>
            <w:vAlign w:val="bottom"/>
          </w:tcPr>
          <w:p>
            <w:pPr>
              <w:spacing w:after="0"/>
              <w:rPr>
                <w:sz w:val="1"/>
                <w:szCs w:val="1"/>
                <w:color w:val="auto"/>
              </w:rPr>
            </w:pPr>
          </w:p>
        </w:tc>
      </w:tr>
      <w:tr>
        <w:trPr>
          <w:trHeight w:val="238"/>
        </w:trPr>
        <w:tc>
          <w:tcPr>
            <w:tcW w:w="404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9"/>
                <w:szCs w:val="19"/>
                <w:color w:val="auto"/>
              </w:rPr>
              <w:t>As Reported</w:t>
            </w:r>
          </w:p>
        </w:tc>
        <w:tc>
          <w:tcPr>
            <w:tcW w:w="300" w:type="dxa"/>
            <w:vAlign w:val="bottom"/>
          </w:tcPr>
          <w:p>
            <w:pPr>
              <w:spacing w:after="0"/>
              <w:rPr>
                <w:sz w:val="20"/>
                <w:szCs w:val="20"/>
                <w:color w:val="auto"/>
              </w:rPr>
            </w:pPr>
          </w:p>
        </w:tc>
        <w:tc>
          <w:tcPr>
            <w:tcW w:w="1680" w:type="dxa"/>
            <w:vAlign w:val="bottom"/>
            <w:gridSpan w:val="2"/>
          </w:tcPr>
          <w:p>
            <w:pPr>
              <w:jc w:val="center"/>
              <w:ind w:right="580"/>
              <w:spacing w:after="0"/>
              <w:rPr>
                <w:sz w:val="20"/>
                <w:szCs w:val="20"/>
                <w:color w:val="auto"/>
              </w:rPr>
            </w:pPr>
            <w:r>
              <w:rPr>
                <w:rFonts w:ascii="Arial" w:cs="Arial" w:eastAsia="Arial" w:hAnsi="Arial"/>
                <w:sz w:val="19"/>
                <w:szCs w:val="19"/>
                <w:color w:val="auto"/>
                <w:w w:val="92"/>
              </w:rPr>
              <w:t>of ASC 606</w:t>
            </w:r>
          </w:p>
        </w:tc>
        <w:tc>
          <w:tcPr>
            <w:tcW w:w="240" w:type="dxa"/>
            <w:vAlign w:val="bottom"/>
          </w:tcPr>
          <w:p>
            <w:pPr>
              <w:spacing w:after="0"/>
              <w:rPr>
                <w:sz w:val="20"/>
                <w:szCs w:val="20"/>
                <w:color w:val="auto"/>
              </w:rPr>
            </w:pPr>
          </w:p>
        </w:tc>
        <w:tc>
          <w:tcPr>
            <w:tcW w:w="1460" w:type="dxa"/>
            <w:vAlign w:val="bottom"/>
          </w:tcPr>
          <w:p>
            <w:pPr>
              <w:jc w:val="center"/>
              <w:ind w:right="145"/>
              <w:spacing w:after="0"/>
              <w:rPr>
                <w:sz w:val="20"/>
                <w:szCs w:val="20"/>
                <w:color w:val="auto"/>
              </w:rPr>
            </w:pPr>
            <w:r>
              <w:rPr>
                <w:rFonts w:ascii="Arial" w:cs="Arial" w:eastAsia="Arial" w:hAnsi="Arial"/>
                <w:sz w:val="19"/>
                <w:szCs w:val="19"/>
                <w:color w:val="auto"/>
                <w:w w:val="94"/>
              </w:rPr>
              <w:t>606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40" w:type="dxa"/>
            <w:vAlign w:val="bottom"/>
            <w:vMerge w:val="continue"/>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1,015,873</w:t>
            </w:r>
          </w:p>
        </w:tc>
        <w:tc>
          <w:tcPr>
            <w:tcW w:w="280" w:type="dxa"/>
            <w:vAlign w:val="bottom"/>
          </w:tcPr>
          <w:p>
            <w:pPr>
              <w:spacing w:after="0"/>
              <w:rPr>
                <w:sz w:val="20"/>
                <w:szCs w:val="20"/>
                <w:color w:val="auto"/>
              </w:rPr>
            </w:pPr>
          </w:p>
        </w:tc>
        <w:tc>
          <w:tcPr>
            <w:tcW w:w="3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1,028,085</w:t>
            </w:r>
          </w:p>
        </w:tc>
        <w:tc>
          <w:tcPr>
            <w:tcW w:w="260" w:type="dxa"/>
            <w:vAlign w:val="bottom"/>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(12,212)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1</w:t>
            </w:r>
          </w:p>
        </w:tc>
        <w:tc>
          <w:tcPr>
            <w:tcW w:w="0" w:type="dxa"/>
            <w:vAlign w:val="bottom"/>
          </w:tcPr>
          <w:p>
            <w:pPr>
              <w:spacing w:after="0"/>
              <w:rPr>
                <w:sz w:val="1"/>
                <w:szCs w:val="1"/>
                <w:color w:val="auto"/>
              </w:rPr>
            </w:pPr>
          </w:p>
        </w:tc>
      </w:tr>
    </w:tbl>
    <w:p>
      <w:pPr>
        <w:sectPr>
          <w:pgSz w:w="11900" w:h="16922" w:orient="portrait"/>
          <w:cols w:equalWidth="0" w:num="1">
            <w:col w:w="11420"/>
          </w:cols>
          <w:pgMar w:left="240" w:top="121" w:right="239" w:bottom="0" w:gutter="0" w:footer="0" w:header="0"/>
        </w:sectPr>
      </w:pPr>
    </w:p>
    <w:bookmarkStart w:id="7" w:name="page8"/>
    <w:bookmarkEnd w:id="7"/>
    <w:p>
      <w:pPr>
        <w:spacing w:after="0" w:line="5" w:lineRule="exact"/>
        <w:rPr>
          <w:sz w:val="20"/>
          <w:szCs w:val="20"/>
          <w:color w:val="auto"/>
        </w:rPr>
      </w:pPr>
    </w:p>
    <w:p>
      <w:pPr>
        <w:ind w:left="660"/>
        <w:spacing w:after="0"/>
        <w:tabs>
          <w:tab w:leader="none" w:pos="4780" w:val="left"/>
          <w:tab w:leader="none" w:pos="5700" w:val="left"/>
          <w:tab w:leader="none" w:pos="6760" w:val="left"/>
          <w:tab w:leader="none" w:pos="7700" w:val="left"/>
          <w:tab w:leader="none" w:pos="8740" w:val="left"/>
          <w:tab w:leader="none" w:pos="9620" w:val="left"/>
        </w:tabs>
        <w:rPr>
          <w:sz w:val="20"/>
          <w:szCs w:val="20"/>
          <w:color w:val="auto"/>
        </w:rPr>
      </w:pPr>
      <w:r>
        <w:rPr>
          <w:rFonts w:ascii="Arial" w:cs="Arial" w:eastAsia="Arial" w:hAnsi="Arial"/>
          <w:sz w:val="19"/>
          <w:szCs w:val="19"/>
          <w:color w:val="auto"/>
        </w:rPr>
        <w:t>Operating Expenses</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262,637</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274,849</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(12,212)</w:t>
      </w:r>
    </w:p>
    <w:p>
      <w:pPr>
        <w:sectPr>
          <w:pgSz w:w="11900" w:h="16843" w:orient="portrait"/>
          <w:cols w:equalWidth="0" w:num="1">
            <w:col w:w="11420"/>
          </w:cols>
          <w:pgMar w:left="240" w:top="118" w:right="239" w:bottom="0" w:gutter="0" w:footer="0" w:header="0"/>
        </w:sectPr>
      </w:pP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40"/>
        </w:trPr>
        <w:tc>
          <w:tcPr>
            <w:tcW w:w="4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gridSpan w:val="5"/>
          </w:tcPr>
          <w:p>
            <w:pPr>
              <w:jc w:val="center"/>
              <w:ind w:left="1085"/>
              <w:spacing w:after="0"/>
              <w:rPr>
                <w:sz w:val="20"/>
                <w:szCs w:val="20"/>
                <w:color w:val="auto"/>
              </w:rPr>
            </w:pPr>
            <w:r>
              <w:rPr>
                <w:rFonts w:ascii="Arial" w:cs="Arial" w:eastAsia="Arial" w:hAnsi="Arial"/>
                <w:sz w:val="19"/>
                <w:szCs w:val="19"/>
                <w:color w:val="auto"/>
                <w:w w:val="89"/>
              </w:rPr>
              <w:t>Six-Months Ended June 30, 2018</w:t>
            </w:r>
          </w:p>
        </w:tc>
        <w:tc>
          <w:tcPr>
            <w:tcW w:w="1400" w:type="dxa"/>
            <w:vAlign w:val="bottom"/>
            <w:vMerge w:val="restart"/>
          </w:tcPr>
          <w:p>
            <w:pPr>
              <w:jc w:val="center"/>
              <w:ind w:right="45"/>
              <w:spacing w:after="0"/>
              <w:rPr>
                <w:sz w:val="20"/>
                <w:szCs w:val="20"/>
                <w:color w:val="auto"/>
              </w:rPr>
            </w:pPr>
            <w:r>
              <w:rPr>
                <w:rFonts w:ascii="Arial" w:cs="Arial" w:eastAsia="Arial" w:hAnsi="Arial"/>
                <w:sz w:val="19"/>
                <w:szCs w:val="19"/>
                <w:color w:val="auto"/>
                <w:w w:val="87"/>
              </w:rPr>
              <w:t>Decrease due to</w:t>
            </w: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3"/>
              </w:rPr>
              <w:t>Without Adoption</w:t>
            </w:r>
          </w:p>
        </w:tc>
        <w:tc>
          <w:tcPr>
            <w:tcW w:w="1880" w:type="dxa"/>
            <w:vAlign w:val="bottom"/>
            <w:gridSpan w:val="2"/>
          </w:tcPr>
          <w:p>
            <w:pPr>
              <w:jc w:val="center"/>
              <w:ind w:left="245"/>
              <w:spacing w:after="0" w:line="216" w:lineRule="exact"/>
              <w:rPr>
                <w:sz w:val="20"/>
                <w:szCs w:val="20"/>
                <w:color w:val="auto"/>
              </w:rPr>
            </w:pPr>
            <w:r>
              <w:rPr>
                <w:rFonts w:ascii="Arial" w:cs="Arial" w:eastAsia="Arial" w:hAnsi="Arial"/>
                <w:sz w:val="19"/>
                <w:szCs w:val="19"/>
                <w:color w:val="auto"/>
                <w:w w:val="95"/>
              </w:rPr>
              <w:t>Adoption of ASC</w:t>
            </w:r>
          </w:p>
        </w:tc>
        <w:tc>
          <w:tcPr>
            <w:tcW w:w="0" w:type="dxa"/>
            <w:vAlign w:val="bottom"/>
          </w:tcPr>
          <w:p>
            <w:pPr>
              <w:spacing w:after="0"/>
              <w:rPr>
                <w:sz w:val="1"/>
                <w:szCs w:val="1"/>
                <w:color w:val="auto"/>
              </w:rPr>
            </w:pPr>
          </w:p>
        </w:tc>
      </w:tr>
      <w:tr>
        <w:trPr>
          <w:trHeight w:val="238"/>
        </w:trPr>
        <w:tc>
          <w:tcPr>
            <w:tcW w:w="404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9"/>
                <w:szCs w:val="19"/>
                <w:color w:val="auto"/>
              </w:rPr>
              <w:t>As Reported</w:t>
            </w:r>
          </w:p>
        </w:tc>
        <w:tc>
          <w:tcPr>
            <w:tcW w:w="300" w:type="dxa"/>
            <w:vAlign w:val="bottom"/>
          </w:tcPr>
          <w:p>
            <w:pPr>
              <w:spacing w:after="0"/>
              <w:rPr>
                <w:sz w:val="20"/>
                <w:szCs w:val="20"/>
                <w:color w:val="auto"/>
              </w:rPr>
            </w:pPr>
          </w:p>
        </w:tc>
        <w:tc>
          <w:tcPr>
            <w:tcW w:w="1420" w:type="dxa"/>
            <w:vAlign w:val="bottom"/>
          </w:tcPr>
          <w:p>
            <w:pPr>
              <w:jc w:val="center"/>
              <w:ind w:right="225"/>
              <w:spacing w:after="0"/>
              <w:rPr>
                <w:sz w:val="20"/>
                <w:szCs w:val="20"/>
                <w:color w:val="auto"/>
              </w:rPr>
            </w:pPr>
            <w:r>
              <w:rPr>
                <w:rFonts w:ascii="Arial" w:cs="Arial" w:eastAsia="Arial" w:hAnsi="Arial"/>
                <w:sz w:val="19"/>
                <w:szCs w:val="19"/>
                <w:color w:val="auto"/>
                <w:w w:val="92"/>
              </w:rPr>
              <w:t>of ASC 606</w:t>
            </w:r>
          </w:p>
        </w:tc>
        <w:tc>
          <w:tcPr>
            <w:tcW w:w="480" w:type="dxa"/>
            <w:vAlign w:val="bottom"/>
          </w:tcPr>
          <w:p>
            <w:pPr>
              <w:spacing w:after="0"/>
              <w:rPr>
                <w:sz w:val="20"/>
                <w:szCs w:val="20"/>
                <w:color w:val="auto"/>
              </w:rPr>
            </w:pPr>
          </w:p>
        </w:tc>
        <w:tc>
          <w:tcPr>
            <w:tcW w:w="1400" w:type="dxa"/>
            <w:vAlign w:val="bottom"/>
          </w:tcPr>
          <w:p>
            <w:pPr>
              <w:jc w:val="center"/>
              <w:ind w:right="45"/>
              <w:spacing w:after="0"/>
              <w:rPr>
                <w:sz w:val="20"/>
                <w:szCs w:val="20"/>
                <w:color w:val="auto"/>
              </w:rPr>
            </w:pPr>
            <w:r>
              <w:rPr>
                <w:rFonts w:ascii="Arial" w:cs="Arial" w:eastAsia="Arial" w:hAnsi="Arial"/>
                <w:sz w:val="19"/>
                <w:szCs w:val="19"/>
                <w:color w:val="auto"/>
                <w:w w:val="94"/>
              </w:rPr>
              <w:t>606</w:t>
            </w:r>
          </w:p>
        </w:tc>
        <w:tc>
          <w:tcPr>
            <w:tcW w:w="0" w:type="dxa"/>
            <w:vAlign w:val="bottom"/>
          </w:tcPr>
          <w:p>
            <w:pPr>
              <w:spacing w:after="0"/>
              <w:rPr>
                <w:sz w:val="1"/>
                <w:szCs w:val="1"/>
                <w:color w:val="auto"/>
              </w:rPr>
            </w:pPr>
          </w:p>
        </w:tc>
      </w:tr>
      <w:tr>
        <w:trPr>
          <w:trHeight w:val="187"/>
        </w:trPr>
        <w:tc>
          <w:tcPr>
            <w:tcW w:w="404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4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1,866,793</w:t>
            </w:r>
          </w:p>
        </w:tc>
        <w:tc>
          <w:tcPr>
            <w:tcW w:w="280" w:type="dxa"/>
            <w:vAlign w:val="bottom"/>
          </w:tcPr>
          <w:p>
            <w:pPr>
              <w:spacing w:after="0"/>
              <w:rPr>
                <w:sz w:val="16"/>
                <w:szCs w:val="16"/>
                <w:color w:val="auto"/>
              </w:rPr>
            </w:pPr>
          </w:p>
        </w:tc>
        <w:tc>
          <w:tcPr>
            <w:tcW w:w="300" w:type="dxa"/>
            <w:vAlign w:val="bottom"/>
            <w:tcBorders>
              <w:top w:val="single" w:sz="8" w:color="auto"/>
            </w:tcBorders>
          </w:tcPr>
          <w:p>
            <w:pPr>
              <w:jc w:val="right"/>
              <w:ind w:right="5"/>
              <w:spacing w:after="0" w:line="187" w:lineRule="exact"/>
              <w:rPr>
                <w:sz w:val="20"/>
                <w:szCs w:val="20"/>
                <w:color w:val="auto"/>
              </w:rPr>
            </w:pPr>
            <w:r>
              <w:rPr>
                <w:rFonts w:ascii="Arial" w:cs="Arial" w:eastAsia="Arial" w:hAnsi="Arial"/>
                <w:sz w:val="19"/>
                <w:szCs w:val="19"/>
                <w:color w:val="auto"/>
              </w:rPr>
              <w:t>$</w:t>
            </w:r>
          </w:p>
        </w:tc>
        <w:tc>
          <w:tcPr>
            <w:tcW w:w="14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1,888,945</w:t>
            </w:r>
          </w:p>
        </w:tc>
        <w:tc>
          <w:tcPr>
            <w:tcW w:w="480" w:type="dxa"/>
            <w:vAlign w:val="bottom"/>
          </w:tcPr>
          <w:p>
            <w:pPr>
              <w:jc w:val="right"/>
              <w:spacing w:after="0" w:line="187" w:lineRule="exact"/>
              <w:rPr>
                <w:sz w:val="20"/>
                <w:szCs w:val="20"/>
                <w:color w:val="auto"/>
              </w:rPr>
            </w:pPr>
            <w:r>
              <w:rPr>
                <w:rFonts w:ascii="Arial" w:cs="Arial" w:eastAsia="Arial" w:hAnsi="Arial"/>
                <w:sz w:val="19"/>
                <w:szCs w:val="19"/>
                <w:color w:val="auto"/>
              </w:rPr>
              <w:t>$</w:t>
            </w:r>
          </w:p>
        </w:tc>
        <w:tc>
          <w:tcPr>
            <w:tcW w:w="1400" w:type="dxa"/>
            <w:vAlign w:val="bottom"/>
          </w:tcPr>
          <w:p>
            <w:pPr>
              <w:jc w:val="right"/>
              <w:spacing w:after="0" w:line="187" w:lineRule="exact"/>
              <w:rPr>
                <w:sz w:val="20"/>
                <w:szCs w:val="20"/>
                <w:color w:val="auto"/>
              </w:rPr>
            </w:pPr>
            <w:r>
              <w:rPr>
                <w:rFonts w:ascii="Arial" w:cs="Arial" w:eastAsia="Arial" w:hAnsi="Arial"/>
                <w:sz w:val="19"/>
                <w:szCs w:val="19"/>
                <w:color w:val="auto"/>
              </w:rPr>
              <w:t>(22,152)</w:t>
            </w:r>
          </w:p>
        </w:tc>
        <w:tc>
          <w:tcPr>
            <w:tcW w:w="0" w:type="dxa"/>
            <w:vAlign w:val="bottom"/>
          </w:tcPr>
          <w:p>
            <w:pPr>
              <w:spacing w:after="0"/>
              <w:rPr>
                <w:sz w:val="1"/>
                <w:szCs w:val="1"/>
                <w:color w:val="auto"/>
              </w:rPr>
            </w:pPr>
          </w:p>
        </w:tc>
      </w:tr>
      <w:tr>
        <w:trPr>
          <w:trHeight w:val="240"/>
        </w:trPr>
        <w:tc>
          <w:tcPr>
            <w:tcW w:w="4040" w:type="dxa"/>
            <w:vAlign w:val="bottom"/>
          </w:tcPr>
          <w:p>
            <w:pPr>
              <w:spacing w:after="0"/>
              <w:rPr>
                <w:sz w:val="20"/>
                <w:szCs w:val="20"/>
                <w:color w:val="auto"/>
              </w:rPr>
            </w:pPr>
            <w:r>
              <w:rPr>
                <w:rFonts w:ascii="Arial" w:cs="Arial" w:eastAsia="Arial" w:hAnsi="Arial"/>
                <w:sz w:val="19"/>
                <w:szCs w:val="19"/>
                <w:color w:val="auto"/>
              </w:rPr>
              <w:t>Operating Expenses</w:t>
            </w:r>
          </w:p>
        </w:tc>
        <w:tc>
          <w:tcPr>
            <w:tcW w:w="280" w:type="dxa"/>
            <w:vAlign w:val="bottom"/>
          </w:tcPr>
          <w:p>
            <w:pPr>
              <w:jc w:val="right"/>
              <w:spacing w:after="0"/>
              <w:rPr>
                <w:sz w:val="20"/>
                <w:szCs w:val="20"/>
                <w:color w:val="auto"/>
              </w:rPr>
            </w:pPr>
            <w:r>
              <w:rPr>
                <w:rFonts w:ascii="Arial" w:cs="Arial" w:eastAsia="Arial" w:hAnsi="Arial"/>
                <w:sz w:val="19"/>
                <w:szCs w:val="19"/>
                <w:color w:val="auto"/>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497,979</w:t>
            </w:r>
          </w:p>
        </w:tc>
        <w:tc>
          <w:tcPr>
            <w:tcW w:w="280" w:type="dxa"/>
            <w:vAlign w:val="bottom"/>
          </w:tcPr>
          <w:p>
            <w:pPr>
              <w:spacing w:after="0"/>
              <w:rPr>
                <w:sz w:val="20"/>
                <w:szCs w:val="20"/>
                <w:color w:val="auto"/>
              </w:rPr>
            </w:pPr>
          </w:p>
        </w:tc>
        <w:tc>
          <w:tcPr>
            <w:tcW w:w="30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520,131</w:t>
            </w: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(22,152)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-283845</wp:posOffset>
            </wp:positionV>
            <wp:extent cx="10718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-703580</wp:posOffset>
            </wp:positionV>
            <wp:extent cx="3593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98" w:lineRule="exact"/>
        <w:rPr>
          <w:sz w:val="20"/>
          <w:szCs w:val="20"/>
          <w:color w:val="auto"/>
        </w:rPr>
      </w:pPr>
    </w:p>
    <w:p>
      <w:pPr>
        <w:sectPr>
          <w:pgSz w:w="11900" w:h="16843" w:orient="portrait"/>
          <w:cols w:equalWidth="0" w:num="2">
            <w:col w:w="10280" w:space="80"/>
            <w:col w:w="1060"/>
          </w:cols>
          <w:pgMar w:left="240" w:top="118" w:right="239" w:bottom="0" w:gutter="0" w:footer="0" w:header="0"/>
          <w:type w:val="continuous"/>
        </w:sectPr>
      </w:pPr>
    </w:p>
    <w:p>
      <w:pPr>
        <w:ind w:firstLine="656"/>
        <w:spacing w:after="0" w:line="260" w:lineRule="auto"/>
        <w:tabs>
          <w:tab w:leader="none" w:pos="769" w:val="left"/>
        </w:tabs>
        <w:numPr>
          <w:ilvl w:val="0"/>
          <w:numId w:val="7"/>
        </w:numPr>
        <w:rPr>
          <w:rFonts w:ascii="Arial" w:cs="Arial" w:eastAsia="Arial" w:hAnsi="Arial"/>
          <w:sz w:val="13"/>
          <w:szCs w:val="13"/>
          <w:i w:val="1"/>
          <w:iCs w:val="1"/>
          <w:color w:val="auto"/>
        </w:rPr>
      </w:pPr>
      <w:r>
        <w:rPr>
          <w:rFonts w:ascii="Arial" w:cs="Arial" w:eastAsia="Arial" w:hAnsi="Arial"/>
          <w:sz w:val="20"/>
          <w:szCs w:val="20"/>
          <w:i w:val="1"/>
          <w:iCs w:val="1"/>
          <w:color w:val="auto"/>
        </w:rPr>
        <w:t>TCCC Commissions based on sales to the TCCC Related Parties. There were no other identified changes to our revenue recognition policies as a result of the adoption of ASC 606.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Disaggregation of Revenue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252525"/>
        </w:rPr>
        <w:t>The following table disaggregates the Company’s revenue by geographical markets and reportable segments: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13"/>
          </w:tcPr>
          <w:p>
            <w:pPr>
              <w:ind w:left="480"/>
              <w:spacing w:after="0"/>
              <w:rPr>
                <w:sz w:val="20"/>
                <w:szCs w:val="20"/>
                <w:color w:val="auto"/>
              </w:rPr>
            </w:pPr>
            <w:r>
              <w:rPr>
                <w:rFonts w:ascii="Arial" w:cs="Arial" w:eastAsia="Arial" w:hAnsi="Arial"/>
                <w:sz w:val="19"/>
                <w:szCs w:val="19"/>
                <w:color w:val="auto"/>
              </w:rPr>
              <w:t>Three-Months Ended June 30, 2018</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87"/>
        </w:trPr>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500"/>
              <w:spacing w:after="0" w:line="187" w:lineRule="exact"/>
              <w:rPr>
                <w:sz w:val="20"/>
                <w:szCs w:val="20"/>
                <w:color w:val="auto"/>
              </w:rPr>
            </w:pPr>
            <w:r>
              <w:rPr>
                <w:rFonts w:ascii="Arial" w:cs="Arial" w:eastAsia="Arial" w:hAnsi="Arial"/>
                <w:sz w:val="19"/>
                <w:szCs w:val="19"/>
                <w:color w:val="auto"/>
                <w:w w:val="96"/>
              </w:rPr>
              <w:t>Latin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520"/>
              <w:spacing w:after="0" w:line="216" w:lineRule="exact"/>
              <w:rPr>
                <w:sz w:val="20"/>
                <w:szCs w:val="20"/>
                <w:color w:val="auto"/>
              </w:rPr>
            </w:pPr>
            <w:r>
              <w:rPr>
                <w:rFonts w:ascii="Arial" w:cs="Arial" w:eastAsia="Arial" w:hAnsi="Arial"/>
                <w:sz w:val="19"/>
                <w:szCs w:val="19"/>
                <w:color w:val="auto"/>
                <w:w w:val="94"/>
              </w:rPr>
              <w:t>America</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600"/>
              <w:spacing w:after="0" w:line="216" w:lineRule="exact"/>
              <w:rPr>
                <w:sz w:val="20"/>
                <w:szCs w:val="20"/>
                <w:color w:val="auto"/>
              </w:rPr>
            </w:pPr>
            <w:r>
              <w:rPr>
                <w:rFonts w:ascii="Arial" w:cs="Arial" w:eastAsia="Arial" w:hAnsi="Arial"/>
                <w:sz w:val="19"/>
                <w:szCs w:val="19"/>
                <w:color w:val="auto"/>
                <w:w w:val="91"/>
              </w:rPr>
              <w:t>U.S. and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520"/>
              <w:spacing w:after="0" w:line="216" w:lineRule="exact"/>
              <w:rPr>
                <w:sz w:val="20"/>
                <w:szCs w:val="20"/>
                <w:color w:val="auto"/>
              </w:rPr>
            </w:pPr>
            <w:r>
              <w:rPr>
                <w:rFonts w:ascii="Arial" w:cs="Arial" w:eastAsia="Arial" w:hAnsi="Arial"/>
                <w:sz w:val="19"/>
                <w:szCs w:val="19"/>
                <w:color w:val="auto"/>
                <w:w w:val="81"/>
              </w:rPr>
              <w:t>and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3120" w:type="dxa"/>
            <w:vAlign w:val="bottom"/>
            <w:gridSpan w:val="3"/>
          </w:tcPr>
          <w:p>
            <w:pPr>
              <w:spacing w:after="0"/>
              <w:rPr>
                <w:sz w:val="20"/>
                <w:szCs w:val="20"/>
                <w:color w:val="auto"/>
              </w:rPr>
            </w:pPr>
            <w:r>
              <w:rPr>
                <w:rFonts w:ascii="Arial" w:cs="Arial" w:eastAsia="Arial" w:hAnsi="Arial"/>
                <w:sz w:val="19"/>
                <w:szCs w:val="19"/>
                <w:color w:val="auto"/>
              </w:rPr>
              <w:t>Net Sales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Arial" w:cs="Arial" w:eastAsia="Arial" w:hAnsi="Arial"/>
                <w:sz w:val="19"/>
                <w:szCs w:val="19"/>
                <w:color w:val="auto"/>
              </w:rPr>
              <w:t>Canada</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ind w:left="40"/>
              <w:spacing w:after="0" w:line="239" w:lineRule="exact"/>
              <w:rPr>
                <w:sz w:val="20"/>
                <w:szCs w:val="20"/>
                <w:color w:val="auto"/>
              </w:rPr>
            </w:pPr>
            <w:r>
              <w:rPr>
                <w:rFonts w:ascii="Arial" w:cs="Arial" w:eastAsia="Arial" w:hAnsi="Arial"/>
                <w:sz w:val="19"/>
                <w:szCs w:val="19"/>
                <w:color w:val="auto"/>
              </w:rPr>
              <w:t>EMEA</w:t>
            </w:r>
            <w:r>
              <w:rPr>
                <w:rFonts w:ascii="Arial" w:cs="Arial" w:eastAsia="Arial" w:hAnsi="Arial"/>
                <w:sz w:val="25"/>
                <w:szCs w:val="25"/>
                <w:color w:val="auto"/>
                <w:vertAlign w:val="superscript"/>
              </w:rPr>
              <w:t>1</w:t>
            </w:r>
          </w:p>
        </w:tc>
        <w:tc>
          <w:tcPr>
            <w:tcW w:w="20" w:type="dxa"/>
            <w:vAlign w:val="bottom"/>
          </w:tcPr>
          <w:p>
            <w:pPr>
              <w:spacing w:after="0"/>
              <w:rPr>
                <w:sz w:val="20"/>
                <w:szCs w:val="20"/>
                <w:color w:val="auto"/>
              </w:rPr>
            </w:pPr>
          </w:p>
        </w:tc>
        <w:tc>
          <w:tcPr>
            <w:tcW w:w="1500" w:type="dxa"/>
            <w:vAlign w:val="bottom"/>
            <w:gridSpan w:val="4"/>
          </w:tcPr>
          <w:p>
            <w:pPr>
              <w:ind w:left="140"/>
              <w:spacing w:after="0"/>
              <w:rPr>
                <w:sz w:val="20"/>
                <w:szCs w:val="20"/>
                <w:color w:val="auto"/>
              </w:rPr>
            </w:pPr>
            <w:r>
              <w:rPr>
                <w:rFonts w:ascii="Arial" w:cs="Arial" w:eastAsia="Arial" w:hAnsi="Arial"/>
                <w:sz w:val="19"/>
                <w:szCs w:val="19"/>
                <w:color w:val="auto"/>
              </w:rPr>
              <w:t>Asia Pacific</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9"/>
                <w:szCs w:val="19"/>
                <w:color w:val="auto"/>
                <w:w w:val="88"/>
              </w:rPr>
              <w:t>Caribbean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323"/>
              <w:spacing w:after="0"/>
              <w:rPr>
                <w:sz w:val="20"/>
                <w:szCs w:val="20"/>
                <w:color w:val="auto"/>
              </w:rPr>
            </w:pPr>
            <w:r>
              <w:rPr>
                <w:rFonts w:ascii="Arial" w:cs="Arial" w:eastAsia="Arial" w:hAnsi="Arial"/>
                <w:sz w:val="19"/>
                <w:szCs w:val="19"/>
                <w:color w:val="auto"/>
              </w:rPr>
              <w:t>Total</w:t>
            </w:r>
          </w:p>
        </w:tc>
        <w:tc>
          <w:tcPr>
            <w:tcW w:w="40" w:type="dxa"/>
            <w:vAlign w:val="bottom"/>
          </w:tcPr>
          <w:p>
            <w:pPr>
              <w:spacing w:after="0"/>
              <w:rPr>
                <w:sz w:val="20"/>
                <w:szCs w:val="20"/>
                <w:color w:val="auto"/>
              </w:rPr>
            </w:pPr>
          </w:p>
        </w:tc>
      </w:tr>
      <w:tr>
        <w:trPr>
          <w:trHeight w:val="187"/>
        </w:trPr>
        <w:tc>
          <w:tcPr>
            <w:tcW w:w="282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Monster Energy® Drinks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auto"/>
            </w:tcBorders>
            <w:gridSpan w:val="2"/>
          </w:tcPr>
          <w:p>
            <w:pPr>
              <w:jc w:val="right"/>
              <w:spacing w:after="0" w:line="187" w:lineRule="exact"/>
              <w:rPr>
                <w:sz w:val="20"/>
                <w:szCs w:val="20"/>
                <w:color w:val="auto"/>
              </w:rPr>
            </w:pPr>
            <w:r>
              <w:rPr>
                <w:rFonts w:ascii="Arial" w:cs="Arial" w:eastAsia="Arial" w:hAnsi="Arial"/>
                <w:sz w:val="19"/>
                <w:szCs w:val="19"/>
                <w:color w:val="auto"/>
              </w:rPr>
              <w:t>$</w:t>
            </w:r>
          </w:p>
        </w:tc>
        <w:tc>
          <w:tcPr>
            <w:tcW w:w="10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695,963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top w:val="single" w:sz="8" w:color="auto"/>
            </w:tcBorders>
            <w:gridSpan w:val="2"/>
          </w:tcPr>
          <w:p>
            <w:pPr>
              <w:jc w:val="right"/>
              <w:spacing w:after="0" w:line="187" w:lineRule="exact"/>
              <w:rPr>
                <w:sz w:val="20"/>
                <w:szCs w:val="20"/>
                <w:color w:val="auto"/>
              </w:rPr>
            </w:pPr>
            <w:r>
              <w:rPr>
                <w:rFonts w:ascii="Arial" w:cs="Arial" w:eastAsia="Arial" w:hAnsi="Arial"/>
                <w:sz w:val="19"/>
                <w:szCs w:val="19"/>
                <w:color w:val="auto"/>
              </w:rPr>
              <w:t>$</w:t>
            </w:r>
          </w:p>
        </w:tc>
        <w:tc>
          <w:tcPr>
            <w:tcW w:w="9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138,608</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top w:val="single" w:sz="8" w:color="auto"/>
            </w:tcBorders>
            <w:gridSpan w:val="2"/>
          </w:tcPr>
          <w:p>
            <w:pPr>
              <w:jc w:val="right"/>
              <w:ind w:right="82"/>
              <w:spacing w:after="0" w:line="187" w:lineRule="exact"/>
              <w:rPr>
                <w:sz w:val="20"/>
                <w:szCs w:val="20"/>
                <w:color w:val="auto"/>
              </w:rPr>
            </w:pPr>
            <w:r>
              <w:rPr>
                <w:rFonts w:ascii="Arial" w:cs="Arial" w:eastAsia="Arial" w:hAnsi="Arial"/>
                <w:sz w:val="19"/>
                <w:szCs w:val="19"/>
                <w:color w:val="auto"/>
              </w:rPr>
              <w:t>$</w:t>
            </w:r>
          </w:p>
        </w:tc>
        <w:tc>
          <w:tcPr>
            <w:tcW w:w="8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60,606</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gridSpan w:val="2"/>
          </w:tcPr>
          <w:p>
            <w:pPr>
              <w:jc w:val="right"/>
              <w:spacing w:after="0" w:line="187" w:lineRule="exact"/>
              <w:rPr>
                <w:sz w:val="20"/>
                <w:szCs w:val="20"/>
                <w:color w:val="auto"/>
              </w:rPr>
            </w:pPr>
            <w:r>
              <w:rPr>
                <w:rFonts w:ascii="Arial" w:cs="Arial" w:eastAsia="Arial" w:hAnsi="Arial"/>
                <w:sz w:val="19"/>
                <w:szCs w:val="19"/>
                <w:color w:val="auto"/>
              </w:rPr>
              <w:t>$</w:t>
            </w:r>
          </w:p>
        </w:tc>
        <w:tc>
          <w:tcPr>
            <w:tcW w:w="10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34,262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top w:val="single" w:sz="8" w:color="auto"/>
            </w:tcBorders>
            <w:gridSpan w:val="2"/>
          </w:tcPr>
          <w:p>
            <w:pPr>
              <w:jc w:val="right"/>
              <w:ind w:right="21"/>
              <w:spacing w:after="0" w:line="187" w:lineRule="exact"/>
              <w:rPr>
                <w:sz w:val="20"/>
                <w:szCs w:val="20"/>
                <w:color w:val="auto"/>
              </w:rPr>
            </w:pPr>
            <w:r>
              <w:rPr>
                <w:rFonts w:ascii="Arial" w:cs="Arial" w:eastAsia="Arial" w:hAnsi="Arial"/>
                <w:sz w:val="19"/>
                <w:szCs w:val="19"/>
                <w:color w:val="auto"/>
              </w:rPr>
              <w:t>$</w:t>
            </w:r>
          </w:p>
        </w:tc>
        <w:tc>
          <w:tcPr>
            <w:tcW w:w="9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929,439</w:t>
            </w:r>
          </w:p>
        </w:tc>
        <w:tc>
          <w:tcPr>
            <w:tcW w:w="40" w:type="dxa"/>
            <w:vAlign w:val="bottom"/>
          </w:tcPr>
          <w:p>
            <w:pPr>
              <w:spacing w:after="0"/>
              <w:rPr>
                <w:sz w:val="16"/>
                <w:szCs w:val="16"/>
                <w:color w:val="auto"/>
              </w:rPr>
            </w:pPr>
          </w:p>
        </w:tc>
      </w:tr>
      <w:tr>
        <w:trPr>
          <w:trHeight w:val="216"/>
        </w:trPr>
        <w:tc>
          <w:tcPr>
            <w:tcW w:w="3120" w:type="dxa"/>
            <w:vAlign w:val="bottom"/>
            <w:gridSpan w:val="3"/>
          </w:tcPr>
          <w:p>
            <w:pPr>
              <w:spacing w:after="0" w:line="216" w:lineRule="exact"/>
              <w:rPr>
                <w:sz w:val="20"/>
                <w:szCs w:val="20"/>
                <w:color w:val="auto"/>
              </w:rPr>
            </w:pPr>
            <w:r>
              <w:rPr>
                <w:rFonts w:ascii="Arial" w:cs="Arial" w:eastAsia="Arial" w:hAnsi="Arial"/>
                <w:sz w:val="19"/>
                <w:szCs w:val="19"/>
                <w:color w:val="auto"/>
              </w:rPr>
              <w:t>Strategic Brands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50,133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22,967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19"/>
                <w:szCs w:val="19"/>
                <w:color w:val="auto"/>
              </w:rPr>
              <w:t>6,368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343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19"/>
                <w:szCs w:val="19"/>
                <w:color w:val="auto"/>
              </w:rPr>
              <w:t>79,811</w:t>
            </w:r>
          </w:p>
        </w:tc>
        <w:tc>
          <w:tcPr>
            <w:tcW w:w="40" w:type="dxa"/>
            <w:vAlign w:val="bottom"/>
          </w:tcPr>
          <w:p>
            <w:pPr>
              <w:spacing w:after="0"/>
              <w:rPr>
                <w:sz w:val="18"/>
                <w:szCs w:val="18"/>
                <w:color w:val="auto"/>
              </w:rPr>
            </w:pPr>
          </w:p>
        </w:tc>
      </w:tr>
      <w:tr>
        <w:trPr>
          <w:trHeight w:val="238"/>
        </w:trPr>
        <w:tc>
          <w:tcPr>
            <w:tcW w:w="3120" w:type="dxa"/>
            <w:vAlign w:val="bottom"/>
            <w:gridSpan w:val="3"/>
          </w:tcPr>
          <w:p>
            <w:pPr>
              <w:spacing w:after="0"/>
              <w:rPr>
                <w:sz w:val="20"/>
                <w:szCs w:val="20"/>
                <w:color w:val="auto"/>
              </w:rPr>
            </w:pPr>
            <w:r>
              <w:rPr>
                <w:rFonts w:ascii="Arial" w:cs="Arial" w:eastAsia="Arial" w:hAnsi="Arial"/>
                <w:sz w:val="19"/>
                <w:szCs w:val="19"/>
                <w:color w:val="auto"/>
              </w:rPr>
              <w:t>Other</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6,623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6,623</w:t>
            </w:r>
          </w:p>
        </w:tc>
        <w:tc>
          <w:tcPr>
            <w:tcW w:w="40" w:type="dxa"/>
            <w:vAlign w:val="bottom"/>
          </w:tcPr>
          <w:p>
            <w:pPr>
              <w:spacing w:after="0"/>
              <w:rPr>
                <w:sz w:val="20"/>
                <w:szCs w:val="20"/>
                <w:color w:val="auto"/>
              </w:rPr>
            </w:pPr>
          </w:p>
        </w:tc>
      </w:tr>
      <w:tr>
        <w:trPr>
          <w:trHeight w:val="210"/>
        </w:trPr>
        <w:tc>
          <w:tcPr>
            <w:tcW w:w="3120" w:type="dxa"/>
            <w:vAlign w:val="bottom"/>
            <w:gridSpan w:val="3"/>
          </w:tcPr>
          <w:p>
            <w:pPr>
              <w:spacing w:after="0" w:line="210" w:lineRule="exact"/>
              <w:rPr>
                <w:sz w:val="20"/>
                <w:szCs w:val="20"/>
                <w:color w:val="auto"/>
              </w:rPr>
            </w:pPr>
            <w:r>
              <w:rPr>
                <w:rFonts w:ascii="Arial" w:cs="Arial" w:eastAsia="Arial" w:hAnsi="Arial"/>
                <w:sz w:val="19"/>
                <w:szCs w:val="19"/>
                <w:color w:val="auto"/>
              </w:rPr>
              <w:t>Total Net Sales</w:t>
            </w:r>
          </w:p>
        </w:tc>
        <w:tc>
          <w:tcPr>
            <w:tcW w:w="260" w:type="dxa"/>
            <w:vAlign w:val="bottom"/>
            <w:tcBorders>
              <w:bottom w:val="single" w:sz="8" w:color="auto"/>
            </w:tcBorders>
            <w:gridSpan w:val="2"/>
          </w:tcPr>
          <w:p>
            <w:pPr>
              <w:jc w:val="right"/>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752,719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gridSpan w:val="2"/>
          </w:tcPr>
          <w:p>
            <w:pPr>
              <w:jc w:val="right"/>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161,575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82"/>
              <w:spacing w:after="0" w:line="210" w:lineRule="exact"/>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66,974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gridSpan w:val="2"/>
          </w:tcPr>
          <w:p>
            <w:pPr>
              <w:jc w:val="right"/>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34,605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21"/>
              <w:spacing w:after="0" w:line="210" w:lineRule="exact"/>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w w:val="96"/>
              </w:rPr>
              <w:t>1,015,873</w:t>
            </w:r>
          </w:p>
        </w:tc>
        <w:tc>
          <w:tcPr>
            <w:tcW w:w="4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3"/>
          </w:tcPr>
          <w:p>
            <w:pPr>
              <w:ind w:left="540"/>
              <w:spacing w:after="0"/>
              <w:rPr>
                <w:sz w:val="20"/>
                <w:szCs w:val="20"/>
                <w:color w:val="auto"/>
              </w:rPr>
            </w:pPr>
            <w:r>
              <w:rPr>
                <w:rFonts w:ascii="Arial" w:cs="Arial" w:eastAsia="Arial" w:hAnsi="Arial"/>
                <w:sz w:val="20"/>
                <w:szCs w:val="20"/>
                <w:color w:val="auto"/>
              </w:rPr>
              <w:t>Six-Months Ended June 30, 2018</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06"/>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right="460"/>
              <w:spacing w:after="0" w:line="207" w:lineRule="exact"/>
              <w:rPr>
                <w:sz w:val="20"/>
                <w:szCs w:val="20"/>
                <w:color w:val="auto"/>
              </w:rPr>
            </w:pPr>
            <w:r>
              <w:rPr>
                <w:rFonts w:ascii="Arial" w:cs="Arial" w:eastAsia="Arial" w:hAnsi="Arial"/>
                <w:sz w:val="20"/>
                <w:szCs w:val="20"/>
                <w:color w:val="auto"/>
                <w:w w:val="92"/>
              </w:rPr>
              <w:t>Latin</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20"/>
                <w:szCs w:val="20"/>
                <w:color w:val="auto"/>
                <w:w w:val="92"/>
              </w:rPr>
              <w:t>America</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Arial" w:cs="Arial" w:eastAsia="Arial" w:hAnsi="Arial"/>
                <w:sz w:val="20"/>
                <w:szCs w:val="20"/>
                <w:color w:val="auto"/>
              </w:rPr>
              <w:t>U.S. and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20"/>
                <w:szCs w:val="20"/>
                <w:color w:val="auto"/>
                <w:w w:val="83"/>
              </w:rPr>
              <w:t>and</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6"/>
        </w:trPr>
        <w:tc>
          <w:tcPr>
            <w:tcW w:w="3120" w:type="dxa"/>
            <w:vAlign w:val="bottom"/>
            <w:gridSpan w:val="3"/>
          </w:tcPr>
          <w:p>
            <w:pPr>
              <w:spacing w:after="0"/>
              <w:rPr>
                <w:sz w:val="20"/>
                <w:szCs w:val="20"/>
                <w:color w:val="auto"/>
              </w:rPr>
            </w:pPr>
            <w:r>
              <w:rPr>
                <w:rFonts w:ascii="Arial" w:cs="Arial" w:eastAsia="Arial" w:hAnsi="Arial"/>
                <w:sz w:val="20"/>
                <w:szCs w:val="20"/>
                <w:color w:val="auto"/>
              </w:rPr>
              <w:t>Net Sales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20"/>
                <w:szCs w:val="20"/>
                <w:color w:val="auto"/>
                <w:w w:val="97"/>
              </w:rPr>
              <w:t>Canada</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3"/>
          </w:tcPr>
          <w:p>
            <w:pPr>
              <w:ind w:left="60"/>
              <w:spacing w:after="0"/>
              <w:rPr>
                <w:sz w:val="20"/>
                <w:szCs w:val="20"/>
                <w:color w:val="auto"/>
              </w:rPr>
            </w:pPr>
            <w:r>
              <w:rPr>
                <w:rFonts w:ascii="Arial" w:cs="Arial" w:eastAsia="Arial" w:hAnsi="Arial"/>
                <w:sz w:val="20"/>
                <w:szCs w:val="20"/>
                <w:color w:val="auto"/>
              </w:rPr>
              <w:t>EMEA</w:t>
            </w:r>
            <w:r>
              <w:rPr>
                <w:rFonts w:ascii="Arial" w:cs="Arial" w:eastAsia="Arial" w:hAnsi="Arial"/>
                <w:sz w:val="12"/>
                <w:szCs w:val="12"/>
                <w:color w:val="auto"/>
              </w:rPr>
              <w:t>1</w:t>
            </w:r>
          </w:p>
        </w:tc>
        <w:tc>
          <w:tcPr>
            <w:tcW w:w="20" w:type="dxa"/>
            <w:vAlign w:val="bottom"/>
          </w:tcPr>
          <w:p>
            <w:pPr>
              <w:spacing w:after="0"/>
              <w:rPr>
                <w:sz w:val="21"/>
                <w:szCs w:val="21"/>
                <w:color w:val="auto"/>
              </w:rPr>
            </w:pPr>
          </w:p>
        </w:tc>
        <w:tc>
          <w:tcPr>
            <w:tcW w:w="1500" w:type="dxa"/>
            <w:vAlign w:val="bottom"/>
            <w:gridSpan w:val="4"/>
          </w:tcPr>
          <w:p>
            <w:pPr>
              <w:ind w:left="140"/>
              <w:spacing w:after="0"/>
              <w:rPr>
                <w:sz w:val="20"/>
                <w:szCs w:val="20"/>
                <w:color w:val="auto"/>
              </w:rPr>
            </w:pPr>
            <w:r>
              <w:rPr>
                <w:rFonts w:ascii="Arial" w:cs="Arial" w:eastAsia="Arial" w:hAnsi="Arial"/>
                <w:sz w:val="20"/>
                <w:szCs w:val="20"/>
                <w:color w:val="auto"/>
              </w:rPr>
              <w:t>Asia Pacific</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20"/>
                <w:szCs w:val="20"/>
                <w:color w:val="auto"/>
                <w:w w:val="86"/>
              </w:rPr>
              <w:t>Caribbean</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283"/>
              <w:spacing w:after="0"/>
              <w:rPr>
                <w:sz w:val="20"/>
                <w:szCs w:val="20"/>
                <w:color w:val="auto"/>
              </w:rPr>
            </w:pPr>
            <w:r>
              <w:rPr>
                <w:rFonts w:ascii="Arial" w:cs="Arial" w:eastAsia="Arial" w:hAnsi="Arial"/>
                <w:sz w:val="20"/>
                <w:szCs w:val="20"/>
                <w:color w:val="auto"/>
              </w:rPr>
              <w:t>Total</w:t>
            </w:r>
          </w:p>
        </w:tc>
        <w:tc>
          <w:tcPr>
            <w:tcW w:w="40" w:type="dxa"/>
            <w:vAlign w:val="bottom"/>
          </w:tcPr>
          <w:p>
            <w:pPr>
              <w:spacing w:after="0"/>
              <w:rPr>
                <w:sz w:val="21"/>
                <w:szCs w:val="21"/>
                <w:color w:val="auto"/>
              </w:rPr>
            </w:pPr>
          </w:p>
        </w:tc>
      </w:tr>
      <w:tr>
        <w:trPr>
          <w:trHeight w:val="206"/>
        </w:trPr>
        <w:tc>
          <w:tcPr>
            <w:tcW w:w="2840" w:type="dxa"/>
            <w:vAlign w:val="bottom"/>
            <w:tcBorders>
              <w:top w:val="single" w:sz="8" w:color="auto"/>
            </w:tcBorders>
            <w:gridSpan w:val="2"/>
          </w:tcPr>
          <w:p>
            <w:pPr>
              <w:spacing w:after="0" w:line="207" w:lineRule="exact"/>
              <w:rPr>
                <w:sz w:val="20"/>
                <w:szCs w:val="20"/>
                <w:color w:val="auto"/>
              </w:rPr>
            </w:pPr>
            <w:r>
              <w:rPr>
                <w:rFonts w:ascii="Arial" w:cs="Arial" w:eastAsia="Arial" w:hAnsi="Arial"/>
                <w:sz w:val="20"/>
                <w:szCs w:val="20"/>
                <w:color w:val="auto"/>
              </w:rPr>
              <w:t>Monster Energy® Drinks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1,284,778</w:t>
            </w: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249,538</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jc w:val="right"/>
              <w:ind w:right="62"/>
              <w:spacing w:after="0" w:line="207" w:lineRule="exact"/>
              <w:rPr>
                <w:sz w:val="20"/>
                <w:szCs w:val="20"/>
                <w:color w:val="auto"/>
              </w:rPr>
            </w:pPr>
            <w:r>
              <w:rPr>
                <w:rFonts w:ascii="Arial" w:cs="Arial" w:eastAsia="Arial" w:hAnsi="Arial"/>
                <w:sz w:val="20"/>
                <w:szCs w:val="20"/>
                <w:color w:val="auto"/>
              </w:rPr>
              <w:t>$</w:t>
            </w:r>
          </w:p>
        </w:tc>
        <w:tc>
          <w:tcPr>
            <w:tcW w:w="8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108,037</w:t>
            </w:r>
          </w:p>
        </w:tc>
        <w:tc>
          <w:tcPr>
            <w:tcW w:w="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67,590</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w w:val="94"/>
              </w:rPr>
              <w:t>1,709,943</w:t>
            </w:r>
          </w:p>
        </w:tc>
        <w:tc>
          <w:tcPr>
            <w:tcW w:w="40" w:type="dxa"/>
            <w:vAlign w:val="bottom"/>
            <w:tcBorders>
              <w:top w:val="single" w:sz="8" w:color="auto"/>
            </w:tcBorders>
          </w:tcPr>
          <w:p>
            <w:pPr>
              <w:spacing w:after="0"/>
              <w:rPr>
                <w:sz w:val="17"/>
                <w:szCs w:val="17"/>
                <w:color w:val="auto"/>
              </w:rPr>
            </w:pPr>
          </w:p>
        </w:tc>
      </w:tr>
      <w:tr>
        <w:trPr>
          <w:trHeight w:val="230"/>
        </w:trPr>
        <w:tc>
          <w:tcPr>
            <w:tcW w:w="3120" w:type="dxa"/>
            <w:vAlign w:val="bottom"/>
            <w:gridSpan w:val="3"/>
          </w:tcPr>
          <w:p>
            <w:pPr>
              <w:spacing w:after="0"/>
              <w:rPr>
                <w:sz w:val="20"/>
                <w:szCs w:val="20"/>
                <w:color w:val="auto"/>
              </w:rPr>
            </w:pPr>
            <w:r>
              <w:rPr>
                <w:rFonts w:ascii="Arial" w:cs="Arial" w:eastAsia="Arial" w:hAnsi="Arial"/>
                <w:sz w:val="20"/>
                <w:szCs w:val="20"/>
                <w:color w:val="auto"/>
              </w:rPr>
              <w:t>Strategic Brands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89,857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42,280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11,916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1,517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145,570</w:t>
            </w:r>
          </w:p>
        </w:tc>
        <w:tc>
          <w:tcPr>
            <w:tcW w:w="40" w:type="dxa"/>
            <w:vAlign w:val="bottom"/>
          </w:tcPr>
          <w:p>
            <w:pPr>
              <w:spacing w:after="0"/>
              <w:rPr>
                <w:sz w:val="19"/>
                <w:szCs w:val="19"/>
                <w:color w:val="auto"/>
              </w:rPr>
            </w:pPr>
          </w:p>
        </w:tc>
      </w:tr>
      <w:tr>
        <w:trPr>
          <w:trHeight w:val="240"/>
        </w:trPr>
        <w:tc>
          <w:tcPr>
            <w:tcW w:w="3120" w:type="dxa"/>
            <w:vAlign w:val="bottom"/>
            <w:gridSpan w:val="3"/>
          </w:tcPr>
          <w:p>
            <w:pPr>
              <w:spacing w:after="0"/>
              <w:rPr>
                <w:sz w:val="20"/>
                <w:szCs w:val="20"/>
                <w:color w:val="auto"/>
              </w:rPr>
            </w:pPr>
            <w:r>
              <w:rPr>
                <w:rFonts w:ascii="Arial" w:cs="Arial" w:eastAsia="Arial" w:hAnsi="Arial"/>
                <w:sz w:val="20"/>
                <w:szCs w:val="20"/>
                <w:color w:val="auto"/>
              </w:rPr>
              <w:t>Other</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11,280</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11,280</w:t>
            </w:r>
          </w:p>
        </w:tc>
        <w:tc>
          <w:tcPr>
            <w:tcW w:w="40" w:type="dxa"/>
            <w:vAlign w:val="bottom"/>
            <w:tcBorders>
              <w:bottom w:val="single" w:sz="8" w:color="auto"/>
            </w:tcBorders>
          </w:tcPr>
          <w:p>
            <w:pPr>
              <w:spacing w:after="0"/>
              <w:rPr>
                <w:sz w:val="20"/>
                <w:szCs w:val="20"/>
                <w:color w:val="auto"/>
              </w:rPr>
            </w:pPr>
          </w:p>
        </w:tc>
      </w:tr>
      <w:tr>
        <w:trPr>
          <w:trHeight w:val="230"/>
        </w:trPr>
        <w:tc>
          <w:tcPr>
            <w:tcW w:w="3120" w:type="dxa"/>
            <w:vAlign w:val="bottom"/>
            <w:gridSpan w:val="3"/>
          </w:tcPr>
          <w:p>
            <w:pPr>
              <w:spacing w:after="0" w:line="220" w:lineRule="exact"/>
              <w:rPr>
                <w:sz w:val="20"/>
                <w:szCs w:val="20"/>
                <w:color w:val="auto"/>
              </w:rPr>
            </w:pPr>
            <w:r>
              <w:rPr>
                <w:rFonts w:ascii="Arial" w:cs="Arial" w:eastAsia="Arial" w:hAnsi="Arial"/>
                <w:sz w:val="20"/>
                <w:szCs w:val="20"/>
                <w:color w:val="auto"/>
              </w:rPr>
              <w:t>Total Net Sales</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1,385,915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291,818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119,953</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69,107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1,866,793</w:t>
            </w:r>
          </w:p>
        </w:tc>
        <w:tc>
          <w:tcPr>
            <w:tcW w:w="40" w:type="dxa"/>
            <w:vAlign w:val="bottom"/>
            <w:tcBorders>
              <w:bottom w:val="single" w:sz="8" w:color="auto"/>
            </w:tcBorders>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Arial" w:cs="Arial" w:eastAsia="Arial" w:hAnsi="Arial"/>
          <w:sz w:val="23"/>
          <w:szCs w:val="23"/>
          <w:i w:val="1"/>
          <w:iCs w:val="1"/>
          <w:color w:val="252525"/>
          <w:vertAlign w:val="superscript"/>
        </w:rPr>
        <w:t>1</w:t>
      </w:r>
      <w:r>
        <w:rPr>
          <w:rFonts w:ascii="Arial" w:cs="Arial" w:eastAsia="Arial" w:hAnsi="Arial"/>
          <w:sz w:val="16"/>
          <w:szCs w:val="16"/>
          <w:i w:val="1"/>
          <w:iCs w:val="1"/>
          <w:color w:val="252525"/>
        </w:rPr>
        <w:t>Europe, Middle East and Africa (“EMEA”)</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52525"/>
        </w:rPr>
        <w:t>Contract Liabilities</w:t>
      </w:r>
    </w:p>
    <w:p>
      <w:pPr>
        <w:spacing w:after="0" w:line="216"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9"/>
          <w:szCs w:val="19"/>
          <w:color w:val="252525"/>
        </w:rPr>
        <w:t>Amounts received from certain bottlers/distributors at inception of their distribution contracts or at the inception of certain sales/marketing programs are accounted for as deferred revenue. As of June 30, 2018, the Company had $364.1 million of deferred revenue, which is included in current and long-term deferred revenue in the Company’s condensed consolidated balance sheet. As of December 31, 2017, the Company had $377.6 million of deferred revenue, which is included in current and long-term deferred revenue in the Company’s condensed consolidated balance sheet. During the three- and six-months ended June 30, 2018, $11.0 million and $22.2 million, respectively, of deferred revenue was recognized in net sales. See Note 10.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jc w:val="center"/>
              <w:ind w:left="83"/>
              <w:spacing w:after="0"/>
              <w:rPr>
                <w:sz w:val="20"/>
                <w:szCs w:val="20"/>
                <w:color w:val="auto"/>
              </w:rPr>
            </w:pPr>
            <w:r>
              <w:rPr>
                <w:rFonts w:ascii="Arial" w:cs="Arial" w:eastAsia="Arial" w:hAnsi="Arial"/>
                <w:sz w:val="15"/>
                <w:szCs w:val="15"/>
                <w:color w:val="auto"/>
                <w:w w:val="92"/>
              </w:rPr>
              <w:t>Continuous</w:t>
            </w:r>
          </w:p>
        </w:tc>
        <w:tc>
          <w:tcPr>
            <w:tcW w:w="1380" w:type="dxa"/>
            <w:vAlign w:val="bottom"/>
          </w:tcPr>
          <w:p>
            <w:pPr>
              <w:jc w:val="center"/>
              <w:spacing w:after="0"/>
              <w:rPr>
                <w:sz w:val="20"/>
                <w:szCs w:val="20"/>
                <w:color w:val="auto"/>
              </w:rPr>
            </w:pPr>
            <w:r>
              <w:rPr>
                <w:rFonts w:ascii="Arial" w:cs="Arial" w:eastAsia="Arial" w:hAnsi="Arial"/>
                <w:sz w:val="15"/>
                <w:szCs w:val="15"/>
                <w:color w:val="auto"/>
                <w:w w:val="92"/>
              </w:rPr>
              <w:t>Continuous</w:t>
            </w:r>
          </w:p>
        </w:tc>
      </w:tr>
      <w:tr>
        <w:trPr>
          <w:trHeight w:val="162"/>
        </w:trPr>
        <w:tc>
          <w:tcPr>
            <w:tcW w:w="2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5"/>
                <w:szCs w:val="15"/>
                <w:color w:val="auto"/>
                <w:w w:val="84"/>
              </w:rPr>
              <w:t>Gross</w:t>
            </w:r>
          </w:p>
        </w:tc>
        <w:tc>
          <w:tcPr>
            <w:tcW w:w="1440" w:type="dxa"/>
            <w:vAlign w:val="bottom"/>
          </w:tcPr>
          <w:p>
            <w:pPr>
              <w:jc w:val="center"/>
              <w:ind w:right="3"/>
              <w:spacing w:after="0" w:line="162" w:lineRule="exact"/>
              <w:rPr>
                <w:sz w:val="20"/>
                <w:szCs w:val="20"/>
                <w:color w:val="auto"/>
              </w:rPr>
            </w:pPr>
            <w:r>
              <w:rPr>
                <w:rFonts w:ascii="Arial" w:cs="Arial" w:eastAsia="Arial" w:hAnsi="Arial"/>
                <w:sz w:val="15"/>
                <w:szCs w:val="15"/>
                <w:color w:val="auto"/>
                <w:w w:val="89"/>
              </w:rPr>
              <w:t>Gross</w:t>
            </w:r>
          </w:p>
        </w:tc>
        <w:tc>
          <w:tcPr>
            <w:tcW w:w="1140" w:type="dxa"/>
            <w:vAlign w:val="bottom"/>
          </w:tcPr>
          <w:p>
            <w:pPr>
              <w:spacing w:after="0"/>
              <w:rPr>
                <w:sz w:val="14"/>
                <w:szCs w:val="14"/>
                <w:color w:val="auto"/>
              </w:rPr>
            </w:pPr>
          </w:p>
        </w:tc>
        <w:tc>
          <w:tcPr>
            <w:tcW w:w="142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4"/>
              </w:rPr>
              <w:t>Unrealized</w:t>
            </w: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w w:val="94"/>
              </w:rPr>
              <w:t>Unrealized</w:t>
            </w:r>
          </w:p>
        </w:tc>
      </w:tr>
      <w:tr>
        <w:trPr>
          <w:trHeight w:val="162"/>
        </w:trPr>
        <w:tc>
          <w:tcPr>
            <w:tcW w:w="2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5"/>
                <w:szCs w:val="15"/>
                <w:color w:val="auto"/>
                <w:w w:val="91"/>
              </w:rPr>
              <w:t>Unrealized</w:t>
            </w:r>
          </w:p>
        </w:tc>
        <w:tc>
          <w:tcPr>
            <w:tcW w:w="1440" w:type="dxa"/>
            <w:vAlign w:val="bottom"/>
          </w:tcPr>
          <w:p>
            <w:pPr>
              <w:jc w:val="center"/>
              <w:spacing w:after="0" w:line="162" w:lineRule="exact"/>
              <w:rPr>
                <w:sz w:val="20"/>
                <w:szCs w:val="20"/>
                <w:color w:val="auto"/>
              </w:rPr>
            </w:pPr>
            <w:r>
              <w:rPr>
                <w:rFonts w:ascii="Arial" w:cs="Arial" w:eastAsia="Arial" w:hAnsi="Arial"/>
                <w:sz w:val="15"/>
                <w:szCs w:val="15"/>
                <w:color w:val="auto"/>
                <w:w w:val="91"/>
              </w:rPr>
              <w:t>Unrealized</w:t>
            </w:r>
          </w:p>
        </w:tc>
        <w:tc>
          <w:tcPr>
            <w:tcW w:w="1140" w:type="dxa"/>
            <w:vAlign w:val="bottom"/>
          </w:tcPr>
          <w:p>
            <w:pPr>
              <w:spacing w:after="0"/>
              <w:rPr>
                <w:sz w:val="14"/>
                <w:szCs w:val="14"/>
                <w:color w:val="auto"/>
              </w:rPr>
            </w:pPr>
          </w:p>
        </w:tc>
        <w:tc>
          <w:tcPr>
            <w:tcW w:w="142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1"/>
              </w:rPr>
              <w:t>Loss Position</w:t>
            </w: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w w:val="91"/>
              </w:rPr>
              <w:t>Loss Position</w:t>
            </w:r>
          </w:p>
        </w:tc>
      </w:tr>
      <w:tr>
        <w:trPr>
          <w:trHeight w:val="162"/>
        </w:trPr>
        <w:tc>
          <w:tcPr>
            <w:tcW w:w="2240" w:type="dxa"/>
            <w:vAlign w:val="bottom"/>
          </w:tcPr>
          <w:p>
            <w:pPr>
              <w:spacing w:after="0"/>
              <w:rPr>
                <w:sz w:val="14"/>
                <w:szCs w:val="14"/>
                <w:color w:val="auto"/>
              </w:rPr>
            </w:pPr>
          </w:p>
        </w:tc>
        <w:tc>
          <w:tcPr>
            <w:tcW w:w="2400" w:type="dxa"/>
            <w:vAlign w:val="bottom"/>
          </w:tcPr>
          <w:p>
            <w:pPr>
              <w:jc w:val="center"/>
              <w:ind w:left="903"/>
              <w:spacing w:after="0" w:line="162" w:lineRule="exact"/>
              <w:rPr>
                <w:sz w:val="20"/>
                <w:szCs w:val="20"/>
                <w:color w:val="auto"/>
              </w:rPr>
            </w:pPr>
            <w:r>
              <w:rPr>
                <w:rFonts w:ascii="Arial" w:cs="Arial" w:eastAsia="Arial" w:hAnsi="Arial"/>
                <w:sz w:val="15"/>
                <w:szCs w:val="15"/>
                <w:color w:val="auto"/>
                <w:w w:val="97"/>
              </w:rPr>
              <w:t>Amortized</w:t>
            </w:r>
          </w:p>
        </w:tc>
        <w:tc>
          <w:tcPr>
            <w:tcW w:w="1400" w:type="dxa"/>
            <w:vAlign w:val="bottom"/>
          </w:tcPr>
          <w:p>
            <w:pPr>
              <w:jc w:val="center"/>
              <w:spacing w:after="0" w:line="162" w:lineRule="exact"/>
              <w:rPr>
                <w:sz w:val="20"/>
                <w:szCs w:val="20"/>
                <w:color w:val="auto"/>
              </w:rPr>
            </w:pPr>
            <w:r>
              <w:rPr>
                <w:rFonts w:ascii="Arial" w:cs="Arial" w:eastAsia="Arial" w:hAnsi="Arial"/>
                <w:sz w:val="15"/>
                <w:szCs w:val="15"/>
                <w:color w:val="auto"/>
                <w:w w:val="98"/>
              </w:rPr>
              <w:t>Holding</w:t>
            </w:r>
          </w:p>
        </w:tc>
        <w:tc>
          <w:tcPr>
            <w:tcW w:w="1440" w:type="dxa"/>
            <w:vAlign w:val="bottom"/>
          </w:tcPr>
          <w:p>
            <w:pPr>
              <w:jc w:val="center"/>
              <w:spacing w:after="0" w:line="162" w:lineRule="exact"/>
              <w:rPr>
                <w:sz w:val="20"/>
                <w:szCs w:val="20"/>
                <w:color w:val="auto"/>
              </w:rPr>
            </w:pPr>
            <w:r>
              <w:rPr>
                <w:rFonts w:ascii="Arial" w:cs="Arial" w:eastAsia="Arial" w:hAnsi="Arial"/>
                <w:sz w:val="15"/>
                <w:szCs w:val="15"/>
                <w:color w:val="auto"/>
                <w:w w:val="98"/>
              </w:rPr>
              <w:t>Holding</w:t>
            </w:r>
          </w:p>
        </w:tc>
        <w:tc>
          <w:tcPr>
            <w:tcW w:w="1140" w:type="dxa"/>
            <w:vAlign w:val="bottom"/>
          </w:tcPr>
          <w:p>
            <w:pPr>
              <w:jc w:val="center"/>
              <w:spacing w:after="0" w:line="162" w:lineRule="exact"/>
              <w:rPr>
                <w:sz w:val="20"/>
                <w:szCs w:val="20"/>
                <w:color w:val="auto"/>
              </w:rPr>
            </w:pPr>
            <w:r>
              <w:rPr>
                <w:rFonts w:ascii="Arial" w:cs="Arial" w:eastAsia="Arial" w:hAnsi="Arial"/>
                <w:sz w:val="15"/>
                <w:szCs w:val="15"/>
                <w:color w:val="auto"/>
                <w:w w:val="92"/>
              </w:rPr>
              <w:t>Fair</w:t>
            </w:r>
          </w:p>
        </w:tc>
        <w:tc>
          <w:tcPr>
            <w:tcW w:w="142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88"/>
              </w:rPr>
              <w:t>less than 12</w:t>
            </w:r>
          </w:p>
        </w:tc>
        <w:tc>
          <w:tcPr>
            <w:tcW w:w="1380" w:type="dxa"/>
            <w:vAlign w:val="bottom"/>
          </w:tcPr>
          <w:p>
            <w:pPr>
              <w:jc w:val="center"/>
              <w:spacing w:after="0" w:line="162" w:lineRule="exact"/>
              <w:rPr>
                <w:sz w:val="20"/>
                <w:szCs w:val="20"/>
                <w:color w:val="auto"/>
              </w:rPr>
            </w:pPr>
            <w:r>
              <w:rPr>
                <w:rFonts w:ascii="Arial" w:cs="Arial" w:eastAsia="Arial" w:hAnsi="Arial"/>
                <w:sz w:val="15"/>
                <w:szCs w:val="15"/>
                <w:color w:val="auto"/>
                <w:w w:val="90"/>
              </w:rPr>
              <w:t>greater than 12</w:t>
            </w:r>
          </w:p>
        </w:tc>
      </w:tr>
      <w:tr>
        <w:trPr>
          <w:trHeight w:val="182"/>
        </w:trPr>
        <w:tc>
          <w:tcPr>
            <w:tcW w:w="2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June 30, 2018</w:t>
            </w:r>
          </w:p>
        </w:tc>
        <w:tc>
          <w:tcPr>
            <w:tcW w:w="2400" w:type="dxa"/>
            <w:vAlign w:val="bottom"/>
            <w:tcBorders>
              <w:bottom w:val="single" w:sz="8" w:color="auto"/>
            </w:tcBorders>
          </w:tcPr>
          <w:p>
            <w:pPr>
              <w:jc w:val="center"/>
              <w:ind w:left="923"/>
              <w:spacing w:after="0"/>
              <w:rPr>
                <w:sz w:val="20"/>
                <w:szCs w:val="20"/>
                <w:color w:val="auto"/>
              </w:rPr>
            </w:pPr>
            <w:r>
              <w:rPr>
                <w:rFonts w:ascii="Arial" w:cs="Arial" w:eastAsia="Arial" w:hAnsi="Arial"/>
                <w:sz w:val="15"/>
                <w:szCs w:val="15"/>
                <w:color w:val="auto"/>
                <w:w w:val="90"/>
              </w:rPr>
              <w:t>Cost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6"/>
              </w:rPr>
              <w:t>Gains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Losses</w:t>
            </w:r>
          </w:p>
        </w:tc>
        <w:tc>
          <w:tcPr>
            <w:tcW w:w="1140" w:type="dxa"/>
            <w:vAlign w:val="bottom"/>
            <w:tcBorders>
              <w:bottom w:val="single" w:sz="8" w:color="auto"/>
            </w:tcBorders>
          </w:tcPr>
          <w:p>
            <w:pPr>
              <w:jc w:val="center"/>
              <w:ind w:left="3"/>
              <w:spacing w:after="0"/>
              <w:rPr>
                <w:sz w:val="20"/>
                <w:szCs w:val="20"/>
                <w:color w:val="auto"/>
              </w:rPr>
            </w:pPr>
            <w:r>
              <w:rPr>
                <w:rFonts w:ascii="Arial" w:cs="Arial" w:eastAsia="Arial" w:hAnsi="Arial"/>
                <w:sz w:val="15"/>
                <w:szCs w:val="15"/>
                <w:color w:val="auto"/>
                <w:w w:val="88"/>
              </w:rPr>
              <w:t>Value</w:t>
            </w:r>
          </w:p>
        </w:tc>
        <w:tc>
          <w:tcPr>
            <w:tcW w:w="142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color w:val="auto"/>
                <w:w w:val="93"/>
              </w:rPr>
              <w:t>Months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Months</w:t>
            </w:r>
          </w:p>
        </w:tc>
      </w:tr>
    </w:tbl>
    <w:p>
      <w:pPr>
        <w:sectPr>
          <w:pgSz w:w="11900" w:h="16843" w:orient="portrait"/>
          <w:cols w:equalWidth="0" w:num="1">
            <w:col w:w="11420"/>
          </w:cols>
          <w:pgMar w:left="240" w:top="118" w:right="23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20"/>
                <w:szCs w:val="20"/>
                <w:color w:val="auto"/>
              </w:rPr>
            </w:pPr>
            <w:r>
              <w:rPr>
                <w:rFonts w:ascii="Arial" w:cs="Arial" w:eastAsia="Arial" w:hAnsi="Arial"/>
                <w:sz w:val="15"/>
                <w:szCs w:val="15"/>
                <w:b w:val="1"/>
                <w:bCs w:val="1"/>
                <w:color w:val="auto"/>
              </w:rPr>
              <w:t>Available-for-sale</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320" w:type="dxa"/>
            <w:vAlign w:val="bottom"/>
          </w:tcPr>
          <w:p>
            <w:pPr>
              <w:ind w:left="200"/>
              <w:spacing w:after="0" w:line="162" w:lineRule="exact"/>
              <w:rPr>
                <w:sz w:val="20"/>
                <w:szCs w:val="20"/>
                <w:color w:val="auto"/>
              </w:rPr>
            </w:pPr>
            <w:r>
              <w:rPr>
                <w:rFonts w:ascii="Arial" w:cs="Arial" w:eastAsia="Arial" w:hAnsi="Arial"/>
                <w:sz w:val="15"/>
                <w:szCs w:val="15"/>
                <w:color w:val="auto"/>
              </w:rPr>
              <w:t>Commercial paper</w:t>
            </w: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15,177</w:t>
            </w:r>
          </w:p>
        </w:tc>
        <w:tc>
          <w:tcPr>
            <w:tcW w:w="240" w:type="dxa"/>
            <w:vAlign w:val="bottom"/>
          </w:tcPr>
          <w:p>
            <w:pPr>
              <w:spacing w:after="0"/>
              <w:rPr>
                <w:sz w:val="14"/>
                <w:szCs w:val="14"/>
                <w:color w:val="auto"/>
              </w:rPr>
            </w:pPr>
          </w:p>
        </w:tc>
        <w:tc>
          <w:tcPr>
            <w:tcW w:w="940" w:type="dxa"/>
            <w:vAlign w:val="bottom"/>
          </w:tcPr>
          <w:p>
            <w:pPr>
              <w:jc w:val="right"/>
              <w:ind w:right="683"/>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15,177</w:t>
            </w:r>
          </w:p>
        </w:tc>
        <w:tc>
          <w:tcPr>
            <w:tcW w:w="2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80" w:type="dxa"/>
            <w:vAlign w:val="bottom"/>
          </w:tcPr>
          <w:p>
            <w:pPr>
              <w:ind w:left="12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3320" w:type="dxa"/>
            <w:vAlign w:val="bottom"/>
          </w:tcPr>
          <w:p>
            <w:pPr>
              <w:ind w:left="200"/>
              <w:spacing w:after="0" w:line="162" w:lineRule="exact"/>
              <w:rPr>
                <w:sz w:val="20"/>
                <w:szCs w:val="20"/>
                <w:color w:val="auto"/>
              </w:rPr>
            </w:pPr>
            <w:r>
              <w:rPr>
                <w:rFonts w:ascii="Arial" w:cs="Arial" w:eastAsia="Arial" w:hAnsi="Arial"/>
                <w:sz w:val="15"/>
                <w:szCs w:val="15"/>
                <w:color w:val="auto"/>
              </w:rPr>
              <w:t>Municipal securities</w:t>
            </w:r>
          </w:p>
        </w:tc>
        <w:tc>
          <w:tcPr>
            <w:tcW w:w="240" w:type="dxa"/>
            <w:vAlign w:val="bottom"/>
          </w:tcPr>
          <w:p>
            <w:pPr>
              <w:spacing w:after="0"/>
              <w:rPr>
                <w:sz w:val="14"/>
                <w:szCs w:val="14"/>
                <w:color w:val="auto"/>
              </w:rPr>
            </w:pP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149,048</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ind w:right="3"/>
              <w:spacing w:after="0" w:line="162" w:lineRule="exact"/>
              <w:rPr>
                <w:sz w:val="20"/>
                <w:szCs w:val="20"/>
                <w:color w:val="auto"/>
              </w:rPr>
            </w:pPr>
            <w:r>
              <w:rPr>
                <w:rFonts w:ascii="Arial" w:cs="Arial" w:eastAsia="Arial" w:hAnsi="Arial"/>
                <w:sz w:val="15"/>
                <w:szCs w:val="15"/>
                <w:color w:val="auto"/>
              </w:rPr>
              <w:t>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148,997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56</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3320" w:type="dxa"/>
            <w:vAlign w:val="bottom"/>
          </w:tcPr>
          <w:p>
            <w:pPr>
              <w:ind w:left="200"/>
              <w:spacing w:after="0" w:line="162" w:lineRule="exact"/>
              <w:rPr>
                <w:sz w:val="20"/>
                <w:szCs w:val="20"/>
                <w:color w:val="auto"/>
              </w:rPr>
            </w:pPr>
            <w:r>
              <w:rPr>
                <w:rFonts w:ascii="Arial" w:cs="Arial" w:eastAsia="Arial" w:hAnsi="Arial"/>
                <w:sz w:val="15"/>
                <w:szCs w:val="15"/>
                <w:color w:val="auto"/>
              </w:rPr>
              <w:t>U.S. government agency securities</w:t>
            </w:r>
          </w:p>
        </w:tc>
        <w:tc>
          <w:tcPr>
            <w:tcW w:w="240" w:type="dxa"/>
            <w:vAlign w:val="bottom"/>
          </w:tcPr>
          <w:p>
            <w:pPr>
              <w:spacing w:after="0"/>
              <w:rPr>
                <w:sz w:val="14"/>
                <w:szCs w:val="14"/>
                <w:color w:val="auto"/>
              </w:rPr>
            </w:pP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46,982</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63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46,919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63</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9"/>
        </w:trPr>
        <w:tc>
          <w:tcPr>
            <w:tcW w:w="3320" w:type="dxa"/>
            <w:vAlign w:val="bottom"/>
          </w:tcPr>
          <w:p>
            <w:pPr>
              <w:ind w:left="200"/>
              <w:spacing w:after="0" w:line="162" w:lineRule="exact"/>
              <w:rPr>
                <w:sz w:val="20"/>
                <w:szCs w:val="20"/>
                <w:color w:val="auto"/>
              </w:rPr>
            </w:pPr>
            <w:r>
              <w:rPr>
                <w:rFonts w:ascii="Arial" w:cs="Arial" w:eastAsia="Arial" w:hAnsi="Arial"/>
                <w:sz w:val="15"/>
                <w:szCs w:val="15"/>
                <w:color w:val="auto"/>
              </w:rPr>
              <w:t>Variable rate demand notes</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332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211,207</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683"/>
              <w:spacing w:after="0" w:line="16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5</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119</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211,093</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119</w:t>
            </w:r>
          </w:p>
        </w:tc>
        <w:tc>
          <w:tcPr>
            <w:tcW w:w="160" w:type="dxa"/>
            <w:vAlign w:val="bottom"/>
          </w:tcPr>
          <w:p>
            <w:pPr>
              <w:spacing w:after="0"/>
              <w:rPr>
                <w:sz w:val="14"/>
                <w:szCs w:val="14"/>
                <w:color w:val="auto"/>
              </w:rPr>
            </w:pPr>
          </w:p>
        </w:tc>
        <w:tc>
          <w:tcPr>
            <w:tcW w:w="108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345"/>
        </w:trPr>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5"/>
                <w:szCs w:val="15"/>
                <w:color w:val="auto"/>
                <w:w w:val="92"/>
              </w:rPr>
              <w:t>Continuous</w:t>
            </w:r>
          </w:p>
        </w:tc>
        <w:tc>
          <w:tcPr>
            <w:tcW w:w="1080" w:type="dxa"/>
            <w:vAlign w:val="bottom"/>
          </w:tcPr>
          <w:p>
            <w:pPr>
              <w:jc w:val="center"/>
              <w:ind w:left="23"/>
              <w:spacing w:after="0"/>
              <w:rPr>
                <w:sz w:val="20"/>
                <w:szCs w:val="20"/>
                <w:color w:val="auto"/>
              </w:rPr>
            </w:pPr>
            <w:r>
              <w:rPr>
                <w:rFonts w:ascii="Arial" w:cs="Arial" w:eastAsia="Arial" w:hAnsi="Arial"/>
                <w:sz w:val="15"/>
                <w:szCs w:val="15"/>
                <w:color w:val="auto"/>
                <w:w w:val="92"/>
              </w:rPr>
              <w:t>Continuous</w:t>
            </w:r>
          </w:p>
        </w:tc>
        <w:tc>
          <w:tcPr>
            <w:tcW w:w="200" w:type="dxa"/>
            <w:vAlign w:val="bottom"/>
          </w:tcPr>
          <w:p>
            <w:pPr>
              <w:spacing w:after="0"/>
              <w:rPr>
                <w:sz w:val="24"/>
                <w:szCs w:val="24"/>
                <w:color w:val="auto"/>
              </w:rPr>
            </w:pPr>
          </w:p>
        </w:tc>
      </w:t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123"/>
              <w:spacing w:after="0" w:line="162" w:lineRule="exact"/>
              <w:rPr>
                <w:sz w:val="20"/>
                <w:szCs w:val="20"/>
                <w:color w:val="auto"/>
              </w:rPr>
            </w:pPr>
            <w:r>
              <w:rPr>
                <w:rFonts w:ascii="Arial" w:cs="Arial" w:eastAsia="Arial" w:hAnsi="Arial"/>
                <w:sz w:val="15"/>
                <w:szCs w:val="15"/>
                <w:color w:val="auto"/>
                <w:w w:val="84"/>
              </w:rPr>
              <w:t>Gross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94"/>
              </w:rPr>
              <w:t>Unrealized</w:t>
            </w:r>
          </w:p>
        </w:tc>
        <w:tc>
          <w:tcPr>
            <w:tcW w:w="1080" w:type="dxa"/>
            <w:vAlign w:val="bottom"/>
          </w:tcPr>
          <w:p>
            <w:pPr>
              <w:jc w:val="center"/>
              <w:ind w:left="3"/>
              <w:spacing w:after="0" w:line="162" w:lineRule="exact"/>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123"/>
              <w:spacing w:after="0" w:line="162" w:lineRule="exact"/>
              <w:rPr>
                <w:sz w:val="20"/>
                <w:szCs w:val="20"/>
                <w:color w:val="auto"/>
              </w:rPr>
            </w:pPr>
            <w:r>
              <w:rPr>
                <w:rFonts w:ascii="Arial" w:cs="Arial" w:eastAsia="Arial" w:hAnsi="Arial"/>
                <w:sz w:val="15"/>
                <w:szCs w:val="15"/>
                <w:color w:val="auto"/>
                <w:w w:val="91"/>
              </w:rPr>
              <w:t>Unrealized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center"/>
              <w:ind w:right="180"/>
              <w:spacing w:after="0" w:line="162" w:lineRule="exact"/>
              <w:rPr>
                <w:sz w:val="20"/>
                <w:szCs w:val="20"/>
                <w:color w:val="auto"/>
              </w:rPr>
            </w:pPr>
            <w:r>
              <w:rPr>
                <w:rFonts w:ascii="Arial" w:cs="Arial" w:eastAsia="Arial" w:hAnsi="Arial"/>
                <w:sz w:val="15"/>
                <w:szCs w:val="15"/>
                <w:color w:val="auto"/>
                <w:w w:val="91"/>
              </w:rPr>
              <w:t>Loss Position</w:t>
            </w:r>
          </w:p>
        </w:tc>
        <w:tc>
          <w:tcPr>
            <w:tcW w:w="1080" w:type="dxa"/>
            <w:vAlign w:val="bottom"/>
          </w:tcPr>
          <w:p>
            <w:pPr>
              <w:jc w:val="center"/>
              <w:ind w:left="23"/>
              <w:spacing w:after="0" w:line="162" w:lineRule="exact"/>
              <w:rPr>
                <w:sz w:val="20"/>
                <w:szCs w:val="20"/>
                <w:color w:val="auto"/>
              </w:rPr>
            </w:pPr>
            <w:r>
              <w:rPr>
                <w:rFonts w:ascii="Arial" w:cs="Arial" w:eastAsia="Arial" w:hAnsi="Arial"/>
                <w:sz w:val="15"/>
                <w:szCs w:val="15"/>
                <w:color w:val="auto"/>
                <w:w w:val="91"/>
              </w:rPr>
              <w:t>Loss Position</w:t>
            </w:r>
          </w:p>
        </w:tc>
        <w:tc>
          <w:tcPr>
            <w:tcW w:w="20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w w:val="97"/>
              </w:rPr>
              <w:t>Amortized</w:t>
            </w:r>
          </w:p>
        </w:tc>
        <w:tc>
          <w:tcPr>
            <w:tcW w:w="940" w:type="dxa"/>
            <w:vAlign w:val="bottom"/>
          </w:tcPr>
          <w:p>
            <w:pPr>
              <w:jc w:val="center"/>
              <w:ind w:left="123"/>
              <w:spacing w:after="0" w:line="162" w:lineRule="exact"/>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1040" w:type="dxa"/>
            <w:vAlign w:val="bottom"/>
            <w:gridSpan w:val="2"/>
          </w:tcPr>
          <w:p>
            <w:pPr>
              <w:jc w:val="center"/>
              <w:ind w:right="520"/>
              <w:spacing w:after="0" w:line="162" w:lineRule="exact"/>
              <w:rPr>
                <w:sz w:val="20"/>
                <w:szCs w:val="20"/>
                <w:color w:val="auto"/>
              </w:rPr>
            </w:pPr>
            <w:r>
              <w:rPr>
                <w:rFonts w:ascii="Arial" w:cs="Arial" w:eastAsia="Arial" w:hAnsi="Arial"/>
                <w:sz w:val="15"/>
                <w:szCs w:val="15"/>
                <w:color w:val="auto"/>
                <w:w w:val="92"/>
              </w:rPr>
              <w:t>Fair</w:t>
            </w:r>
          </w:p>
        </w:tc>
        <w:tc>
          <w:tcPr>
            <w:tcW w:w="180" w:type="dxa"/>
            <w:vAlign w:val="bottom"/>
          </w:tcPr>
          <w:p>
            <w:pPr>
              <w:spacing w:after="0"/>
              <w:rPr>
                <w:sz w:val="14"/>
                <w:szCs w:val="14"/>
                <w:color w:val="auto"/>
              </w:rPr>
            </w:pPr>
          </w:p>
        </w:tc>
        <w:tc>
          <w:tcPr>
            <w:tcW w:w="110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88"/>
              </w:rPr>
              <w:t>less than 12</w:t>
            </w:r>
          </w:p>
        </w:tc>
        <w:tc>
          <w:tcPr>
            <w:tcW w:w="1080" w:type="dxa"/>
            <w:vAlign w:val="bottom"/>
          </w:tcPr>
          <w:p>
            <w:pPr>
              <w:ind w:left="120"/>
              <w:spacing w:after="0" w:line="162" w:lineRule="exact"/>
              <w:rPr>
                <w:sz w:val="20"/>
                <w:szCs w:val="20"/>
                <w:color w:val="auto"/>
              </w:rPr>
            </w:pPr>
            <w:r>
              <w:rPr>
                <w:rFonts w:ascii="Arial" w:cs="Arial" w:eastAsia="Arial" w:hAnsi="Arial"/>
                <w:sz w:val="15"/>
                <w:szCs w:val="15"/>
                <w:color w:val="auto"/>
                <w:w w:val="92"/>
              </w:rPr>
              <w:t>greater than 12</w:t>
            </w:r>
          </w:p>
        </w:tc>
        <w:tc>
          <w:tcPr>
            <w:tcW w:w="200" w:type="dxa"/>
            <w:vAlign w:val="bottom"/>
          </w:tcPr>
          <w:p>
            <w:pPr>
              <w:spacing w:after="0"/>
              <w:rPr>
                <w:sz w:val="14"/>
                <w:szCs w:val="14"/>
                <w:color w:val="auto"/>
              </w:rPr>
            </w:pPr>
          </w:p>
        </w:tc>
      </w:tr>
      <w:tr>
        <w:trPr>
          <w:trHeight w:val="182"/>
        </w:trPr>
        <w:tc>
          <w:tcPr>
            <w:tcW w:w="3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2017</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90"/>
              </w:rPr>
              <w:t>Cost</w:t>
            </w:r>
          </w:p>
        </w:tc>
        <w:tc>
          <w:tcPr>
            <w:tcW w:w="940" w:type="dxa"/>
            <w:vAlign w:val="bottom"/>
            <w:tcBorders>
              <w:bottom w:val="single" w:sz="8" w:color="auto"/>
            </w:tcBorders>
          </w:tcPr>
          <w:p>
            <w:pPr>
              <w:jc w:val="center"/>
              <w:ind w:left="123"/>
              <w:spacing w:after="0"/>
              <w:rPr>
                <w:sz w:val="20"/>
                <w:szCs w:val="20"/>
                <w:color w:val="auto"/>
              </w:rPr>
            </w:pPr>
            <w:r>
              <w:rPr>
                <w:rFonts w:ascii="Arial" w:cs="Arial" w:eastAsia="Arial" w:hAnsi="Arial"/>
                <w:sz w:val="15"/>
                <w:szCs w:val="15"/>
                <w:color w:val="auto"/>
                <w:w w:val="86"/>
              </w:rPr>
              <w:t>Gains</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5"/>
                <w:szCs w:val="15"/>
                <w:color w:val="auto"/>
                <w:w w:val="88"/>
              </w:rPr>
              <w:t>Value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5"/>
                <w:szCs w:val="15"/>
                <w:color w:val="auto"/>
                <w:w w:val="93"/>
              </w:rPr>
              <w:t>Months</w:t>
            </w:r>
          </w:p>
        </w:tc>
        <w:tc>
          <w:tcPr>
            <w:tcW w:w="108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color w:val="auto"/>
                <w:w w:val="93"/>
              </w:rPr>
              <w:t>Months</w:t>
            </w:r>
          </w:p>
        </w:tc>
        <w:tc>
          <w:tcPr>
            <w:tcW w:w="200" w:type="dxa"/>
            <w:vAlign w:val="bottom"/>
            <w:tcBorders>
              <w:bottom w:val="single" w:sz="8" w:color="auto"/>
            </w:tcBorders>
          </w:tcPr>
          <w:p>
            <w:pPr>
              <w:spacing w:after="0"/>
              <w:rPr>
                <w:sz w:val="15"/>
                <w:szCs w:val="15"/>
                <w:color w:val="auto"/>
              </w:rPr>
            </w:pPr>
          </w:p>
        </w:tc>
      </w:tr>
      <w:tr>
        <w:trPr>
          <w:trHeight w:val="149"/>
        </w:trPr>
        <w:tc>
          <w:tcPr>
            <w:tcW w:w="3320" w:type="dxa"/>
            <w:vAlign w:val="bottom"/>
          </w:tcPr>
          <w:p>
            <w:pPr>
              <w:spacing w:after="0" w:line="149" w:lineRule="exact"/>
              <w:rPr>
                <w:sz w:val="20"/>
                <w:szCs w:val="20"/>
                <w:color w:val="auto"/>
              </w:rPr>
            </w:pPr>
            <w:r>
              <w:rPr>
                <w:rFonts w:ascii="Arial" w:cs="Arial" w:eastAsia="Arial" w:hAnsi="Arial"/>
                <w:sz w:val="15"/>
                <w:szCs w:val="15"/>
                <w:b w:val="1"/>
                <w:bCs w:val="1"/>
                <w:color w:val="auto"/>
              </w:rPr>
              <w:t>Available-for-sale</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320" w:type="dxa"/>
            <w:vAlign w:val="bottom"/>
          </w:tcPr>
          <w:p>
            <w:pPr>
              <w:ind w:left="200"/>
              <w:spacing w:after="0" w:line="162" w:lineRule="exact"/>
              <w:rPr>
                <w:sz w:val="20"/>
                <w:szCs w:val="20"/>
                <w:color w:val="auto"/>
              </w:rPr>
            </w:pPr>
            <w:r>
              <w:rPr>
                <w:rFonts w:ascii="Arial" w:cs="Arial" w:eastAsia="Arial" w:hAnsi="Arial"/>
                <w:sz w:val="15"/>
                <w:szCs w:val="15"/>
                <w:color w:val="auto"/>
              </w:rPr>
              <w:t>Commercial paper</w:t>
            </w: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81,026</w:t>
            </w:r>
          </w:p>
        </w:tc>
        <w:tc>
          <w:tcPr>
            <w:tcW w:w="240" w:type="dxa"/>
            <w:vAlign w:val="bottom"/>
          </w:tcPr>
          <w:p>
            <w:pPr>
              <w:spacing w:after="0"/>
              <w:rPr>
                <w:sz w:val="14"/>
                <w:szCs w:val="14"/>
                <w:color w:val="auto"/>
              </w:rPr>
            </w:pPr>
          </w:p>
        </w:tc>
        <w:tc>
          <w:tcPr>
            <w:tcW w:w="940" w:type="dxa"/>
            <w:vAlign w:val="bottom"/>
          </w:tcPr>
          <w:p>
            <w:pPr>
              <w:jc w:val="right"/>
              <w:ind w:right="683"/>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81,026</w:t>
            </w:r>
          </w:p>
        </w:tc>
        <w:tc>
          <w:tcPr>
            <w:tcW w:w="2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80" w:type="dxa"/>
            <w:vAlign w:val="bottom"/>
          </w:tcPr>
          <w:p>
            <w:pPr>
              <w:ind w:left="12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3320" w:type="dxa"/>
            <w:vAlign w:val="bottom"/>
          </w:tcPr>
          <w:p>
            <w:pPr>
              <w:ind w:left="200"/>
              <w:spacing w:after="0" w:line="162" w:lineRule="exact"/>
              <w:rPr>
                <w:sz w:val="20"/>
                <w:szCs w:val="20"/>
                <w:color w:val="auto"/>
              </w:rPr>
            </w:pPr>
            <w:r>
              <w:rPr>
                <w:rFonts w:ascii="Arial" w:cs="Arial" w:eastAsia="Arial" w:hAnsi="Arial"/>
                <w:sz w:val="15"/>
                <w:szCs w:val="15"/>
                <w:color w:val="auto"/>
              </w:rPr>
              <w:t>Certificates of deposit</w:t>
            </w:r>
          </w:p>
        </w:tc>
        <w:tc>
          <w:tcPr>
            <w:tcW w:w="240" w:type="dxa"/>
            <w:vAlign w:val="bottom"/>
          </w:tcPr>
          <w:p>
            <w:pPr>
              <w:spacing w:after="0"/>
              <w:rPr>
                <w:sz w:val="14"/>
                <w:szCs w:val="14"/>
                <w:color w:val="auto"/>
              </w:rPr>
            </w:pP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11,869</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11,869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3320" w:type="dxa"/>
            <w:vAlign w:val="bottom"/>
          </w:tcPr>
          <w:p>
            <w:pPr>
              <w:ind w:left="200"/>
              <w:spacing w:after="0" w:line="162" w:lineRule="exact"/>
              <w:rPr>
                <w:sz w:val="20"/>
                <w:szCs w:val="20"/>
                <w:color w:val="auto"/>
              </w:rPr>
            </w:pPr>
            <w:r>
              <w:rPr>
                <w:rFonts w:ascii="Arial" w:cs="Arial" w:eastAsia="Arial" w:hAnsi="Arial"/>
                <w:sz w:val="15"/>
                <w:szCs w:val="15"/>
                <w:color w:val="auto"/>
              </w:rPr>
              <w:t>Municipal securities</w:t>
            </w:r>
          </w:p>
        </w:tc>
        <w:tc>
          <w:tcPr>
            <w:tcW w:w="240" w:type="dxa"/>
            <w:vAlign w:val="bottom"/>
          </w:tcPr>
          <w:p>
            <w:pPr>
              <w:spacing w:after="0"/>
              <w:rPr>
                <w:sz w:val="14"/>
                <w:szCs w:val="14"/>
                <w:color w:val="auto"/>
              </w:rPr>
            </w:pP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469,604</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ind w:right="3"/>
              <w:spacing w:after="0" w:line="162" w:lineRule="exact"/>
              <w:rPr>
                <w:sz w:val="20"/>
                <w:szCs w:val="20"/>
                <w:color w:val="auto"/>
              </w:rPr>
            </w:pPr>
            <w:r>
              <w:rPr>
                <w:rFonts w:ascii="Arial" w:cs="Arial" w:eastAsia="Arial" w:hAnsi="Arial"/>
                <w:sz w:val="15"/>
                <w:szCs w:val="15"/>
                <w:color w:val="auto"/>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740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468,865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740</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3320" w:type="dxa"/>
            <w:vAlign w:val="bottom"/>
          </w:tcPr>
          <w:p>
            <w:pPr>
              <w:ind w:left="200"/>
              <w:spacing w:after="0" w:line="162" w:lineRule="exact"/>
              <w:rPr>
                <w:sz w:val="20"/>
                <w:szCs w:val="20"/>
                <w:color w:val="auto"/>
              </w:rPr>
            </w:pPr>
            <w:r>
              <w:rPr>
                <w:rFonts w:ascii="Arial" w:cs="Arial" w:eastAsia="Arial" w:hAnsi="Arial"/>
                <w:sz w:val="15"/>
                <w:szCs w:val="15"/>
                <w:color w:val="auto"/>
              </w:rPr>
              <w:t>U.S. government agency securities</w:t>
            </w:r>
          </w:p>
        </w:tc>
        <w:tc>
          <w:tcPr>
            <w:tcW w:w="240" w:type="dxa"/>
            <w:vAlign w:val="bottom"/>
          </w:tcPr>
          <w:p>
            <w:pPr>
              <w:spacing w:after="0"/>
              <w:rPr>
                <w:sz w:val="14"/>
                <w:szCs w:val="14"/>
                <w:color w:val="auto"/>
              </w:rPr>
            </w:pP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61,307</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88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61,219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88</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3320" w:type="dxa"/>
            <w:vAlign w:val="bottom"/>
          </w:tcPr>
          <w:p>
            <w:pPr>
              <w:ind w:left="200"/>
              <w:spacing w:after="0" w:line="162" w:lineRule="exact"/>
              <w:rPr>
                <w:sz w:val="20"/>
                <w:szCs w:val="20"/>
                <w:color w:val="auto"/>
              </w:rPr>
            </w:pPr>
            <w:r>
              <w:rPr>
                <w:rFonts w:ascii="Arial" w:cs="Arial" w:eastAsia="Arial" w:hAnsi="Arial"/>
                <w:sz w:val="15"/>
                <w:szCs w:val="15"/>
                <w:color w:val="auto"/>
              </w:rPr>
              <w:t>Variable rate demand notes</w:t>
            </w:r>
          </w:p>
        </w:tc>
        <w:tc>
          <w:tcPr>
            <w:tcW w:w="240" w:type="dxa"/>
            <w:vAlign w:val="bottom"/>
          </w:tcPr>
          <w:p>
            <w:pPr>
              <w:spacing w:after="0"/>
              <w:rPr>
                <w:sz w:val="14"/>
                <w:szCs w:val="14"/>
                <w:color w:val="auto"/>
              </w:rPr>
            </w:pP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49,954</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49,954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3320" w:type="dxa"/>
            <w:vAlign w:val="bottom"/>
          </w:tcPr>
          <w:p>
            <w:pPr>
              <w:ind w:left="200"/>
              <w:spacing w:after="0" w:line="162" w:lineRule="exact"/>
              <w:rPr>
                <w:sz w:val="20"/>
                <w:szCs w:val="20"/>
                <w:color w:val="auto"/>
              </w:rPr>
            </w:pPr>
            <w:r>
              <w:rPr>
                <w:rFonts w:ascii="Arial" w:cs="Arial" w:eastAsia="Arial" w:hAnsi="Arial"/>
                <w:sz w:val="15"/>
                <w:szCs w:val="15"/>
                <w:color w:val="auto"/>
              </w:rPr>
              <w:t>U.S. government agency securities</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2,369</w:t>
            </w:r>
          </w:p>
        </w:tc>
        <w:tc>
          <w:tcPr>
            <w:tcW w:w="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2,366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3</w:t>
            </w: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332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676,129</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683"/>
              <w:spacing w:after="0" w:line="16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831</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675,299</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831</w:t>
            </w:r>
          </w:p>
        </w:tc>
        <w:tc>
          <w:tcPr>
            <w:tcW w:w="160" w:type="dxa"/>
            <w:vAlign w:val="bottom"/>
          </w:tcPr>
          <w:p>
            <w:pPr>
              <w:spacing w:after="0"/>
              <w:rPr>
                <w:sz w:val="14"/>
                <w:szCs w:val="14"/>
                <w:color w:val="auto"/>
              </w:rPr>
            </w:pPr>
          </w:p>
        </w:tc>
        <w:tc>
          <w:tcPr>
            <w:tcW w:w="108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During the six-months ended June 30, 2018 and 2017, realized gains or losses recognized on the sale of investments were not significant.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Company’s investments at June 30, 2018 and December 31, 2017 in commercial paper, certificates of deposit, municipal securities, U.S. government agency securities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905"/>
              <w:spacing w:after="0"/>
              <w:rPr>
                <w:sz w:val="20"/>
                <w:szCs w:val="20"/>
                <w:color w:val="auto"/>
              </w:rPr>
            </w:pPr>
            <w:r>
              <w:rPr>
                <w:rFonts w:ascii="Arial" w:cs="Arial" w:eastAsia="Arial" w:hAnsi="Arial"/>
                <w:sz w:val="19"/>
                <w:szCs w:val="19"/>
                <w:color w:val="auto"/>
              </w:rPr>
              <w:t>June 30, 2018</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65"/>
              <w:spacing w:after="0"/>
              <w:rPr>
                <w:sz w:val="20"/>
                <w:szCs w:val="20"/>
                <w:color w:val="auto"/>
              </w:rPr>
            </w:pPr>
            <w:r>
              <w:rPr>
                <w:rFonts w:ascii="Arial" w:cs="Arial" w:eastAsia="Arial" w:hAnsi="Arial"/>
                <w:sz w:val="19"/>
                <w:szCs w:val="19"/>
                <w:color w:val="auto"/>
              </w:rPr>
              <w:t>December 31, 2017</w:t>
            </w:r>
          </w:p>
        </w:tc>
        <w:tc>
          <w:tcPr>
            <w:tcW w:w="0" w:type="dxa"/>
            <w:vAlign w:val="bottom"/>
          </w:tcPr>
          <w:p>
            <w:pPr>
              <w:spacing w:after="0"/>
              <w:rPr>
                <w:sz w:val="1"/>
                <w:szCs w:val="1"/>
                <w:color w:val="auto"/>
              </w:rPr>
            </w:pPr>
          </w:p>
        </w:tc>
      </w:tr>
      <w:tr>
        <w:trPr>
          <w:trHeight w:val="426"/>
        </w:trPr>
        <w:tc>
          <w:tcPr>
            <w:tcW w:w="420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70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9"/>
                <w:szCs w:val="19"/>
                <w:color w:val="auto"/>
              </w:rPr>
              <w:t>Fair Value</w:t>
            </w:r>
          </w:p>
        </w:tc>
        <w:tc>
          <w:tcPr>
            <w:tcW w:w="168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20" w:type="dxa"/>
            <w:vAlign w:val="bottom"/>
          </w:tcPr>
          <w:p>
            <w:pPr>
              <w:spacing w:after="0"/>
              <w:rPr>
                <w:sz w:val="24"/>
                <w:szCs w:val="24"/>
                <w:color w:val="auto"/>
              </w:rPr>
            </w:pPr>
          </w:p>
        </w:tc>
        <w:tc>
          <w:tcPr>
            <w:tcW w:w="1220" w:type="dxa"/>
            <w:vAlign w:val="bottom"/>
          </w:tcPr>
          <w:p>
            <w:pPr>
              <w:jc w:val="right"/>
              <w:ind w:right="285"/>
              <w:spacing w:after="0"/>
              <w:rPr>
                <w:sz w:val="20"/>
                <w:szCs w:val="20"/>
                <w:color w:val="auto"/>
              </w:rPr>
            </w:pPr>
            <w:r>
              <w:rPr>
                <w:rFonts w:ascii="Arial" w:cs="Arial" w:eastAsia="Arial" w:hAnsi="Arial"/>
                <w:sz w:val="19"/>
                <w:szCs w:val="19"/>
                <w:color w:val="auto"/>
                <w:w w:val="94"/>
              </w:rPr>
              <w:t>Fair Value</w:t>
            </w:r>
          </w:p>
        </w:tc>
        <w:tc>
          <w:tcPr>
            <w:tcW w:w="0" w:type="dxa"/>
            <w:vAlign w:val="bottom"/>
          </w:tcPr>
          <w:p>
            <w:pPr>
              <w:spacing w:after="0"/>
              <w:rPr>
                <w:sz w:val="1"/>
                <w:szCs w:val="1"/>
                <w:color w:val="auto"/>
              </w:rPr>
            </w:pPr>
          </w:p>
        </w:tc>
      </w:tr>
      <w:tr>
        <w:trPr>
          <w:trHeight w:val="174"/>
        </w:trPr>
        <w:tc>
          <w:tcPr>
            <w:tcW w:w="420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Commercial paper</w:t>
            </w:r>
          </w:p>
        </w:tc>
        <w:tc>
          <w:tcPr>
            <w:tcW w:w="4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15,177</w:t>
            </w:r>
          </w:p>
        </w:tc>
        <w:tc>
          <w:tcPr>
            <w:tcW w:w="22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ind w:right="5"/>
              <w:spacing w:after="0" w:line="216" w:lineRule="exact"/>
              <w:rPr>
                <w:sz w:val="20"/>
                <w:szCs w:val="20"/>
                <w:color w:val="auto"/>
              </w:rPr>
            </w:pPr>
            <w:r>
              <w:rPr>
                <w:rFonts w:ascii="Arial" w:cs="Arial" w:eastAsia="Arial" w:hAnsi="Arial"/>
                <w:sz w:val="19"/>
                <w:szCs w:val="19"/>
                <w:color w:val="auto"/>
              </w:rPr>
              <w:t>15,177</w:t>
            </w:r>
          </w:p>
        </w:tc>
        <w:tc>
          <w:tcPr>
            <w:tcW w:w="220" w:type="dxa"/>
            <w:vAlign w:val="bottom"/>
          </w:tcPr>
          <w:p>
            <w:pPr>
              <w:spacing w:after="0"/>
              <w:rPr>
                <w:sz w:val="18"/>
                <w:szCs w:val="18"/>
                <w:color w:val="auto"/>
              </w:rPr>
            </w:pPr>
          </w:p>
        </w:tc>
        <w:tc>
          <w:tcPr>
            <w:tcW w:w="4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81,026</w:t>
            </w:r>
          </w:p>
        </w:tc>
        <w:tc>
          <w:tcPr>
            <w:tcW w:w="20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81,026</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149,048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
              <w:spacing w:after="0" w:line="216" w:lineRule="exact"/>
              <w:rPr>
                <w:sz w:val="20"/>
                <w:szCs w:val="20"/>
                <w:color w:val="auto"/>
              </w:rPr>
            </w:pPr>
            <w:r>
              <w:rPr>
                <w:rFonts w:ascii="Arial" w:cs="Arial" w:eastAsia="Arial" w:hAnsi="Arial"/>
                <w:sz w:val="19"/>
                <w:szCs w:val="19"/>
                <w:color w:val="auto"/>
              </w:rPr>
              <w:t>148,997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469,604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468,865</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46,982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
              <w:spacing w:after="0" w:line="216" w:lineRule="exact"/>
              <w:rPr>
                <w:sz w:val="20"/>
                <w:szCs w:val="20"/>
                <w:color w:val="auto"/>
              </w:rPr>
            </w:pPr>
            <w:r>
              <w:rPr>
                <w:rFonts w:ascii="Arial" w:cs="Arial" w:eastAsia="Arial" w:hAnsi="Arial"/>
                <w:sz w:val="19"/>
                <w:szCs w:val="19"/>
                <w:color w:val="auto"/>
              </w:rPr>
              <w:t>46,919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61,307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61,219</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Certificates of deposit</w:t>
            </w: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11,869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11,869</w:t>
            </w:r>
          </w:p>
        </w:tc>
        <w:tc>
          <w:tcPr>
            <w:tcW w:w="0" w:type="dxa"/>
            <w:vAlign w:val="bottom"/>
          </w:tcPr>
          <w:p>
            <w:pPr>
              <w:spacing w:after="0"/>
              <w:rPr>
                <w:sz w:val="1"/>
                <w:szCs w:val="1"/>
                <w:color w:val="auto"/>
              </w:rPr>
            </w:pP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Due 1 -10 years: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2,369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2,366</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6,366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6,366</w:t>
            </w:r>
          </w:p>
        </w:tc>
        <w:tc>
          <w:tcPr>
            <w:tcW w:w="0" w:type="dxa"/>
            <w:vAlign w:val="bottom"/>
          </w:tcPr>
          <w:p>
            <w:pPr>
              <w:spacing w:after="0"/>
              <w:rPr>
                <w:sz w:val="1"/>
                <w:szCs w:val="1"/>
                <w:color w:val="auto"/>
              </w:rPr>
            </w:pP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28,377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28,377</w:t>
            </w:r>
          </w:p>
        </w:tc>
        <w:tc>
          <w:tcPr>
            <w:tcW w:w="0" w:type="dxa"/>
            <w:vAlign w:val="bottom"/>
          </w:tcPr>
          <w:p>
            <w:pPr>
              <w:spacing w:after="0"/>
              <w:rPr>
                <w:sz w:val="1"/>
                <w:szCs w:val="1"/>
                <w:color w:val="auto"/>
              </w:rPr>
            </w:pP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15,211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15,211</w:t>
            </w:r>
          </w:p>
        </w:tc>
        <w:tc>
          <w:tcPr>
            <w:tcW w:w="0" w:type="dxa"/>
            <w:vAlign w:val="bottom"/>
          </w:tcPr>
          <w:p>
            <w:pPr>
              <w:spacing w:after="0"/>
              <w:rPr>
                <w:sz w:val="1"/>
                <w:szCs w:val="1"/>
                <w:color w:val="auto"/>
              </w:rPr>
            </w:pPr>
          </w:p>
        </w:tc>
      </w:tr>
      <w:tr>
        <w:trPr>
          <w:trHeight w:val="22"/>
        </w:trPr>
        <w:tc>
          <w:tcPr>
            <w:tcW w:w="420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211,207</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211,093</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676,129</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675,299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36"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ectPr>
          <w:pgSz w:w="11900" w:h="16838" w:orient="portrait"/>
          <w:cols w:equalWidth="0" w:num="1">
            <w:col w:w="11420"/>
          </w:cols>
          <w:pgMar w:left="240" w:top="116" w:right="239" w:bottom="182" w:gutter="0" w:footer="0" w:header="0"/>
        </w:sectPr>
      </w:pPr>
    </w:p>
    <w:bookmarkStart w:id="9" w:name="page10"/>
    <w:bookmarkEnd w:id="9"/>
    <w:p>
      <w:pPr>
        <w:spacing w:after="0" w:line="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June 30, 2018</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6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358,788</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94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358,788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299,949</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299,949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Commercial paper</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16,127</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16,127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148,997</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148,997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46,919</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46,919</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(996)</w:t>
            </w: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(996)</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658,737</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211,047</w:t>
            </w:r>
          </w:p>
        </w:tc>
        <w:tc>
          <w:tcPr>
            <w:tcW w:w="122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869,784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658,737</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950</w:t>
            </w:r>
          </w:p>
        </w:tc>
        <w:tc>
          <w:tcPr>
            <w:tcW w:w="1220" w:type="dxa"/>
            <w:vAlign w:val="bottom"/>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659,687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211,093</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211,093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21</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Accrued liabilities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(1,017)</w:t>
            </w: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(1,017)</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658,737</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211,047</w:t>
            </w:r>
          </w:p>
        </w:tc>
        <w:tc>
          <w:tcPr>
            <w:tcW w:w="122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869,784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2017</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6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310,885</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94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310,885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112,848</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112,848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15,720</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15,720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Commercial paper</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99,903</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99,903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49,954</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49,954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529,984</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529,984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81,230</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81,230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Treasuries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3,397</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3,397</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(1,484)</w:t>
            </w: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(1,484)</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423,733</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778,704</w:t>
            </w:r>
          </w:p>
        </w:tc>
        <w:tc>
          <w:tcPr>
            <w:tcW w:w="122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1,202,437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423,733</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104,889</w:t>
            </w:r>
          </w:p>
        </w:tc>
        <w:tc>
          <w:tcPr>
            <w:tcW w:w="1220" w:type="dxa"/>
            <w:vAlign w:val="bottom"/>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528,622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672,933</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672,933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95</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2,366</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2,366</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Accrued liabilities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w:t>
            </w: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423,733</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778,704</w:t>
            </w:r>
          </w:p>
        </w:tc>
        <w:tc>
          <w:tcPr>
            <w:tcW w:w="122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1,202,437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U.S. Treasuries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six-months ended June 30, 2018 or the year ended December 31, 2017, and there were no changes in the Company’s valuation techniques.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ectPr>
          <w:pgSz w:w="11900" w:h="16881" w:orient="portrait"/>
          <w:cols w:equalWidth="0" w:num="1">
            <w:col w:w="11420"/>
          </w:cols>
          <w:pgMar w:left="240" w:top="121" w:right="239" w:bottom="0" w:gutter="0" w:footer="0" w:header="0"/>
        </w:sectPr>
      </w:pPr>
    </w:p>
    <w:bookmarkStart w:id="10" w:name="page11"/>
    <w:bookmarkEnd w:id="10"/>
    <w:p>
      <w:pPr>
        <w:spacing w:after="0" w:line="16"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The Company is exposed to foreign currency exchange rate risks related primarily to its foreign business operations. During the three-and six-months ended June 30, 2018 and the year ended December 31, 2017,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June 30, 2018 have terms of one month or less. The Company does not enter into forward currency exchange contracts for speculation or trading purposes.</w:t>
      </w:r>
    </w:p>
    <w:p>
      <w:pPr>
        <w:spacing w:after="0" w:line="192"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June 30, 2018</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Borders>
              <w:top w:val="single" w:sz="8" w:color="auto"/>
            </w:tcBorders>
            <w:gridSpan w:val="2"/>
          </w:tcPr>
          <w:p>
            <w:pPr>
              <w:jc w:val="center"/>
              <w:ind w:right="300"/>
              <w:spacing w:after="0" w:line="207" w:lineRule="exact"/>
              <w:rPr>
                <w:sz w:val="20"/>
                <w:szCs w:val="20"/>
                <w:color w:val="auto"/>
              </w:rPr>
            </w:pPr>
            <w:r>
              <w:rPr>
                <w:rFonts w:ascii="Arial" w:cs="Arial" w:eastAsia="Arial" w:hAnsi="Arial"/>
                <w:sz w:val="20"/>
                <w:szCs w:val="20"/>
                <w:color w:val="auto"/>
                <w:w w:val="88"/>
              </w:rPr>
              <w:t>Derivatives not designated as</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2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hedging instruments under</w:t>
            </w:r>
          </w:p>
        </w:tc>
        <w:tc>
          <w:tcPr>
            <w:tcW w:w="28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20" w:type="dxa"/>
            <w:vAlign w:val="bottom"/>
          </w:tcPr>
          <w:p>
            <w:pPr>
              <w:spacing w:after="0"/>
              <w:rPr>
                <w:sz w:val="19"/>
                <w:szCs w:val="19"/>
                <w:color w:val="auto"/>
              </w:rPr>
            </w:pPr>
          </w:p>
        </w:tc>
        <w:tc>
          <w:tcPr>
            <w:tcW w:w="1080" w:type="dxa"/>
            <w:vAlign w:val="bottom"/>
          </w:tcPr>
          <w:p>
            <w:pPr>
              <w:jc w:val="right"/>
              <w:ind w:right="441"/>
              <w:spacing w:after="0"/>
              <w:rPr>
                <w:sz w:val="20"/>
                <w:szCs w:val="20"/>
                <w:color w:val="auto"/>
              </w:rPr>
            </w:pPr>
            <w:r>
              <w:rPr>
                <w:rFonts w:ascii="Arial" w:cs="Arial" w:eastAsia="Arial" w:hAnsi="Arial"/>
                <w:sz w:val="20"/>
                <w:szCs w:val="20"/>
                <w:color w:val="auto"/>
              </w:rPr>
              <w:t>Fair</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Amount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Balance Sheet Location</w:t>
            </w:r>
          </w:p>
        </w:tc>
        <w:tc>
          <w:tcPr>
            <w:tcW w:w="140" w:type="dxa"/>
            <w:vAlign w:val="bottom"/>
          </w:tcPr>
          <w:p>
            <w:pPr>
              <w:spacing w:after="0"/>
              <w:rPr>
                <w:sz w:val="21"/>
                <w:szCs w:val="21"/>
                <w:color w:val="auto"/>
              </w:rPr>
            </w:pPr>
          </w:p>
        </w:tc>
      </w:tr>
      <w:tr>
        <w:trPr>
          <w:trHeight w:val="287"/>
        </w:trPr>
        <w:tc>
          <w:tcPr>
            <w:tcW w:w="5260" w:type="dxa"/>
            <w:vAlign w:val="bottom"/>
            <w:gridSpan w:val="2"/>
          </w:tcPr>
          <w:p>
            <w:pPr>
              <w:spacing w:after="0"/>
              <w:rPr>
                <w:sz w:val="20"/>
                <w:szCs w:val="20"/>
                <w:color w:val="auto"/>
              </w:rPr>
            </w:pPr>
            <w:r>
              <w:rPr>
                <w:rFonts w:ascii="Arial" w:cs="Arial" w:eastAsia="Arial" w:hAnsi="Arial"/>
                <w:sz w:val="20"/>
                <w:szCs w:val="20"/>
                <w:color w:val="auto"/>
              </w:rPr>
              <w:t>Assets: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SGD/pay USD</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5,279</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7</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NZD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2,719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5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NOK/pay USD</w:t>
            </w:r>
          </w:p>
        </w:tc>
        <w:tc>
          <w:tcPr>
            <w:tcW w:w="280" w:type="dxa"/>
            <w:vAlign w:val="bottom"/>
          </w:tcPr>
          <w:p>
            <w:pPr>
              <w:spacing w:after="0"/>
              <w:rPr>
                <w:sz w:val="21"/>
                <w:szCs w:val="21"/>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918</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21"/>
                <w:szCs w:val="21"/>
                <w:color w:val="auto"/>
              </w:rPr>
            </w:pPr>
          </w:p>
        </w:tc>
      </w:tr>
      <w:tr>
        <w:trPr>
          <w:trHeight w:val="668"/>
        </w:trPr>
        <w:tc>
          <w:tcPr>
            <w:tcW w:w="5260" w:type="dxa"/>
            <w:vAlign w:val="bottom"/>
            <w:gridSpan w:val="2"/>
          </w:tcPr>
          <w:p>
            <w:pPr>
              <w:ind w:left="20"/>
              <w:spacing w:after="0"/>
              <w:rPr>
                <w:sz w:val="20"/>
                <w:szCs w:val="20"/>
                <w:color w:val="auto"/>
              </w:rPr>
            </w:pPr>
            <w:r>
              <w:rPr>
                <w:rFonts w:ascii="Arial" w:cs="Arial" w:eastAsia="Arial" w:hAnsi="Arial"/>
                <w:sz w:val="20"/>
                <w:szCs w:val="20"/>
                <w:color w:val="auto"/>
              </w:rPr>
              <w:t>Liabilities: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EUR</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50,572</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(408)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GBP</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37,904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(129)</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ZAR</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16,633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AUD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14,118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TRY</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5,277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COP</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3,567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MXN</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3,035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5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RUB</w:t>
            </w:r>
          </w:p>
        </w:tc>
        <w:tc>
          <w:tcPr>
            <w:tcW w:w="280" w:type="dxa"/>
            <w:vAlign w:val="bottom"/>
          </w:tcPr>
          <w:p>
            <w:pPr>
              <w:spacing w:after="0"/>
              <w:rPr>
                <w:sz w:val="21"/>
                <w:szCs w:val="21"/>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2,774</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21"/>
                <w:szCs w:val="21"/>
                <w:color w:val="auto"/>
              </w:rPr>
            </w:pPr>
          </w:p>
        </w:tc>
      </w:tr>
      <w:tr>
        <w:trPr>
          <w:trHeight w:val="428"/>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882"/>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2"/>
        </w:trPr>
        <w:tc>
          <w:tcPr>
            <w:tcW w:w="4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December 31, 2017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Borders>
              <w:top w:val="single" w:sz="8" w:color="auto"/>
            </w:tcBorders>
            <w:gridSpan w:val="2"/>
          </w:tcPr>
          <w:p>
            <w:pPr>
              <w:jc w:val="center"/>
              <w:ind w:right="280"/>
              <w:spacing w:after="0" w:line="216" w:lineRule="exact"/>
              <w:rPr>
                <w:sz w:val="20"/>
                <w:szCs w:val="20"/>
                <w:color w:val="auto"/>
              </w:rPr>
            </w:pPr>
            <w:r>
              <w:rPr>
                <w:rFonts w:ascii="Arial" w:cs="Arial" w:eastAsia="Arial" w:hAnsi="Arial"/>
                <w:sz w:val="20"/>
                <w:szCs w:val="20"/>
                <w:color w:val="auto"/>
                <w:w w:val="88"/>
              </w:rPr>
              <w:t>Derivatives not designated as</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r>
      <w:tr>
        <w:trPr>
          <w:trHeight w:val="230"/>
        </w:trPr>
        <w:tc>
          <w:tcPr>
            <w:tcW w:w="52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hedging instruments under</w:t>
            </w:r>
          </w:p>
        </w:tc>
        <w:tc>
          <w:tcPr>
            <w:tcW w:w="3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20"/>
                <w:szCs w:val="20"/>
                <w:color w:val="auto"/>
              </w:rPr>
              <w:t>Notional</w:t>
            </w:r>
          </w:p>
        </w:tc>
        <w:tc>
          <w:tcPr>
            <w:tcW w:w="340" w:type="dxa"/>
            <w:vAlign w:val="bottom"/>
          </w:tcPr>
          <w:p>
            <w:pPr>
              <w:spacing w:after="0"/>
              <w:rPr>
                <w:sz w:val="19"/>
                <w:szCs w:val="19"/>
                <w:color w:val="auto"/>
              </w:rPr>
            </w:pPr>
          </w:p>
        </w:tc>
        <w:tc>
          <w:tcPr>
            <w:tcW w:w="1060" w:type="dxa"/>
            <w:vAlign w:val="bottom"/>
          </w:tcPr>
          <w:p>
            <w:pPr>
              <w:jc w:val="right"/>
              <w:ind w:right="441"/>
              <w:spacing w:after="0"/>
              <w:rPr>
                <w:sz w:val="20"/>
                <w:szCs w:val="20"/>
                <w:color w:val="auto"/>
              </w:rPr>
            </w:pPr>
            <w:r>
              <w:rPr>
                <w:rFonts w:ascii="Arial" w:cs="Arial" w:eastAsia="Arial" w:hAnsi="Arial"/>
                <w:sz w:val="20"/>
                <w:szCs w:val="20"/>
                <w:color w:val="auto"/>
              </w:rPr>
              <w:t>Fair</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5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Amount</w:t>
            </w:r>
          </w:p>
        </w:tc>
        <w:tc>
          <w:tcPr>
            <w:tcW w:w="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2"/>
                <w:szCs w:val="22"/>
                <w:color w:val="auto"/>
              </w:rPr>
            </w:pP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Balance Sheet Location</w:t>
            </w:r>
          </w:p>
        </w:tc>
      </w:tr>
      <w:tr>
        <w:trPr>
          <w:trHeight w:val="292"/>
        </w:trPr>
        <w:tc>
          <w:tcPr>
            <w:tcW w:w="52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0"/>
        </w:trPr>
        <w:tc>
          <w:tcPr>
            <w:tcW w:w="524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CAD/pay USD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4,892</w:t>
            </w:r>
          </w:p>
        </w:tc>
        <w:tc>
          <w:tcPr>
            <w:tcW w:w="30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61</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2,803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13</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1,806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NOK/pay USD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1,534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5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223</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668"/>
        </w:trPr>
        <w:tc>
          <w:tcPr>
            <w:tcW w:w="52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0"/>
        </w:trPr>
        <w:tc>
          <w:tcPr>
            <w:tcW w:w="524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EUR</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65,131</w:t>
            </w:r>
          </w:p>
        </w:tc>
        <w:tc>
          <w:tcPr>
            <w:tcW w:w="30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(642)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31,342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(334)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21,311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17,238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(177)</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7,720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(126)</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TRY</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5,483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NZD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1,826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5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CLP</w:t>
            </w:r>
          </w:p>
        </w:tc>
        <w:tc>
          <w:tcPr>
            <w:tcW w:w="32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1,112</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gains (losses) on derivative instruments in the condensed consolidated statements of income were as follows:</w:t>
      </w:r>
    </w:p>
    <w:p>
      <w:pPr>
        <w:sectPr>
          <w:pgSz w:w="11900" w:h="16854" w:orient="portrait"/>
          <w:cols w:equalWidth="0" w:num="1">
            <w:col w:w="11460"/>
          </w:cols>
          <w:pgMar w:left="240" w:top="352" w:right="19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gridSpan w:val="4"/>
          </w:tcPr>
          <w:p>
            <w:pPr>
              <w:jc w:val="center"/>
              <w:ind w:right="161"/>
              <w:spacing w:after="0"/>
              <w:rPr>
                <w:sz w:val="20"/>
                <w:szCs w:val="20"/>
                <w:color w:val="auto"/>
              </w:rPr>
            </w:pPr>
            <w:r>
              <w:rPr>
                <w:rFonts w:ascii="Arial" w:cs="Arial" w:eastAsia="Arial" w:hAnsi="Arial"/>
                <w:sz w:val="20"/>
                <w:szCs w:val="20"/>
                <w:color w:val="auto"/>
                <w:w w:val="92"/>
              </w:rPr>
              <w:t>Amount of gain (loss)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gridSpan w:val="4"/>
          </w:tcPr>
          <w:p>
            <w:pPr>
              <w:jc w:val="center"/>
              <w:ind w:right="161"/>
              <w:spacing w:after="0"/>
              <w:rPr>
                <w:sz w:val="20"/>
                <w:szCs w:val="20"/>
                <w:color w:val="auto"/>
              </w:rPr>
            </w:pPr>
            <w:r>
              <w:rPr>
                <w:rFonts w:ascii="Arial" w:cs="Arial" w:eastAsia="Arial" w:hAnsi="Arial"/>
                <w:sz w:val="20"/>
                <w:szCs w:val="20"/>
                <w:color w:val="auto"/>
                <w:w w:val="89"/>
              </w:rPr>
              <w:t>recognized in income 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4"/>
          </w:tcPr>
          <w:p>
            <w:pPr>
              <w:jc w:val="center"/>
              <w:ind w:right="161"/>
              <w:spacing w:after="0"/>
              <w:rPr>
                <w:sz w:val="20"/>
                <w:szCs w:val="20"/>
                <w:color w:val="auto"/>
              </w:rPr>
            </w:pPr>
            <w:r>
              <w:rPr>
                <w:rFonts w:ascii="Arial" w:cs="Arial" w:eastAsia="Arial" w:hAnsi="Arial"/>
                <w:sz w:val="20"/>
                <w:szCs w:val="20"/>
                <w:color w:val="auto"/>
                <w:w w:val="89"/>
              </w:rPr>
              <w:t>derivatives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gridSpan w:val="2"/>
            <w:vMerge w:val="restart"/>
          </w:tcPr>
          <w:p>
            <w:pPr>
              <w:jc w:val="center"/>
              <w:ind w:right="180"/>
              <w:spacing w:after="0"/>
              <w:rPr>
                <w:sz w:val="20"/>
                <w:szCs w:val="20"/>
                <w:color w:val="auto"/>
              </w:rPr>
            </w:pPr>
            <w:r>
              <w:rPr>
                <w:rFonts w:ascii="Arial" w:cs="Arial" w:eastAsia="Arial" w:hAnsi="Arial"/>
                <w:sz w:val="20"/>
                <w:szCs w:val="20"/>
                <w:color w:val="auto"/>
                <w:w w:val="88"/>
              </w:rPr>
              <w:t>Derivatives not designated as</w:t>
            </w:r>
          </w:p>
        </w:tc>
        <w:tc>
          <w:tcPr>
            <w:tcW w:w="4100" w:type="dxa"/>
            <w:vAlign w:val="bottom"/>
            <w:gridSpan w:val="2"/>
            <w:vMerge w:val="restart"/>
          </w:tcPr>
          <w:p>
            <w:pPr>
              <w:jc w:val="center"/>
              <w:ind w:right="180"/>
              <w:spacing w:after="0"/>
              <w:rPr>
                <w:sz w:val="20"/>
                <w:szCs w:val="20"/>
                <w:color w:val="auto"/>
              </w:rPr>
            </w:pPr>
            <w:r>
              <w:rPr>
                <w:rFonts w:ascii="Arial" w:cs="Arial" w:eastAsia="Arial" w:hAnsi="Arial"/>
                <w:sz w:val="20"/>
                <w:szCs w:val="20"/>
                <w:color w:val="auto"/>
                <w:w w:val="91"/>
              </w:rPr>
              <w:t>Location of gain (loss)</w:t>
            </w:r>
          </w:p>
        </w:tc>
        <w:tc>
          <w:tcPr>
            <w:tcW w:w="2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center"/>
              <w:ind w:right="161"/>
              <w:spacing w:after="0" w:line="223" w:lineRule="exact"/>
              <w:rPr>
                <w:sz w:val="20"/>
                <w:szCs w:val="20"/>
                <w:color w:val="auto"/>
              </w:rPr>
            </w:pPr>
            <w:r>
              <w:rPr>
                <w:rFonts w:ascii="Arial" w:cs="Arial" w:eastAsia="Arial" w:hAnsi="Arial"/>
                <w:sz w:val="20"/>
                <w:szCs w:val="20"/>
                <w:color w:val="auto"/>
                <w:w w:val="87"/>
              </w:rPr>
              <w:t>Three-months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740" w:type="dxa"/>
            <w:vAlign w:val="bottom"/>
            <w:gridSpan w:val="2"/>
            <w:vMerge w:val="continue"/>
          </w:tcPr>
          <w:p>
            <w:pPr>
              <w:spacing w:after="0"/>
              <w:rPr>
                <w:sz w:val="16"/>
                <w:szCs w:val="16"/>
                <w:color w:val="auto"/>
              </w:rPr>
            </w:pPr>
          </w:p>
        </w:tc>
        <w:tc>
          <w:tcPr>
            <w:tcW w:w="4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740"/>
              <w:spacing w:after="0"/>
              <w:rPr>
                <w:sz w:val="20"/>
                <w:szCs w:val="20"/>
                <w:color w:val="auto"/>
              </w:rPr>
            </w:pPr>
            <w:r>
              <w:rPr>
                <w:rFonts w:ascii="Arial" w:cs="Arial" w:eastAsia="Arial" w:hAnsi="Arial"/>
                <w:sz w:val="20"/>
                <w:szCs w:val="20"/>
                <w:color w:val="auto"/>
              </w:rPr>
              <w:t>hedging instruments under</w:t>
            </w:r>
          </w:p>
        </w:tc>
        <w:tc>
          <w:tcPr>
            <w:tcW w:w="4100" w:type="dxa"/>
            <w:vAlign w:val="bottom"/>
            <w:gridSpan w:val="2"/>
          </w:tcPr>
          <w:p>
            <w:pPr>
              <w:jc w:val="center"/>
              <w:ind w:right="180"/>
              <w:spacing w:after="0"/>
              <w:rPr>
                <w:sz w:val="20"/>
                <w:szCs w:val="20"/>
                <w:color w:val="auto"/>
              </w:rPr>
            </w:pPr>
            <w:r>
              <w:rPr>
                <w:rFonts w:ascii="Arial" w:cs="Arial" w:eastAsia="Arial" w:hAnsi="Arial"/>
                <w:sz w:val="20"/>
                <w:szCs w:val="20"/>
                <w:color w:val="auto"/>
                <w:w w:val="90"/>
              </w:rPr>
              <w:t>recognized in income on</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200" w:type="dxa"/>
            <w:vAlign w:val="bottom"/>
          </w:tcPr>
          <w:p>
            <w:pPr>
              <w:spacing w:after="0"/>
              <w:rPr>
                <w:sz w:val="21"/>
                <w:szCs w:val="21"/>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June 30, 2018</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8"/>
              </w:rPr>
              <w:t>June 30, 2017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10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Interest and other income (expense), net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10,393</w:t>
            </w:r>
          </w:p>
        </w:tc>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4"/>
          </w:tcPr>
          <w:p>
            <w:pPr>
              <w:jc w:val="center"/>
              <w:ind w:right="161"/>
              <w:spacing w:after="0"/>
              <w:rPr>
                <w:sz w:val="20"/>
                <w:szCs w:val="20"/>
                <w:color w:val="auto"/>
              </w:rPr>
            </w:pPr>
            <w:r>
              <w:rPr>
                <w:rFonts w:ascii="Arial" w:cs="Arial" w:eastAsia="Arial" w:hAnsi="Arial"/>
                <w:sz w:val="20"/>
                <w:szCs w:val="20"/>
                <w:color w:val="auto"/>
                <w:w w:val="92"/>
              </w:rPr>
              <w:t>Amount of gain (loss)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gridSpan w:val="4"/>
          </w:tcPr>
          <w:p>
            <w:pPr>
              <w:jc w:val="center"/>
              <w:ind w:right="161"/>
              <w:spacing w:after="0"/>
              <w:rPr>
                <w:sz w:val="20"/>
                <w:szCs w:val="20"/>
                <w:color w:val="auto"/>
              </w:rPr>
            </w:pPr>
            <w:r>
              <w:rPr>
                <w:rFonts w:ascii="Arial" w:cs="Arial" w:eastAsia="Arial" w:hAnsi="Arial"/>
                <w:sz w:val="20"/>
                <w:szCs w:val="20"/>
                <w:color w:val="auto"/>
                <w:w w:val="89"/>
              </w:rPr>
              <w:t>recognized in income 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4"/>
          </w:tcPr>
          <w:p>
            <w:pPr>
              <w:jc w:val="center"/>
              <w:ind w:right="161"/>
              <w:spacing w:after="0"/>
              <w:rPr>
                <w:sz w:val="20"/>
                <w:szCs w:val="20"/>
                <w:color w:val="auto"/>
              </w:rPr>
            </w:pPr>
            <w:r>
              <w:rPr>
                <w:rFonts w:ascii="Arial" w:cs="Arial" w:eastAsia="Arial" w:hAnsi="Arial"/>
                <w:sz w:val="20"/>
                <w:szCs w:val="20"/>
                <w:color w:val="auto"/>
                <w:w w:val="89"/>
              </w:rPr>
              <w:t>derivatives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gridSpan w:val="2"/>
            <w:vMerge w:val="restart"/>
          </w:tcPr>
          <w:p>
            <w:pPr>
              <w:jc w:val="center"/>
              <w:ind w:right="180"/>
              <w:spacing w:after="0"/>
              <w:rPr>
                <w:sz w:val="20"/>
                <w:szCs w:val="20"/>
                <w:color w:val="auto"/>
              </w:rPr>
            </w:pPr>
            <w:r>
              <w:rPr>
                <w:rFonts w:ascii="Arial" w:cs="Arial" w:eastAsia="Arial" w:hAnsi="Arial"/>
                <w:sz w:val="20"/>
                <w:szCs w:val="20"/>
                <w:color w:val="auto"/>
                <w:w w:val="88"/>
              </w:rPr>
              <w:t>Derivatives not designated as</w:t>
            </w:r>
          </w:p>
        </w:tc>
        <w:tc>
          <w:tcPr>
            <w:tcW w:w="4100" w:type="dxa"/>
            <w:vAlign w:val="bottom"/>
            <w:gridSpan w:val="2"/>
            <w:vMerge w:val="restart"/>
          </w:tcPr>
          <w:p>
            <w:pPr>
              <w:jc w:val="center"/>
              <w:ind w:right="180"/>
              <w:spacing w:after="0"/>
              <w:rPr>
                <w:sz w:val="20"/>
                <w:szCs w:val="20"/>
                <w:color w:val="auto"/>
              </w:rPr>
            </w:pPr>
            <w:r>
              <w:rPr>
                <w:rFonts w:ascii="Arial" w:cs="Arial" w:eastAsia="Arial" w:hAnsi="Arial"/>
                <w:sz w:val="20"/>
                <w:szCs w:val="20"/>
                <w:color w:val="auto"/>
                <w:w w:val="91"/>
              </w:rPr>
              <w:t>Location of gain (loss)</w:t>
            </w:r>
          </w:p>
        </w:tc>
        <w:tc>
          <w:tcPr>
            <w:tcW w:w="2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center"/>
              <w:ind w:right="161"/>
              <w:spacing w:after="0" w:line="223" w:lineRule="exact"/>
              <w:rPr>
                <w:sz w:val="20"/>
                <w:szCs w:val="20"/>
                <w:color w:val="auto"/>
              </w:rPr>
            </w:pPr>
            <w:r>
              <w:rPr>
                <w:rFonts w:ascii="Arial" w:cs="Arial" w:eastAsia="Arial" w:hAnsi="Arial"/>
                <w:sz w:val="20"/>
                <w:szCs w:val="20"/>
                <w:color w:val="auto"/>
                <w:w w:val="88"/>
              </w:rPr>
              <w:t>Six-months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740" w:type="dxa"/>
            <w:vAlign w:val="bottom"/>
            <w:gridSpan w:val="2"/>
            <w:vMerge w:val="continue"/>
          </w:tcPr>
          <w:p>
            <w:pPr>
              <w:spacing w:after="0"/>
              <w:rPr>
                <w:sz w:val="16"/>
                <w:szCs w:val="16"/>
                <w:color w:val="auto"/>
              </w:rPr>
            </w:pPr>
          </w:p>
        </w:tc>
        <w:tc>
          <w:tcPr>
            <w:tcW w:w="4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740"/>
              <w:spacing w:after="0"/>
              <w:rPr>
                <w:sz w:val="20"/>
                <w:szCs w:val="20"/>
                <w:color w:val="auto"/>
              </w:rPr>
            </w:pPr>
            <w:r>
              <w:rPr>
                <w:rFonts w:ascii="Arial" w:cs="Arial" w:eastAsia="Arial" w:hAnsi="Arial"/>
                <w:sz w:val="20"/>
                <w:szCs w:val="20"/>
                <w:color w:val="auto"/>
              </w:rPr>
              <w:t>hedging instruments under</w:t>
            </w:r>
          </w:p>
        </w:tc>
        <w:tc>
          <w:tcPr>
            <w:tcW w:w="4100" w:type="dxa"/>
            <w:vAlign w:val="bottom"/>
            <w:gridSpan w:val="2"/>
          </w:tcPr>
          <w:p>
            <w:pPr>
              <w:jc w:val="center"/>
              <w:ind w:right="180"/>
              <w:spacing w:after="0"/>
              <w:rPr>
                <w:sz w:val="20"/>
                <w:szCs w:val="20"/>
                <w:color w:val="auto"/>
              </w:rPr>
            </w:pPr>
            <w:r>
              <w:rPr>
                <w:rFonts w:ascii="Arial" w:cs="Arial" w:eastAsia="Arial" w:hAnsi="Arial"/>
                <w:sz w:val="20"/>
                <w:szCs w:val="20"/>
                <w:color w:val="auto"/>
                <w:w w:val="90"/>
              </w:rPr>
              <w:t>recognized in income on</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200" w:type="dxa"/>
            <w:vAlign w:val="bottom"/>
          </w:tcPr>
          <w:p>
            <w:pPr>
              <w:spacing w:after="0"/>
              <w:rPr>
                <w:sz w:val="21"/>
                <w:szCs w:val="21"/>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June 30, 2018</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8"/>
              </w:rPr>
              <w:t>June 30, 2017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10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Interest and other income (expense), net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5,734</w:t>
            </w:r>
          </w:p>
        </w:tc>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vMerge w:val="restart"/>
          </w:tcPr>
          <w:p>
            <w:pPr>
              <w:jc w:val="center"/>
              <w:spacing w:after="0"/>
              <w:rPr>
                <w:sz w:val="20"/>
                <w:szCs w:val="20"/>
                <w:color w:val="auto"/>
              </w:rPr>
            </w:pPr>
            <w:r>
              <w:rPr>
                <w:rFonts w:ascii="Arial" w:cs="Arial" w:eastAsia="Arial" w:hAnsi="Arial"/>
                <w:sz w:val="18"/>
                <w:szCs w:val="18"/>
                <w:color w:val="auto"/>
                <w:w w:val="89"/>
              </w:rPr>
              <w:t>17</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2"/>
          </w:tcPr>
          <w:p>
            <w:pPr>
              <w:ind w:left="180"/>
              <w:spacing w:after="0"/>
              <w:rPr>
                <w:sz w:val="20"/>
                <w:szCs w:val="20"/>
                <w:color w:val="auto"/>
              </w:rPr>
            </w:pPr>
            <w:r>
              <w:rPr>
                <w:rFonts w:ascii="Arial" w:cs="Arial" w:eastAsia="Arial" w:hAnsi="Arial"/>
                <w:sz w:val="20"/>
                <w:szCs w:val="20"/>
                <w:color w:val="auto"/>
              </w:rPr>
              <w:t>June 30,</w:t>
            </w:r>
          </w:p>
        </w:tc>
        <w:tc>
          <w:tcPr>
            <w:tcW w:w="260" w:type="dxa"/>
            <w:vAlign w:val="bottom"/>
          </w:tcPr>
          <w:p>
            <w:pPr>
              <w:spacing w:after="0"/>
              <w:rPr>
                <w:sz w:val="19"/>
                <w:szCs w:val="19"/>
                <w:color w:val="auto"/>
              </w:rPr>
            </w:pPr>
          </w:p>
        </w:tc>
        <w:tc>
          <w:tcPr>
            <w:tcW w:w="1440" w:type="dxa"/>
            <w:vAlign w:val="bottom"/>
          </w:tcPr>
          <w:p>
            <w:pPr>
              <w:jc w:val="right"/>
              <w:ind w:right="18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642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2018</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06"/>
        </w:trPr>
        <w:tc>
          <w:tcPr>
            <w:tcW w:w="6420" w:type="dxa"/>
            <w:vAlign w:val="bottom"/>
            <w:vMerge w:val="continue"/>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360" w:type="dxa"/>
            <w:vAlign w:val="bottom"/>
          </w:tcPr>
          <w:p>
            <w:pPr>
              <w:jc w:val="right"/>
              <w:ind w:right="1"/>
              <w:spacing w:after="0" w:line="207" w:lineRule="exact"/>
              <w:rPr>
                <w:sz w:val="20"/>
                <w:szCs w:val="20"/>
                <w:color w:val="auto"/>
              </w:rPr>
            </w:pPr>
            <w:r>
              <w:rPr>
                <w:rFonts w:ascii="Arial" w:cs="Arial" w:eastAsia="Arial" w:hAnsi="Arial"/>
                <w:sz w:val="20"/>
                <w:szCs w:val="20"/>
                <w:color w:val="auto"/>
              </w:rPr>
              <w:t>89,362</w:t>
            </w:r>
          </w:p>
        </w:tc>
        <w:tc>
          <w:tcPr>
            <w:tcW w:w="56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40" w:type="dxa"/>
            <w:vAlign w:val="bottom"/>
          </w:tcPr>
          <w:p>
            <w:pPr>
              <w:jc w:val="right"/>
              <w:ind w:right="1"/>
              <w:spacing w:after="0" w:line="207" w:lineRule="exact"/>
              <w:rPr>
                <w:sz w:val="20"/>
                <w:szCs w:val="20"/>
                <w:color w:val="auto"/>
              </w:rPr>
            </w:pPr>
            <w:r>
              <w:rPr>
                <w:rFonts w:ascii="Arial" w:cs="Arial" w:eastAsia="Arial" w:hAnsi="Arial"/>
                <w:sz w:val="20"/>
                <w:szCs w:val="20"/>
                <w:color w:val="auto"/>
              </w:rPr>
              <w:t>78,834</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0"/>
                <w:szCs w:val="20"/>
                <w:color w:val="auto"/>
              </w:rPr>
            </w:pPr>
            <w:r>
              <w:rPr>
                <w:rFonts w:ascii="Arial" w:cs="Arial" w:eastAsia="Arial" w:hAnsi="Arial"/>
                <w:sz w:val="20"/>
                <w:szCs w:val="20"/>
                <w:color w:val="auto"/>
              </w:rPr>
              <w:t>Finished goods</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186,204</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176,911</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275,566</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255,745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2"/>
          </w:tcPr>
          <w:p>
            <w:pPr>
              <w:ind w:left="160"/>
              <w:spacing w:after="0"/>
              <w:rPr>
                <w:sz w:val="20"/>
                <w:szCs w:val="20"/>
                <w:color w:val="auto"/>
              </w:rPr>
            </w:pPr>
            <w:r>
              <w:rPr>
                <w:rFonts w:ascii="Arial" w:cs="Arial" w:eastAsia="Arial" w:hAnsi="Arial"/>
                <w:sz w:val="20"/>
                <w:szCs w:val="20"/>
                <w:color w:val="auto"/>
              </w:rPr>
              <w:t>June 30,</w:t>
            </w:r>
          </w:p>
        </w:tc>
        <w:tc>
          <w:tcPr>
            <w:tcW w:w="26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640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2018</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06"/>
        </w:trPr>
        <w:tc>
          <w:tcPr>
            <w:tcW w:w="6400" w:type="dxa"/>
            <w:vAlign w:val="bottom"/>
            <w:vMerge w:val="continue"/>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44,261</w:t>
            </w:r>
          </w:p>
        </w:tc>
        <w:tc>
          <w:tcPr>
            <w:tcW w:w="56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47,373</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Leasehold improvements</w:t>
            </w:r>
          </w:p>
        </w:tc>
        <w:tc>
          <w:tcPr>
            <w:tcW w:w="36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3,278</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3,109</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Furniture and fixtures</w:t>
            </w:r>
          </w:p>
        </w:tc>
        <w:tc>
          <w:tcPr>
            <w:tcW w:w="36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6,732</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6,461</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36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17,683</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14,506</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Computer software</w:t>
            </w:r>
          </w:p>
        </w:tc>
        <w:tc>
          <w:tcPr>
            <w:tcW w:w="36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3,334</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3,650</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Equipment</w:t>
            </w:r>
          </w:p>
        </w:tc>
        <w:tc>
          <w:tcPr>
            <w:tcW w:w="36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165,861</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148,434</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Buildings</w:t>
            </w:r>
          </w:p>
        </w:tc>
        <w:tc>
          <w:tcPr>
            <w:tcW w:w="36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116,143</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107,374</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0"/>
                <w:szCs w:val="20"/>
                <w:color w:val="auto"/>
              </w:rPr>
            </w:pPr>
            <w:r>
              <w:rPr>
                <w:rFonts w:ascii="Arial" w:cs="Arial" w:eastAsia="Arial" w:hAnsi="Arial"/>
                <w:sz w:val="20"/>
                <w:szCs w:val="20"/>
                <w:color w:val="auto"/>
              </w:rPr>
              <w:t>Vehicles</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39,967</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38,179</w:t>
            </w:r>
          </w:p>
        </w:tc>
        <w:tc>
          <w:tcPr>
            <w:tcW w:w="0" w:type="dxa"/>
            <w:vAlign w:val="bottom"/>
          </w:tcPr>
          <w:p>
            <w:pPr>
              <w:spacing w:after="0"/>
              <w:rPr>
                <w:sz w:val="1"/>
                <w:szCs w:val="1"/>
                <w:color w:val="auto"/>
              </w:rPr>
            </w:pPr>
          </w:p>
        </w:tc>
      </w:tr>
      <w:tr>
        <w:trPr>
          <w:trHeight w:val="206"/>
        </w:trPr>
        <w:tc>
          <w:tcPr>
            <w:tcW w:w="6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397,259</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369,086</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(156,601)</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(138,810)</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240,658</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230,276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Total depreciation and amortization expense recorded was $11.2 million and $8.6 million for the three-months ended June 30, 2018 and 2017, respectively. Total depreciation and amortization expense recorded was $22.2 million and $16.8 million for the six-months ended June 30, 2018 and 2017, respectively.</w:t>
      </w:r>
    </w:p>
    <w:p>
      <w:pPr>
        <w:spacing w:after="0" w:line="20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is a roll-forward of goodwill for the six-months ended June 30, 2018 and 2017 by reportable segment: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20"/>
                <w:szCs w:val="20"/>
                <w:color w:val="auto"/>
                <w:w w:val="91"/>
              </w:rPr>
              <w:t>Monster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20"/>
                <w:szCs w:val="20"/>
                <w:color w:val="auto"/>
                <w:w w:val="92"/>
              </w:rPr>
              <w:t>Energy®</w:t>
            </w:r>
          </w:p>
        </w:tc>
        <w:tc>
          <w:tcPr>
            <w:tcW w:w="260" w:type="dxa"/>
            <w:vAlign w:val="bottom"/>
          </w:tcPr>
          <w:p>
            <w:pPr>
              <w:spacing w:after="0"/>
              <w:rPr>
                <w:sz w:val="19"/>
                <w:szCs w:val="19"/>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Strategic</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Balance at December 31, 2017</w:t>
            </w:r>
          </w:p>
        </w:tc>
        <w:tc>
          <w:tcPr>
            <w:tcW w:w="260" w:type="dxa"/>
            <w:vAlign w:val="bottom"/>
          </w:tcPr>
          <w:p>
            <w:pPr>
              <w:spacing w:after="0"/>
              <w:rPr>
                <w:sz w:val="21"/>
                <w:szCs w:val="21"/>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20"/>
                <w:szCs w:val="20"/>
                <w:color w:val="auto"/>
                <w:w w:val="95"/>
              </w:rPr>
              <w:t>Drinks</w:t>
            </w:r>
          </w:p>
        </w:tc>
        <w:tc>
          <w:tcPr>
            <w:tcW w:w="260" w:type="dxa"/>
            <w:vAlign w:val="bottom"/>
          </w:tcPr>
          <w:p>
            <w:pPr>
              <w:spacing w:after="0"/>
              <w:rPr>
                <w:sz w:val="21"/>
                <w:szCs w:val="21"/>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20"/>
                <w:szCs w:val="20"/>
                <w:color w:val="auto"/>
                <w:w w:val="88"/>
              </w:rPr>
              <w:t>Brands</w:t>
            </w:r>
          </w:p>
        </w:tc>
        <w:tc>
          <w:tcPr>
            <w:tcW w:w="30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7"/>
                <w:szCs w:val="17"/>
                <w:color w:val="auto"/>
              </w:rPr>
            </w:pPr>
          </w:p>
        </w:tc>
        <w:tc>
          <w:tcPr>
            <w:tcW w:w="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1,331,643</w:t>
            </w: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0"/>
                <w:szCs w:val="20"/>
                <w:color w:val="auto"/>
              </w:rPr>
            </w:pPr>
            <w:r>
              <w:rPr>
                <w:rFonts w:ascii="Arial" w:cs="Arial" w:eastAsia="Arial" w:hAnsi="Arial"/>
                <w:sz w:val="20"/>
                <w:szCs w:val="20"/>
                <w:color w:val="auto"/>
              </w:rPr>
              <w:t>Acquisitions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40" w:top="338" w:right="1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00" w:type="dxa"/>
            <w:vAlign w:val="bottom"/>
          </w:tcPr>
          <w:p>
            <w:pPr>
              <w:ind w:left="660"/>
              <w:spacing w:after="0"/>
              <w:rPr>
                <w:sz w:val="20"/>
                <w:szCs w:val="20"/>
                <w:color w:val="auto"/>
              </w:rPr>
            </w:pPr>
            <w:r>
              <w:rPr>
                <w:rFonts w:ascii="Arial" w:cs="Arial" w:eastAsia="Arial" w:hAnsi="Arial"/>
                <w:sz w:val="20"/>
                <w:szCs w:val="20"/>
                <w:color w:val="auto"/>
              </w:rPr>
              <w:t>Balance at June 30, 2018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693,644</w:t>
            </w:r>
          </w:p>
        </w:tc>
        <w:tc>
          <w:tcPr>
            <w:tcW w:w="30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637,999</w:t>
            </w:r>
          </w:p>
        </w:tc>
        <w:tc>
          <w:tcPr>
            <w:tcW w:w="280" w:type="dxa"/>
            <w:vAlign w:val="bottom"/>
          </w:tcPr>
          <w:p>
            <w:pPr>
              <w:spacing w:after="0"/>
              <w:rPr>
                <w:sz w:val="21"/>
                <w:szCs w:val="21"/>
                <w:color w:val="auto"/>
              </w:rPr>
            </w:pPr>
          </w:p>
        </w:tc>
        <w:tc>
          <w:tcPr>
            <w:tcW w:w="9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1,331,643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20"/>
                <w:szCs w:val="20"/>
                <w:color w:val="auto"/>
                <w:w w:val="91"/>
              </w:rPr>
              <w:t>Monster</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20"/>
                <w:szCs w:val="20"/>
                <w:color w:val="auto"/>
                <w:w w:val="92"/>
              </w:rPr>
              <w:t>Energy®</w:t>
            </w:r>
          </w:p>
        </w:tc>
        <w:tc>
          <w:tcPr>
            <w:tcW w:w="260" w:type="dxa"/>
            <w:vAlign w:val="bottom"/>
          </w:tcPr>
          <w:p>
            <w:pPr>
              <w:spacing w:after="0"/>
              <w:rPr>
                <w:sz w:val="19"/>
                <w:szCs w:val="19"/>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Strategic</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900" w:type="dxa"/>
            <w:vAlign w:val="bottom"/>
            <w:vMerge w:val="restart"/>
          </w:tcPr>
          <w:p>
            <w:pPr>
              <w:ind w:left="660"/>
              <w:spacing w:after="0"/>
              <w:rPr>
                <w:sz w:val="20"/>
                <w:szCs w:val="20"/>
                <w:color w:val="auto"/>
              </w:rPr>
            </w:pPr>
            <w:r>
              <w:rPr>
                <w:rFonts w:ascii="Arial" w:cs="Arial" w:eastAsia="Arial" w:hAnsi="Arial"/>
                <w:sz w:val="20"/>
                <w:szCs w:val="20"/>
                <w:color w:val="auto"/>
              </w:rPr>
              <w:t>Balance at December 31, 2016</w:t>
            </w:r>
          </w:p>
        </w:tc>
        <w:tc>
          <w:tcPr>
            <w:tcW w:w="260" w:type="dxa"/>
            <w:vAlign w:val="bottom"/>
          </w:tcPr>
          <w:p>
            <w:pPr>
              <w:spacing w:after="0"/>
              <w:rPr>
                <w:sz w:val="21"/>
                <w:szCs w:val="21"/>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20"/>
                <w:szCs w:val="20"/>
                <w:color w:val="auto"/>
                <w:w w:val="95"/>
              </w:rPr>
              <w:t>Drinks</w:t>
            </w:r>
          </w:p>
        </w:tc>
        <w:tc>
          <w:tcPr>
            <w:tcW w:w="260" w:type="dxa"/>
            <w:vAlign w:val="bottom"/>
          </w:tcPr>
          <w:p>
            <w:pPr>
              <w:spacing w:after="0"/>
              <w:rPr>
                <w:sz w:val="21"/>
                <w:szCs w:val="21"/>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20"/>
                <w:szCs w:val="20"/>
                <w:color w:val="auto"/>
                <w:w w:val="88"/>
              </w:rPr>
              <w:t>Brands</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Other</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900" w:type="dxa"/>
            <w:vAlign w:val="bottom"/>
            <w:vMerge w:val="continue"/>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2"/>
              <w:spacing w:after="0" w:line="207" w:lineRule="exact"/>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7"/>
                <w:szCs w:val="17"/>
                <w:color w:val="auto"/>
              </w:rPr>
            </w:pPr>
          </w:p>
        </w:tc>
        <w:tc>
          <w:tcPr>
            <w:tcW w:w="920" w:type="dxa"/>
            <w:vAlign w:val="bottom"/>
            <w:tcBorders>
              <w:top w:val="single" w:sz="8" w:color="auto"/>
            </w:tcBorders>
          </w:tcPr>
          <w:p>
            <w:pPr>
              <w:jc w:val="right"/>
              <w:ind w:right="621"/>
              <w:spacing w:after="0" w:line="207"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1,331,643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900" w:type="dxa"/>
            <w:vAlign w:val="bottom"/>
          </w:tcPr>
          <w:p>
            <w:pPr>
              <w:ind w:left="660"/>
              <w:spacing w:after="0"/>
              <w:rPr>
                <w:sz w:val="20"/>
                <w:szCs w:val="20"/>
                <w:color w:val="auto"/>
              </w:rPr>
            </w:pPr>
            <w:r>
              <w:rPr>
                <w:rFonts w:ascii="Arial" w:cs="Arial" w:eastAsia="Arial" w:hAnsi="Arial"/>
                <w:sz w:val="20"/>
                <w:szCs w:val="20"/>
                <w:color w:val="auto"/>
              </w:rPr>
              <w:t>Acquisitions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660"/>
              <w:spacing w:after="0" w:line="220" w:lineRule="exact"/>
              <w:rPr>
                <w:sz w:val="20"/>
                <w:szCs w:val="20"/>
                <w:color w:val="auto"/>
              </w:rPr>
            </w:pPr>
            <w:r>
              <w:rPr>
                <w:rFonts w:ascii="Arial" w:cs="Arial" w:eastAsia="Arial" w:hAnsi="Arial"/>
                <w:sz w:val="20"/>
                <w:szCs w:val="20"/>
                <w:color w:val="auto"/>
              </w:rPr>
              <w:t>Balance at June 30, 2017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1,331,643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300" w:type="dxa"/>
            <w:vAlign w:val="bottom"/>
          </w:tcPr>
          <w:p>
            <w:pPr>
              <w:spacing w:after="0"/>
              <w:rPr>
                <w:sz w:val="20"/>
                <w:szCs w:val="20"/>
                <w:color w:val="auto"/>
              </w:rPr>
            </w:pPr>
            <w:r>
              <w:rPr>
                <w:rFonts w:ascii="Arial" w:cs="Arial" w:eastAsia="Arial" w:hAnsi="Arial"/>
                <w:sz w:val="20"/>
                <w:szCs w:val="20"/>
                <w:color w:val="auto"/>
              </w:rPr>
              <w:t>Intangible assets consist of the following at:</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4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ind w:left="140"/>
              <w:spacing w:after="0"/>
              <w:rPr>
                <w:sz w:val="20"/>
                <w:szCs w:val="20"/>
                <w:color w:val="auto"/>
              </w:rPr>
            </w:pPr>
            <w:r>
              <w:rPr>
                <w:rFonts w:ascii="Arial" w:cs="Arial" w:eastAsia="Arial" w:hAnsi="Arial"/>
                <w:sz w:val="20"/>
                <w:szCs w:val="20"/>
                <w:color w:val="auto"/>
              </w:rPr>
              <w:t>June 30,</w:t>
            </w:r>
          </w:p>
        </w:tc>
        <w:tc>
          <w:tcPr>
            <w:tcW w:w="240" w:type="dxa"/>
            <w:vAlign w:val="bottom"/>
          </w:tcPr>
          <w:p>
            <w:pPr>
              <w:spacing w:after="0"/>
              <w:rPr>
                <w:sz w:val="24"/>
                <w:szCs w:val="24"/>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w w:val="87"/>
              </w:rPr>
              <w:t>December 31,</w:t>
            </w:r>
          </w:p>
        </w:tc>
        <w:tc>
          <w:tcPr>
            <w:tcW w:w="0" w:type="dxa"/>
            <w:vAlign w:val="bottom"/>
          </w:tcPr>
          <w:p>
            <w:pPr>
              <w:spacing w:after="0"/>
              <w:rPr>
                <w:sz w:val="1"/>
                <w:szCs w:val="1"/>
                <w:color w:val="auto"/>
              </w:rPr>
            </w:pPr>
          </w:p>
        </w:tc>
      </w:tr>
      <w:tr>
        <w:trPr>
          <w:trHeight w:val="246"/>
        </w:trPr>
        <w:tc>
          <w:tcPr>
            <w:tcW w:w="4300" w:type="dxa"/>
            <w:vAlign w:val="bottom"/>
            <w:vMerge w:val="restart"/>
          </w:tcPr>
          <w:p>
            <w:pPr>
              <w:spacing w:after="0"/>
              <w:rPr>
                <w:sz w:val="20"/>
                <w:szCs w:val="20"/>
                <w:color w:val="auto"/>
              </w:rPr>
            </w:pPr>
            <w:r>
              <w:rPr>
                <w:rFonts w:ascii="Arial" w:cs="Arial" w:eastAsia="Arial" w:hAnsi="Arial"/>
                <w:sz w:val="20"/>
                <w:szCs w:val="20"/>
                <w:color w:val="auto"/>
              </w:rPr>
              <w:t>Amortizing intangibles</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2018</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06"/>
        </w:trPr>
        <w:tc>
          <w:tcPr>
            <w:tcW w:w="4300" w:type="dxa"/>
            <w:vAlign w:val="bottom"/>
            <w:vMerge w:val="continue"/>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71,355</w:t>
            </w:r>
          </w:p>
        </w:tc>
        <w:tc>
          <w:tcPr>
            <w:tcW w:w="280" w:type="dxa"/>
            <w:vAlign w:val="bottom"/>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Pr>
          <w:p>
            <w:pPr>
              <w:jc w:val="right"/>
              <w:ind w:right="1"/>
              <w:spacing w:after="0" w:line="207" w:lineRule="exact"/>
              <w:rPr>
                <w:sz w:val="20"/>
                <w:szCs w:val="20"/>
                <w:color w:val="auto"/>
              </w:rPr>
            </w:pPr>
            <w:r>
              <w:rPr>
                <w:rFonts w:ascii="Arial" w:cs="Arial" w:eastAsia="Arial" w:hAnsi="Arial"/>
                <w:sz w:val="20"/>
                <w:szCs w:val="20"/>
                <w:color w:val="auto"/>
              </w:rPr>
              <w:t>71,400</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(32,387)</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(26,383)</w:t>
            </w:r>
          </w:p>
        </w:tc>
        <w:tc>
          <w:tcPr>
            <w:tcW w:w="0" w:type="dxa"/>
            <w:vAlign w:val="bottom"/>
          </w:tcPr>
          <w:p>
            <w:pPr>
              <w:spacing w:after="0"/>
              <w:rPr>
                <w:sz w:val="1"/>
                <w:szCs w:val="1"/>
                <w:color w:val="auto"/>
              </w:rPr>
            </w:pPr>
          </w:p>
        </w:tc>
      </w:tr>
      <w:tr>
        <w:trPr>
          <w:trHeight w:val="206"/>
        </w:trPr>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38,968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1"/>
              <w:spacing w:after="0" w:line="207" w:lineRule="exact"/>
              <w:rPr>
                <w:sz w:val="20"/>
                <w:szCs w:val="20"/>
                <w:color w:val="auto"/>
              </w:rPr>
            </w:pPr>
            <w:r>
              <w:rPr>
                <w:rFonts w:ascii="Arial" w:cs="Arial" w:eastAsia="Arial" w:hAnsi="Arial"/>
                <w:sz w:val="20"/>
                <w:szCs w:val="20"/>
                <w:color w:val="auto"/>
              </w:rPr>
              <w:t>45,017</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0"/>
                <w:szCs w:val="20"/>
                <w:color w:val="auto"/>
              </w:rPr>
            </w:pPr>
            <w:r>
              <w:rPr>
                <w:rFonts w:ascii="Arial" w:cs="Arial" w:eastAsia="Arial" w:hAnsi="Arial"/>
                <w:sz w:val="20"/>
                <w:szCs w:val="20"/>
                <w:color w:val="auto"/>
              </w:rPr>
              <w:t>Non-amortizing intangibles</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1,000,433</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989,068</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1,039,401</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1,034,085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9"/>
          <w:szCs w:val="19"/>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$3.0 million for both the three-months ended June 30, 2018 and 2017. Total amortization expense recorded was $6.0 million for both the six-months ended June 30, 2018 and 2017.</w:t>
      </w:r>
    </w:p>
    <w:p>
      <w:pPr>
        <w:spacing w:after="0" w:line="190"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In accordance with ASC No. 420 “Exit or Disposal Cost Obligations”, the Company expenses distributor termination costs in the period in which the written notification of termination occurs. The Company incurred termination costs of $5.5 million and $0.2 million for the three-months ended June 30, 2018 and 2017, respectively. The Company incurred termination costs of $12.5 million and $20.1 million for the six-months ended June 30, 2018 and 2017, respectively. Such termination costs have been expensed in full and are included in operating expenses for the three- and six-months ended June 30, 2018 and 2017.</w:t>
      </w:r>
    </w:p>
    <w:p>
      <w:pPr>
        <w:spacing w:after="0" w:line="208"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19"/>
          <w:szCs w:val="19"/>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$11.0 million and $10.2 million for the three-months ended June 30, 2018 and 2017, respectively. Revenue recognized was $22.2 million and $20.1 million for the six-months ended June 30, 2018 and 2017, respectively.</w:t>
      </w:r>
    </w:p>
    <w:p>
      <w:pPr>
        <w:spacing w:after="0" w:line="194"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$50.0 million at June 30, 2018, which represented commitments made by the Company and its subsidiaries to various suppliers of raw materials for the production of its products. These obligations vary in terms, but are generally satisfied within one year.</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$154.2 million at June 30, 2018, which related primarily to sponsorships and other marketing activities.</w:t>
      </w:r>
    </w:p>
    <w:p>
      <w:pPr>
        <w:spacing w:after="0" w:line="190"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$16.3 million at June 30, 2018, which related primarily to warehouse and office space.</w:t>
      </w:r>
    </w:p>
    <w:p>
      <w:pPr>
        <w:spacing w:after="0" w:line="190" w:lineRule="exact"/>
        <w:rPr>
          <w:sz w:val="20"/>
          <w:szCs w:val="20"/>
          <w:color w:val="auto"/>
        </w:rPr>
      </w:pPr>
    </w:p>
    <w:p>
      <w:pPr>
        <w:ind w:right="40" w:firstLine="689"/>
        <w:spacing w:after="0" w:line="316" w:lineRule="auto"/>
        <w:rPr>
          <w:sz w:val="20"/>
          <w:szCs w:val="20"/>
          <w:color w:val="auto"/>
        </w:rPr>
      </w:pPr>
      <w:r>
        <w:rPr>
          <w:rFonts w:ascii="Arial" w:cs="Arial" w:eastAsia="Arial" w:hAnsi="Arial"/>
          <w:sz w:val="18"/>
          <w:szCs w:val="18"/>
          <w:color w:val="auto"/>
        </w:rPr>
        <w:t>In February 2018, the working capital line limit for the Company’s credit facility with HSBC Bank (China) Company Limited, Shanghai Branch was increased from $9.0 million to $15.0 million. At June 30, 2018, the interest rate on borrowings under the line of credit</w:t>
      </w:r>
    </w:p>
    <w:p>
      <w:pPr>
        <w:sectPr>
          <w:pgSz w:w="11900" w:h="16838" w:orient="portrait"/>
          <w:cols w:equalWidth="0" w:num="1">
            <w:col w:w="11460"/>
          </w:cols>
          <w:pgMar w:left="240" w:top="122" w:right="199" w:bottom="0" w:gutter="0" w:footer="0" w:header="0"/>
        </w:sectPr>
      </w:pPr>
    </w:p>
    <w:bookmarkStart w:id="13" w:name="page14"/>
    <w:bookmarkEnd w:id="13"/>
    <w:p>
      <w:pPr>
        <w:jc w:val="both"/>
        <w:spacing w:after="0" w:line="262" w:lineRule="auto"/>
        <w:rPr>
          <w:sz w:val="20"/>
          <w:szCs w:val="20"/>
          <w:color w:val="auto"/>
        </w:rPr>
      </w:pPr>
      <w:r>
        <w:rPr>
          <w:rFonts w:ascii="Arial" w:cs="Arial" w:eastAsia="Arial" w:hAnsi="Arial"/>
          <w:sz w:val="20"/>
          <w:szCs w:val="20"/>
          <w:color w:val="auto"/>
        </w:rPr>
        <w:t>was 5.5%. As of June 30, 2018, the Company had $11.2 million outstanding on this line of credit, including interest, which is included in accounts payable in the condensed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689"/>
        <w:spacing w:after="0" w:line="244" w:lineRule="auto"/>
        <w:rPr>
          <w:sz w:val="20"/>
          <w:szCs w:val="20"/>
          <w:color w:val="auto"/>
        </w:rPr>
      </w:pPr>
      <w:r>
        <w:rPr>
          <w:rFonts w:ascii="Arial" w:cs="Arial" w:eastAsia="Arial" w:hAnsi="Arial"/>
          <w:sz w:val="20"/>
          <w:szCs w:val="20"/>
          <w:i w:val="1"/>
          <w:iCs w:val="1"/>
          <w:color w:val="auto"/>
        </w:rPr>
        <w:t xml:space="preserve">Litigation </w:t>
      </w:r>
      <w:r>
        <w:rPr>
          <w:rFonts w:ascii="Arial" w:cs="Arial" w:eastAsia="Arial" w:hAnsi="Arial"/>
          <w:sz w:val="20"/>
          <w:szCs w:val="20"/>
          <w:color w:val="auto"/>
        </w:rPr>
        <w:t>— The Company has been named a defendant in personal injury lawsuits, claiming that the death or other serious injury of</w:t>
      </w:r>
      <w:r>
        <w:rPr>
          <w:rFonts w:ascii="Arial" w:cs="Arial" w:eastAsia="Arial" w:hAnsi="Arial"/>
          <w:sz w:val="20"/>
          <w:szCs w:val="20"/>
          <w:i w:val="1"/>
          <w:iCs w:val="1"/>
          <w:color w:val="auto"/>
        </w:rPr>
        <w:t xml:space="preserve"> </w:t>
      </w:r>
      <w:r>
        <w:rPr>
          <w:rFonts w:ascii="Arial" w:cs="Arial" w:eastAsia="Arial" w:hAnsi="Arial"/>
          <w:sz w:val="20"/>
          <w:szCs w:val="20"/>
          <w:color w:val="auto"/>
        </w:rPr>
        <w:t>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June 30, 2018, the Company’s condensed consolidated balance sheet includes accrued loss contingencies of approximately $3.3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accumulated other comprehensive loss by component, after tax, for the six-months ended June 30, 2018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color w:val="auto"/>
                <w:w w:val="89"/>
              </w:rPr>
              <w:t>Unrealized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91"/>
              </w:rPr>
              <w:t>Currency</w:t>
            </w: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color w:val="auto"/>
                <w:w w:val="87"/>
              </w:rPr>
              <w:t>(Gains) Losses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90"/>
              </w:rPr>
              <w:t>Translation</w:t>
            </w:r>
          </w:p>
        </w:tc>
        <w:tc>
          <w:tcPr>
            <w:tcW w:w="240" w:type="dxa"/>
            <w:vAlign w:val="bottom"/>
          </w:tcPr>
          <w:p>
            <w:pPr>
              <w:spacing w:after="0"/>
              <w:rPr>
                <w:sz w:val="19"/>
                <w:szCs w:val="19"/>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20"/>
                <w:szCs w:val="20"/>
                <w:color w:val="auto"/>
                <w:w w:val="93"/>
              </w:rPr>
              <w:t>on Available-for-</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620" w:type="dxa"/>
            <w:vAlign w:val="bottom"/>
            <w:vMerge w:val="restart"/>
          </w:tcPr>
          <w:p>
            <w:pPr>
              <w:spacing w:after="0"/>
              <w:rPr>
                <w:sz w:val="20"/>
                <w:szCs w:val="20"/>
                <w:color w:val="auto"/>
              </w:rPr>
            </w:pPr>
            <w:r>
              <w:rPr>
                <w:rFonts w:ascii="Arial" w:cs="Arial" w:eastAsia="Arial" w:hAnsi="Arial"/>
                <w:sz w:val="20"/>
                <w:szCs w:val="20"/>
                <w:color w:val="auto"/>
              </w:rPr>
              <w:t>Balance at December 31, 2017</w:t>
            </w:r>
          </w:p>
        </w:tc>
        <w:tc>
          <w:tcPr>
            <w:tcW w:w="300" w:type="dxa"/>
            <w:vAlign w:val="bottom"/>
          </w:tcPr>
          <w:p>
            <w:pPr>
              <w:spacing w:after="0"/>
              <w:rPr>
                <w:sz w:val="21"/>
                <w:szCs w:val="21"/>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85"/>
              </w:rPr>
              <w:t>Losses</w:t>
            </w:r>
          </w:p>
        </w:tc>
        <w:tc>
          <w:tcPr>
            <w:tcW w:w="240" w:type="dxa"/>
            <w:vAlign w:val="bottom"/>
          </w:tcPr>
          <w:p>
            <w:pPr>
              <w:spacing w:after="0"/>
              <w:rPr>
                <w:sz w:val="21"/>
                <w:szCs w:val="21"/>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Sale Securities</w:t>
            </w: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620" w:type="dxa"/>
            <w:vAlign w:val="bottom"/>
            <w:vMerge w:val="continue"/>
          </w:tcPr>
          <w:p>
            <w:pPr>
              <w:spacing w:after="0"/>
              <w:rPr>
                <w:sz w:val="17"/>
                <w:szCs w:val="17"/>
                <w:color w:val="auto"/>
              </w:rPr>
            </w:pPr>
          </w:p>
        </w:tc>
        <w:tc>
          <w:tcPr>
            <w:tcW w:w="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15,818</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841</w:t>
            </w:r>
          </w:p>
        </w:tc>
        <w:tc>
          <w:tcPr>
            <w:tcW w:w="26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16,659</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20"/>
                <w:szCs w:val="20"/>
                <w:color w:val="auto"/>
              </w:rPr>
              <w:t>Other comprehensive loss (gain) before reclassifications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9,265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20"/>
                <w:szCs w:val="20"/>
                <w:color w:val="auto"/>
              </w:rPr>
              <w:t>(728)</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8,537</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20"/>
                <w:szCs w:val="20"/>
                <w:color w:val="auto"/>
              </w:rPr>
              <w:t>Amounts reclassified from accumulated other comprehensive</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620" w:type="dxa"/>
            <w:vAlign w:val="bottom"/>
          </w:tcPr>
          <w:p>
            <w:pPr>
              <w:ind w:left="360"/>
              <w:spacing w:after="0"/>
              <w:rPr>
                <w:sz w:val="20"/>
                <w:szCs w:val="20"/>
                <w:color w:val="auto"/>
              </w:rPr>
            </w:pPr>
            <w:r>
              <w:rPr>
                <w:rFonts w:ascii="Arial" w:cs="Arial" w:eastAsia="Arial" w:hAnsi="Arial"/>
                <w:sz w:val="20"/>
                <w:szCs w:val="20"/>
                <w:color w:val="auto"/>
              </w:rPr>
              <w:t>loss (gain)</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line="213" w:lineRule="exact"/>
              <w:rPr>
                <w:sz w:val="20"/>
                <w:szCs w:val="20"/>
                <w:color w:val="auto"/>
              </w:rPr>
            </w:pPr>
            <w:r>
              <w:rPr>
                <w:rFonts w:ascii="Arial" w:cs="Arial" w:eastAsia="Arial" w:hAnsi="Arial"/>
                <w:sz w:val="20"/>
                <w:szCs w:val="20"/>
                <w:color w:val="auto"/>
              </w:rPr>
              <w:t>Net current-period other comprehensive loss (gain)</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9,265</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(728)</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8,537</w:t>
            </w:r>
          </w:p>
        </w:tc>
        <w:tc>
          <w:tcPr>
            <w:tcW w:w="0" w:type="dxa"/>
            <w:vAlign w:val="bottom"/>
          </w:tcPr>
          <w:p>
            <w:pPr>
              <w:spacing w:after="0"/>
              <w:rPr>
                <w:sz w:val="1"/>
                <w:szCs w:val="1"/>
                <w:color w:val="auto"/>
              </w:rPr>
            </w:pPr>
          </w:p>
        </w:tc>
      </w:tr>
      <w:tr>
        <w:trPr>
          <w:trHeight w:val="230"/>
        </w:trPr>
        <w:tc>
          <w:tcPr>
            <w:tcW w:w="5620" w:type="dxa"/>
            <w:vAlign w:val="bottom"/>
          </w:tcPr>
          <w:p>
            <w:pPr>
              <w:spacing w:after="0" w:line="220" w:lineRule="exact"/>
              <w:rPr>
                <w:sz w:val="20"/>
                <w:szCs w:val="20"/>
                <w:color w:val="auto"/>
              </w:rPr>
            </w:pPr>
            <w:r>
              <w:rPr>
                <w:rFonts w:ascii="Arial" w:cs="Arial" w:eastAsia="Arial" w:hAnsi="Arial"/>
                <w:sz w:val="20"/>
                <w:szCs w:val="20"/>
                <w:color w:val="auto"/>
              </w:rPr>
              <w:t>Balance at June 30, 2018</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25,083</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25,196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TREASURY STOCK</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February 27, 2018, the Company’s Board of Directors authorized a share repurchase program for the purchase of up to $250.0 million of the Company’s outstanding common stock (the “February 2018 Repurchase Program”). During the three-months ended June 30, 2018, the Company purchased 5.0 million shares of common stock at an average purchase price of $49.81 per share, for a total amount of $249.9 million (excluding broker commissions), which exhausted the availability under the February 2018 Repurchase Program. Such shares are included in common stock in treasury in the accompanying condensed consolidated balance sheet at June 30, 2018.</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May 29, 2018, the Company’s Board of Directors authorized a share repurchase program for the purchase of up to $500.0 million of the Company’s outstanding common stock (the “May 2018 Repurchase Program”). During the three-months ended June 30, 2018, the Company purchased 5.5 million shares of common stock at an average purchase price of $54.78 per share, for a total amount of $303.2 million (excluding broker commissions), under the May 2018 Repurchase Program. Such shares are included in common stock in treasury in the accompanying condensed consolidated balance sheet at June 30, 2018. As of August 9, 2018, $196.7 million remained available for repurchase under the May 2018 Repurchase Program.</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August 7, 2018, the Company’s Board of Directors authorized a new repurchase program for the repurchase of up to an additional $500.0 million of the Company’s outstanding common stock (the “August 2018 Repurchase Program”). As of August 9, 2018, $500.0 million remained available for repurchase under the August 2018 Repurchase Program.</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During the three-months ended June 30, 2018, 504 shares of common stock were purchased from employees in lieu of cash payments for options exercised or withholding taxes due, for a total amount of $0.03 million. While such purchases are considered common stock repurchases, they are not counted as purchases against the Company’s authorized share repurchase programs. Such shares are included in common stock in treasury in the accompanying condensed consolidated balance sheet at June 30, 2018.</w:t>
      </w:r>
    </w:p>
    <w:p>
      <w:pPr>
        <w:spacing w:after="0" w:line="190"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STOCK-BASED COMPENSATION</w:t>
      </w:r>
    </w:p>
    <w:p>
      <w:pPr>
        <w:sectPr>
          <w:pgSz w:w="11900" w:h="16838" w:orient="portrait"/>
          <w:cols w:equalWidth="0" w:num="1">
            <w:col w:w="11420"/>
          </w:cols>
          <w:pgMar w:left="240" w:top="122" w:right="239" w:bottom="0" w:gutter="0" w:footer="0" w:header="0"/>
        </w:sectPr>
      </w:pPr>
    </w:p>
    <w:bookmarkStart w:id="14" w:name="page15"/>
    <w:bookmarkEnd w:id="14"/>
    <w:p>
      <w:pPr>
        <w:jc w:val="both"/>
        <w:ind w:firstLine="648"/>
        <w:spacing w:after="0" w:line="261" w:lineRule="auto"/>
        <w:rPr>
          <w:sz w:val="20"/>
          <w:szCs w:val="20"/>
          <w:color w:val="auto"/>
        </w:rPr>
      </w:pPr>
      <w:r>
        <w:rPr>
          <w:rFonts w:ascii="Arial" w:cs="Arial" w:eastAsia="Arial" w:hAnsi="Arial"/>
          <w:sz w:val="19"/>
          <w:szCs w:val="19"/>
          <w:color w:val="auto"/>
        </w:rPr>
        <w:t>The Company has two stock-based compensation plans under which shares were available for grant at June 30, 2018: the Monster Beverage Corporation 2011 Omnibus Incentive Plan (the “2011 Omnibus Incentive Plan”), including the Monster Beverage Deferred Compensation Plan (the “Deferred Compensation Plan”) as a sub plan thereunder, and the Monster Beverage Corporation 2017 Compensation Plan for Non-Employee Directors (the “2017 Directors Plan”), including the Monster Beverage Deferred Compensation Plan for Non-Employee Directors (the “Non-Employee Director Deferral Plan”) as a sub plan thereunder.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recorded $14.9 million and $12.8 million of compensation expense relating to outstanding options and restricted stock units during the three-months ended June 30, 2018 and 2017, respectively. The Company recorded $28.3 million and $26.0 million of compensation expense relating to outstanding options and restricted stock units during the six-months ended June 30, 2018 and 2017, respectively.</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excess tax benefit for tax deductions from non-qualified stock option exercises, disqualifying dispositions of incentive stock options and vesting of restricted stock units for the three-months ended June 30, 2018 and 2017 was $1.7 million and $1.9 million, respectively. The excess tax benefit for tax deductions from non-qualified stock option exercises, disqualifying dispositions of incentive stock options and vesting of restricted stock units for the six-months ended June 30, 2018 and 2017 was $4.5 million and $11.3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June 30, 2018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4540" w:type="dxa"/>
            <w:vAlign w:val="bottom"/>
          </w:tcPr>
          <w:p>
            <w:pPr>
              <w:spacing w:after="0"/>
              <w:rPr>
                <w:sz w:val="21"/>
                <w:szCs w:val="21"/>
                <w:color w:val="auto"/>
              </w:rPr>
            </w:pPr>
          </w:p>
        </w:tc>
        <w:tc>
          <w:tcPr>
            <w:tcW w:w="3300" w:type="dxa"/>
            <w:vAlign w:val="bottom"/>
            <w:gridSpan w:val="4"/>
          </w:tcPr>
          <w:p>
            <w:pPr>
              <w:ind w:left="320"/>
              <w:spacing w:after="0"/>
              <w:rPr>
                <w:sz w:val="20"/>
                <w:szCs w:val="20"/>
                <w:color w:val="auto"/>
              </w:rPr>
            </w:pPr>
            <w:r>
              <w:rPr>
                <w:rFonts w:ascii="Arial" w:cs="Arial" w:eastAsia="Arial" w:hAnsi="Arial"/>
                <w:sz w:val="20"/>
                <w:szCs w:val="20"/>
                <w:color w:val="auto"/>
              </w:rPr>
              <w:t>Three-Months Ended June 30,</w:t>
            </w:r>
          </w:p>
        </w:tc>
        <w:tc>
          <w:tcPr>
            <w:tcW w:w="3000" w:type="dxa"/>
            <w:vAlign w:val="bottom"/>
            <w:gridSpan w:val="3"/>
          </w:tcPr>
          <w:p>
            <w:pPr>
              <w:ind w:left="400"/>
              <w:spacing w:after="0"/>
              <w:rPr>
                <w:sz w:val="20"/>
                <w:szCs w:val="20"/>
                <w:color w:val="auto"/>
              </w:rPr>
            </w:pPr>
            <w:r>
              <w:rPr>
                <w:rFonts w:ascii="Arial" w:cs="Arial" w:eastAsia="Arial" w:hAnsi="Arial"/>
                <w:sz w:val="20"/>
                <w:szCs w:val="20"/>
                <w:color w:val="auto"/>
              </w:rPr>
              <w:t>Six-Months Ended June 30,</w:t>
            </w:r>
          </w:p>
        </w:tc>
        <w:tc>
          <w:tcPr>
            <w:tcW w:w="0" w:type="dxa"/>
            <w:vAlign w:val="bottom"/>
          </w:tcPr>
          <w:p>
            <w:pPr>
              <w:spacing w:after="0"/>
              <w:rPr>
                <w:sz w:val="1"/>
                <w:szCs w:val="1"/>
                <w:color w:val="auto"/>
              </w:rPr>
            </w:pPr>
          </w:p>
        </w:tc>
      </w:tr>
      <w:tr>
        <w:trPr>
          <w:trHeight w:val="223"/>
        </w:trPr>
        <w:tc>
          <w:tcPr>
            <w:tcW w:w="454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36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2018</w:t>
            </w:r>
          </w:p>
        </w:tc>
        <w:tc>
          <w:tcPr>
            <w:tcW w:w="30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2018</w:t>
            </w: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06"/>
        </w:trPr>
        <w:tc>
          <w:tcPr>
            <w:tcW w:w="4540" w:type="dxa"/>
            <w:vAlign w:val="bottom"/>
            <w:vMerge w:val="continue"/>
          </w:tcPr>
          <w:p>
            <w:pPr>
              <w:spacing w:after="0"/>
              <w:rPr>
                <w:sz w:val="17"/>
                <w:szCs w:val="17"/>
                <w:color w:val="auto"/>
              </w:rPr>
            </w:pPr>
          </w:p>
        </w:tc>
        <w:tc>
          <w:tcPr>
            <w:tcW w:w="136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0.0%</w:t>
            </w:r>
          </w:p>
        </w:tc>
        <w:tc>
          <w:tcPr>
            <w:tcW w:w="300" w:type="dxa"/>
            <w:vAlign w:val="bottom"/>
          </w:tcPr>
          <w:p>
            <w:pPr>
              <w:spacing w:after="0"/>
              <w:rPr>
                <w:sz w:val="17"/>
                <w:szCs w:val="17"/>
                <w:color w:val="auto"/>
              </w:rPr>
            </w:pPr>
          </w:p>
        </w:tc>
        <w:tc>
          <w:tcPr>
            <w:tcW w:w="136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7"/>
                <w:szCs w:val="17"/>
                <w:color w:val="auto"/>
              </w:rPr>
            </w:pPr>
          </w:p>
        </w:tc>
        <w:tc>
          <w:tcPr>
            <w:tcW w:w="136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7"/>
                <w:szCs w:val="17"/>
                <w:color w:val="auto"/>
              </w:rPr>
            </w:pPr>
          </w:p>
        </w:tc>
        <w:tc>
          <w:tcPr>
            <w:tcW w:w="136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20"/>
                <w:szCs w:val="20"/>
                <w:color w:val="auto"/>
              </w:rPr>
              <w:t>Expected volatility</w:t>
            </w:r>
          </w:p>
        </w:tc>
        <w:tc>
          <w:tcPr>
            <w:tcW w:w="1360" w:type="dxa"/>
            <w:vAlign w:val="bottom"/>
          </w:tcPr>
          <w:p>
            <w:pPr>
              <w:jc w:val="right"/>
              <w:ind w:right="161"/>
              <w:spacing w:after="0"/>
              <w:rPr>
                <w:sz w:val="20"/>
                <w:szCs w:val="20"/>
                <w:color w:val="auto"/>
              </w:rPr>
            </w:pPr>
            <w:r>
              <w:rPr>
                <w:rFonts w:ascii="Arial" w:cs="Arial" w:eastAsia="Arial" w:hAnsi="Arial"/>
                <w:sz w:val="20"/>
                <w:szCs w:val="20"/>
                <w:color w:val="auto"/>
              </w:rPr>
              <w:t>34.9%</w:t>
            </w:r>
          </w:p>
        </w:tc>
        <w:tc>
          <w:tcPr>
            <w:tcW w:w="300" w:type="dxa"/>
            <w:vAlign w:val="bottom"/>
          </w:tcPr>
          <w:p>
            <w:pPr>
              <w:spacing w:after="0"/>
              <w:rPr>
                <w:sz w:val="19"/>
                <w:szCs w:val="19"/>
                <w:color w:val="auto"/>
              </w:rPr>
            </w:pPr>
          </w:p>
        </w:tc>
        <w:tc>
          <w:tcPr>
            <w:tcW w:w="1360" w:type="dxa"/>
            <w:vAlign w:val="bottom"/>
          </w:tcPr>
          <w:p>
            <w:pPr>
              <w:jc w:val="right"/>
              <w:ind w:right="161"/>
              <w:spacing w:after="0"/>
              <w:rPr>
                <w:sz w:val="20"/>
                <w:szCs w:val="20"/>
                <w:color w:val="auto"/>
              </w:rPr>
            </w:pPr>
            <w:r>
              <w:rPr>
                <w:rFonts w:ascii="Arial" w:cs="Arial" w:eastAsia="Arial" w:hAnsi="Arial"/>
                <w:sz w:val="20"/>
                <w:szCs w:val="20"/>
                <w:color w:val="auto"/>
              </w:rPr>
              <w:t>36.5%</w:t>
            </w:r>
          </w:p>
        </w:tc>
        <w:tc>
          <w:tcPr>
            <w:tcW w:w="280" w:type="dxa"/>
            <w:vAlign w:val="bottom"/>
          </w:tcPr>
          <w:p>
            <w:pPr>
              <w:spacing w:after="0"/>
              <w:rPr>
                <w:sz w:val="19"/>
                <w:szCs w:val="19"/>
                <w:color w:val="auto"/>
              </w:rPr>
            </w:pPr>
          </w:p>
        </w:tc>
        <w:tc>
          <w:tcPr>
            <w:tcW w:w="1360" w:type="dxa"/>
            <w:vAlign w:val="bottom"/>
          </w:tcPr>
          <w:p>
            <w:pPr>
              <w:jc w:val="right"/>
              <w:ind w:right="161"/>
              <w:spacing w:after="0"/>
              <w:rPr>
                <w:sz w:val="20"/>
                <w:szCs w:val="20"/>
                <w:color w:val="auto"/>
              </w:rPr>
            </w:pPr>
            <w:r>
              <w:rPr>
                <w:rFonts w:ascii="Arial" w:cs="Arial" w:eastAsia="Arial" w:hAnsi="Arial"/>
                <w:sz w:val="20"/>
                <w:szCs w:val="20"/>
                <w:color w:val="auto"/>
              </w:rPr>
              <w:t>34.9%</w:t>
            </w:r>
          </w:p>
        </w:tc>
        <w:tc>
          <w:tcPr>
            <w:tcW w:w="280" w:type="dxa"/>
            <w:vAlign w:val="bottom"/>
          </w:tcPr>
          <w:p>
            <w:pPr>
              <w:spacing w:after="0"/>
              <w:rPr>
                <w:sz w:val="19"/>
                <w:szCs w:val="19"/>
                <w:color w:val="auto"/>
              </w:rPr>
            </w:pPr>
          </w:p>
        </w:tc>
        <w:tc>
          <w:tcPr>
            <w:tcW w:w="1360" w:type="dxa"/>
            <w:vAlign w:val="bottom"/>
          </w:tcPr>
          <w:p>
            <w:pPr>
              <w:jc w:val="right"/>
              <w:ind w:right="161"/>
              <w:spacing w:after="0"/>
              <w:rPr>
                <w:sz w:val="20"/>
                <w:szCs w:val="20"/>
                <w:color w:val="auto"/>
              </w:rPr>
            </w:pPr>
            <w:r>
              <w:rPr>
                <w:rFonts w:ascii="Arial" w:cs="Arial" w:eastAsia="Arial" w:hAnsi="Arial"/>
                <w:sz w:val="20"/>
                <w:szCs w:val="20"/>
                <w:color w:val="auto"/>
              </w:rPr>
              <w:t>36.6%</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360" w:type="dxa"/>
            <w:vAlign w:val="bottom"/>
          </w:tcPr>
          <w:p>
            <w:pPr>
              <w:jc w:val="right"/>
              <w:ind w:right="161"/>
              <w:spacing w:after="0"/>
              <w:rPr>
                <w:sz w:val="20"/>
                <w:szCs w:val="20"/>
                <w:color w:val="auto"/>
              </w:rPr>
            </w:pPr>
            <w:r>
              <w:rPr>
                <w:rFonts w:ascii="Arial" w:cs="Arial" w:eastAsia="Arial" w:hAnsi="Arial"/>
                <w:sz w:val="20"/>
                <w:szCs w:val="20"/>
                <w:color w:val="auto"/>
              </w:rPr>
              <w:t>2.7%</w:t>
            </w:r>
          </w:p>
        </w:tc>
        <w:tc>
          <w:tcPr>
            <w:tcW w:w="300" w:type="dxa"/>
            <w:vAlign w:val="bottom"/>
          </w:tcPr>
          <w:p>
            <w:pPr>
              <w:spacing w:after="0"/>
              <w:rPr>
                <w:sz w:val="19"/>
                <w:szCs w:val="19"/>
                <w:color w:val="auto"/>
              </w:rPr>
            </w:pPr>
          </w:p>
        </w:tc>
        <w:tc>
          <w:tcPr>
            <w:tcW w:w="1360" w:type="dxa"/>
            <w:vAlign w:val="bottom"/>
          </w:tcPr>
          <w:p>
            <w:pPr>
              <w:jc w:val="right"/>
              <w:ind w:right="161"/>
              <w:spacing w:after="0"/>
              <w:rPr>
                <w:sz w:val="20"/>
                <w:szCs w:val="20"/>
                <w:color w:val="auto"/>
              </w:rPr>
            </w:pPr>
            <w:r>
              <w:rPr>
                <w:rFonts w:ascii="Arial" w:cs="Arial" w:eastAsia="Arial" w:hAnsi="Arial"/>
                <w:sz w:val="20"/>
                <w:szCs w:val="20"/>
                <w:color w:val="auto"/>
              </w:rPr>
              <w:t>1.8%</w:t>
            </w:r>
          </w:p>
        </w:tc>
        <w:tc>
          <w:tcPr>
            <w:tcW w:w="280" w:type="dxa"/>
            <w:vAlign w:val="bottom"/>
          </w:tcPr>
          <w:p>
            <w:pPr>
              <w:spacing w:after="0"/>
              <w:rPr>
                <w:sz w:val="19"/>
                <w:szCs w:val="19"/>
                <w:color w:val="auto"/>
              </w:rPr>
            </w:pPr>
          </w:p>
        </w:tc>
        <w:tc>
          <w:tcPr>
            <w:tcW w:w="1360" w:type="dxa"/>
            <w:vAlign w:val="bottom"/>
          </w:tcPr>
          <w:p>
            <w:pPr>
              <w:jc w:val="right"/>
              <w:ind w:right="161"/>
              <w:spacing w:after="0"/>
              <w:rPr>
                <w:sz w:val="20"/>
                <w:szCs w:val="20"/>
                <w:color w:val="auto"/>
              </w:rPr>
            </w:pPr>
            <w:r>
              <w:rPr>
                <w:rFonts w:ascii="Arial" w:cs="Arial" w:eastAsia="Arial" w:hAnsi="Arial"/>
                <w:sz w:val="20"/>
                <w:szCs w:val="20"/>
                <w:color w:val="auto"/>
              </w:rPr>
              <w:t>2.8%</w:t>
            </w:r>
          </w:p>
        </w:tc>
        <w:tc>
          <w:tcPr>
            <w:tcW w:w="280" w:type="dxa"/>
            <w:vAlign w:val="bottom"/>
          </w:tcPr>
          <w:p>
            <w:pPr>
              <w:spacing w:after="0"/>
              <w:rPr>
                <w:sz w:val="19"/>
                <w:szCs w:val="19"/>
                <w:color w:val="auto"/>
              </w:rPr>
            </w:pPr>
          </w:p>
        </w:tc>
        <w:tc>
          <w:tcPr>
            <w:tcW w:w="1360" w:type="dxa"/>
            <w:vAlign w:val="bottom"/>
          </w:tcPr>
          <w:p>
            <w:pPr>
              <w:jc w:val="right"/>
              <w:ind w:right="161"/>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20"/>
                <w:szCs w:val="20"/>
                <w:color w:val="auto"/>
              </w:rPr>
              <w:t>Expected term</w:t>
            </w:r>
          </w:p>
        </w:tc>
        <w:tc>
          <w:tcPr>
            <w:tcW w:w="1660" w:type="dxa"/>
            <w:vAlign w:val="bottom"/>
            <w:gridSpan w:val="2"/>
          </w:tcPr>
          <w:p>
            <w:pPr>
              <w:ind w:left="400"/>
              <w:spacing w:after="0"/>
              <w:rPr>
                <w:sz w:val="20"/>
                <w:szCs w:val="20"/>
                <w:color w:val="auto"/>
              </w:rPr>
            </w:pPr>
            <w:r>
              <w:rPr>
                <w:rFonts w:ascii="Arial" w:cs="Arial" w:eastAsia="Arial" w:hAnsi="Arial"/>
                <w:sz w:val="20"/>
                <w:szCs w:val="20"/>
                <w:color w:val="auto"/>
              </w:rPr>
              <w:t>6.1 years</w:t>
            </w:r>
          </w:p>
        </w:tc>
        <w:tc>
          <w:tcPr>
            <w:tcW w:w="1640" w:type="dxa"/>
            <w:vAlign w:val="bottom"/>
            <w:gridSpan w:val="2"/>
          </w:tcPr>
          <w:p>
            <w:pPr>
              <w:ind w:left="380"/>
              <w:spacing w:after="0"/>
              <w:rPr>
                <w:sz w:val="20"/>
                <w:szCs w:val="20"/>
                <w:color w:val="auto"/>
              </w:rPr>
            </w:pPr>
            <w:r>
              <w:rPr>
                <w:rFonts w:ascii="Arial" w:cs="Arial" w:eastAsia="Arial" w:hAnsi="Arial"/>
                <w:sz w:val="20"/>
                <w:szCs w:val="20"/>
                <w:color w:val="auto"/>
              </w:rPr>
              <w:t>6.1 years</w:t>
            </w:r>
          </w:p>
        </w:tc>
        <w:tc>
          <w:tcPr>
            <w:tcW w:w="1640" w:type="dxa"/>
            <w:vAlign w:val="bottom"/>
            <w:gridSpan w:val="2"/>
          </w:tcPr>
          <w:p>
            <w:pPr>
              <w:ind w:left="380"/>
              <w:spacing w:after="0"/>
              <w:rPr>
                <w:sz w:val="20"/>
                <w:szCs w:val="20"/>
                <w:color w:val="auto"/>
              </w:rPr>
            </w:pPr>
            <w:r>
              <w:rPr>
                <w:rFonts w:ascii="Arial" w:cs="Arial" w:eastAsia="Arial" w:hAnsi="Arial"/>
                <w:sz w:val="20"/>
                <w:szCs w:val="20"/>
                <w:color w:val="auto"/>
              </w:rPr>
              <w:t>6.1 years</w:t>
            </w:r>
          </w:p>
        </w:tc>
        <w:tc>
          <w:tcPr>
            <w:tcW w:w="1360" w:type="dxa"/>
            <w:vAlign w:val="bottom"/>
          </w:tcPr>
          <w:p>
            <w:pPr>
              <w:jc w:val="right"/>
              <w:ind w:right="161"/>
              <w:spacing w:after="0"/>
              <w:rPr>
                <w:sz w:val="20"/>
                <w:szCs w:val="20"/>
                <w:color w:val="auto"/>
              </w:rPr>
            </w:pPr>
            <w:r>
              <w:rPr>
                <w:rFonts w:ascii="Arial" w:cs="Arial" w:eastAsia="Arial" w:hAnsi="Arial"/>
                <w:sz w:val="20"/>
                <w:szCs w:val="20"/>
                <w:color w:val="auto"/>
              </w:rPr>
              <w:t>6.1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15" w:lineRule="exact"/>
        <w:rPr>
          <w:sz w:val="20"/>
          <w:szCs w:val="20"/>
          <w:color w:val="auto"/>
        </w:rPr>
      </w:pPr>
    </w:p>
    <w:tbl>
      <w:tblPr>
        <w:tblLayout w:type="fixed"/>
        <w:tblInd w:w="222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20"/>
                <w:szCs w:val="20"/>
                <w:color w:val="auto"/>
              </w:rPr>
              <w:t>Options</w:t>
            </w:r>
          </w:p>
        </w:tc>
        <w:tc>
          <w:tcPr>
            <w:tcW w:w="2480" w:type="dxa"/>
            <w:vAlign w:val="bottom"/>
          </w:tcPr>
          <w:p>
            <w:pPr>
              <w:jc w:val="center"/>
              <w:ind w:left="701"/>
              <w:spacing w:after="0"/>
              <w:rPr>
                <w:sz w:val="20"/>
                <w:szCs w:val="20"/>
                <w:color w:val="auto"/>
              </w:rPr>
            </w:pPr>
            <w:r>
              <w:rPr>
                <w:rFonts w:ascii="Arial" w:cs="Arial" w:eastAsia="Arial" w:hAnsi="Arial"/>
                <w:sz w:val="20"/>
                <w:szCs w:val="20"/>
                <w:color w:val="auto"/>
                <w:w w:val="94"/>
              </w:rPr>
              <w:t>Number of</w:t>
            </w:r>
          </w:p>
        </w:tc>
        <w:tc>
          <w:tcPr>
            <w:tcW w:w="162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1600" w:type="dxa"/>
            <w:vAlign w:val="bottom"/>
          </w:tcPr>
          <w:p>
            <w:pPr>
              <w:jc w:val="center"/>
              <w:ind w:left="1"/>
              <w:spacing w:after="0"/>
              <w:rPr>
                <w:sz w:val="20"/>
                <w:szCs w:val="20"/>
                <w:color w:val="auto"/>
              </w:rPr>
            </w:pPr>
            <w:r>
              <w:rPr>
                <w:rFonts w:ascii="Arial" w:cs="Arial" w:eastAsia="Arial" w:hAnsi="Arial"/>
                <w:sz w:val="20"/>
                <w:szCs w:val="20"/>
                <w:color w:val="auto"/>
                <w:w w:val="89"/>
              </w:rPr>
              <w:t>Weighted-</w:t>
            </w:r>
          </w:p>
        </w:tc>
        <w:tc>
          <w:tcPr>
            <w:tcW w:w="1460" w:type="dxa"/>
            <w:vAlign w:val="bottom"/>
          </w:tcPr>
          <w:p>
            <w:pPr>
              <w:jc w:val="center"/>
              <w:ind w:left="221"/>
              <w:spacing w:after="0"/>
              <w:rPr>
                <w:sz w:val="20"/>
                <w:szCs w:val="20"/>
                <w:color w:val="auto"/>
              </w:rPr>
            </w:pPr>
            <w:r>
              <w:rPr>
                <w:rFonts w:ascii="Arial" w:cs="Arial" w:eastAsia="Arial" w:hAnsi="Arial"/>
                <w:sz w:val="20"/>
                <w:szCs w:val="20"/>
                <w:color w:val="auto"/>
                <w:w w:val="88"/>
              </w:rPr>
              <w:t>Aggregate</w:t>
            </w:r>
          </w:p>
        </w:tc>
      </w:tr>
      <w:tr>
        <w:trPr>
          <w:trHeight w:val="230"/>
        </w:trPr>
        <w:tc>
          <w:tcPr>
            <w:tcW w:w="1820" w:type="dxa"/>
            <w:vAlign w:val="bottom"/>
          </w:tcPr>
          <w:p>
            <w:pPr>
              <w:spacing w:after="0"/>
              <w:rPr>
                <w:sz w:val="19"/>
                <w:szCs w:val="19"/>
                <w:color w:val="auto"/>
              </w:rPr>
            </w:pPr>
          </w:p>
        </w:tc>
        <w:tc>
          <w:tcPr>
            <w:tcW w:w="2480" w:type="dxa"/>
            <w:vAlign w:val="bottom"/>
          </w:tcPr>
          <w:p>
            <w:pPr>
              <w:jc w:val="center"/>
              <w:ind w:left="701"/>
              <w:spacing w:after="0"/>
              <w:rPr>
                <w:sz w:val="20"/>
                <w:szCs w:val="20"/>
                <w:color w:val="auto"/>
              </w:rPr>
            </w:pPr>
            <w:r>
              <w:rPr>
                <w:rFonts w:ascii="Arial" w:cs="Arial" w:eastAsia="Arial" w:hAnsi="Arial"/>
                <w:sz w:val="20"/>
                <w:szCs w:val="20"/>
                <w:color w:val="auto"/>
                <w:w w:val="86"/>
              </w:rPr>
              <w:t>Shares (In</w:t>
            </w:r>
          </w:p>
        </w:tc>
        <w:tc>
          <w:tcPr>
            <w:tcW w:w="1620" w:type="dxa"/>
            <w:vAlign w:val="bottom"/>
          </w:tcPr>
          <w:p>
            <w:pPr>
              <w:jc w:val="center"/>
              <w:spacing w:after="0"/>
              <w:rPr>
                <w:sz w:val="20"/>
                <w:szCs w:val="20"/>
                <w:color w:val="auto"/>
              </w:rPr>
            </w:pPr>
            <w:r>
              <w:rPr>
                <w:rFonts w:ascii="Arial" w:cs="Arial" w:eastAsia="Arial" w:hAnsi="Arial"/>
                <w:sz w:val="20"/>
                <w:szCs w:val="20"/>
                <w:color w:val="auto"/>
                <w:w w:val="85"/>
              </w:rPr>
              <w:t>Average</w:t>
            </w:r>
          </w:p>
        </w:tc>
        <w:tc>
          <w:tcPr>
            <w:tcW w:w="1600" w:type="dxa"/>
            <w:vAlign w:val="bottom"/>
          </w:tcPr>
          <w:p>
            <w:pPr>
              <w:jc w:val="center"/>
              <w:ind w:left="1"/>
              <w:spacing w:after="0"/>
              <w:rPr>
                <w:sz w:val="20"/>
                <w:szCs w:val="20"/>
                <w:color w:val="auto"/>
              </w:rPr>
            </w:pPr>
            <w:r>
              <w:rPr>
                <w:rFonts w:ascii="Arial" w:cs="Arial" w:eastAsia="Arial" w:hAnsi="Arial"/>
                <w:sz w:val="20"/>
                <w:szCs w:val="20"/>
                <w:color w:val="auto"/>
                <w:w w:val="88"/>
              </w:rPr>
              <w:t>Average</w:t>
            </w:r>
          </w:p>
        </w:tc>
        <w:tc>
          <w:tcPr>
            <w:tcW w:w="1460" w:type="dxa"/>
            <w:vAlign w:val="bottom"/>
          </w:tcPr>
          <w:p>
            <w:pPr>
              <w:jc w:val="center"/>
              <w:ind w:left="221"/>
              <w:spacing w:after="0"/>
              <w:rPr>
                <w:sz w:val="20"/>
                <w:szCs w:val="20"/>
                <w:color w:val="auto"/>
              </w:rPr>
            </w:pPr>
            <w:r>
              <w:rPr>
                <w:rFonts w:ascii="Arial" w:cs="Arial" w:eastAsia="Arial" w:hAnsi="Arial"/>
                <w:sz w:val="20"/>
                <w:szCs w:val="20"/>
                <w:color w:val="auto"/>
                <w:w w:val="90"/>
              </w:rPr>
              <w:t>Intrinsic Value</w:t>
            </w:r>
          </w:p>
        </w:tc>
      </w:tr>
      <w:tr>
        <w:trPr>
          <w:trHeight w:val="230"/>
        </w:trPr>
        <w:tc>
          <w:tcPr>
            <w:tcW w:w="1820" w:type="dxa"/>
            <w:vAlign w:val="bottom"/>
          </w:tcPr>
          <w:p>
            <w:pPr>
              <w:spacing w:after="0"/>
              <w:rPr>
                <w:sz w:val="19"/>
                <w:szCs w:val="19"/>
                <w:color w:val="auto"/>
              </w:rPr>
            </w:pPr>
          </w:p>
        </w:tc>
        <w:tc>
          <w:tcPr>
            <w:tcW w:w="2480" w:type="dxa"/>
            <w:vAlign w:val="bottom"/>
          </w:tcPr>
          <w:p>
            <w:pPr>
              <w:jc w:val="center"/>
              <w:ind w:left="701"/>
              <w:spacing w:after="0"/>
              <w:rPr>
                <w:sz w:val="20"/>
                <w:szCs w:val="20"/>
                <w:color w:val="auto"/>
              </w:rPr>
            </w:pPr>
            <w:r>
              <w:rPr>
                <w:rFonts w:ascii="Arial" w:cs="Arial" w:eastAsia="Arial" w:hAnsi="Arial"/>
                <w:sz w:val="20"/>
                <w:szCs w:val="20"/>
                <w:color w:val="auto"/>
                <w:w w:val="84"/>
              </w:rPr>
              <w:t>thousands)</w:t>
            </w:r>
          </w:p>
        </w:tc>
        <w:tc>
          <w:tcPr>
            <w:tcW w:w="1620" w:type="dxa"/>
            <w:vAlign w:val="bottom"/>
          </w:tcPr>
          <w:p>
            <w:pPr>
              <w:jc w:val="center"/>
              <w:spacing w:after="0"/>
              <w:rPr>
                <w:sz w:val="20"/>
                <w:szCs w:val="20"/>
                <w:color w:val="auto"/>
              </w:rPr>
            </w:pPr>
            <w:r>
              <w:rPr>
                <w:rFonts w:ascii="Arial" w:cs="Arial" w:eastAsia="Arial" w:hAnsi="Arial"/>
                <w:sz w:val="20"/>
                <w:szCs w:val="20"/>
                <w:color w:val="auto"/>
                <w:w w:val="88"/>
              </w:rPr>
              <w:t>Exercise</w:t>
            </w: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Remaining</w:t>
            </w:r>
          </w:p>
        </w:tc>
        <w:tc>
          <w:tcPr>
            <w:tcW w:w="1460" w:type="dxa"/>
            <w:vAlign w:val="bottom"/>
          </w:tcPr>
          <w:p>
            <w:pPr>
              <w:spacing w:after="0"/>
              <w:rPr>
                <w:sz w:val="19"/>
                <w:szCs w:val="19"/>
                <w:color w:val="auto"/>
              </w:rPr>
            </w:pPr>
          </w:p>
        </w:tc>
      </w:tr>
      <w:tr>
        <w:trPr>
          <w:trHeight w:val="250"/>
        </w:trPr>
        <w:tc>
          <w:tcPr>
            <w:tcW w:w="18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9"/>
              </w:rPr>
              <w:t>Contractual</w:t>
            </w:r>
          </w:p>
        </w:tc>
        <w:tc>
          <w:tcPr>
            <w:tcW w:w="1460" w:type="dxa"/>
            <w:vAlign w:val="bottom"/>
          </w:tcPr>
          <w:p>
            <w:pPr>
              <w:spacing w:after="0"/>
              <w:rPr>
                <w:sz w:val="21"/>
                <w:szCs w:val="21"/>
                <w:color w:val="auto"/>
              </w:rPr>
            </w:pPr>
          </w:p>
        </w:tc>
      </w:tr>
    </w:tbl>
    <w:p>
      <w:pPr>
        <w:sectPr>
          <w:pgSz w:w="11900" w:h="16838" w:orient="portrait"/>
          <w:cols w:equalWidth="0" w:num="1">
            <w:col w:w="11420"/>
          </w:cols>
          <w:pgMar w:left="240" w:top="122" w:right="239" w:bottom="0" w:gutter="0" w:footer="0" w:header="0"/>
        </w:sectPr>
      </w:pPr>
    </w:p>
    <w:bookmarkStart w:id="15" w:name="page16"/>
    <w:bookmarkEnd w:id="15"/>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20"/>
                <w:szCs w:val="20"/>
                <w:color w:val="auto"/>
                <w:w w:val="87"/>
              </w:rPr>
              <w:t>Price Per</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Term (In</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6"/>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20"/>
                <w:szCs w:val="20"/>
                <w:color w:val="auto"/>
                <w:w w:val="82"/>
              </w:rPr>
              <w:t>Share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years)</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46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2018</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17,819</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29.62</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6.1</w:t>
            </w:r>
          </w:p>
        </w:tc>
        <w:tc>
          <w:tcPr>
            <w:tcW w:w="280" w:type="dxa"/>
            <w:vAlign w:val="bottom"/>
          </w:tcPr>
          <w:p>
            <w:pPr>
              <w:spacing w:after="0"/>
              <w:rPr>
                <w:sz w:val="17"/>
                <w:szCs w:val="17"/>
                <w:color w:val="auto"/>
              </w:rPr>
            </w:pPr>
          </w:p>
        </w:tc>
        <w:tc>
          <w:tcPr>
            <w:tcW w:w="440" w:type="dxa"/>
            <w:vAlign w:val="bottom"/>
            <w:tcBorders>
              <w:top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600,032</w:t>
            </w:r>
          </w:p>
        </w:tc>
      </w:tr>
      <w:tr>
        <w:trPr>
          <w:trHeight w:val="230"/>
        </w:trPr>
        <w:tc>
          <w:tcPr>
            <w:tcW w:w="20" w:type="dxa"/>
            <w:vAlign w:val="bottom"/>
          </w:tcPr>
          <w:p>
            <w:pPr>
              <w:spacing w:after="0"/>
              <w:rPr>
                <w:sz w:val="19"/>
                <w:szCs w:val="19"/>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Granted 01/01/18 - 03/31/18</w:t>
            </w:r>
          </w:p>
        </w:tc>
        <w:tc>
          <w:tcPr>
            <w:tcW w:w="1360" w:type="dxa"/>
            <w:vAlign w:val="bottom"/>
          </w:tcPr>
          <w:p>
            <w:pPr>
              <w:jc w:val="right"/>
              <w:spacing w:after="0"/>
              <w:rPr>
                <w:sz w:val="20"/>
                <w:szCs w:val="20"/>
                <w:color w:val="auto"/>
              </w:rPr>
            </w:pPr>
            <w:r>
              <w:rPr>
                <w:rFonts w:ascii="Arial" w:cs="Arial" w:eastAsia="Arial" w:hAnsi="Arial"/>
                <w:sz w:val="20"/>
                <w:szCs w:val="20"/>
                <w:color w:val="auto"/>
              </w:rPr>
              <w:t>2,615</w:t>
            </w: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58.76</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Granted 04/01/18 - 06/30/18</w:t>
            </w:r>
          </w:p>
        </w:tc>
        <w:tc>
          <w:tcPr>
            <w:tcW w:w="1360" w:type="dxa"/>
            <w:vAlign w:val="bottom"/>
          </w:tcPr>
          <w:p>
            <w:pPr>
              <w:jc w:val="right"/>
              <w:spacing w:after="0"/>
              <w:rPr>
                <w:sz w:val="20"/>
                <w:szCs w:val="20"/>
                <w:color w:val="auto"/>
              </w:rPr>
            </w:pPr>
            <w:r>
              <w:rPr>
                <w:rFonts w:ascii="Arial" w:cs="Arial" w:eastAsia="Arial" w:hAnsi="Arial"/>
                <w:sz w:val="20"/>
                <w:szCs w:val="20"/>
                <w:color w:val="auto"/>
              </w:rPr>
              <w:t>360</w:t>
            </w: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51.72</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Exercised</w:t>
            </w: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(814)</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16.73</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Cancelled or forfeited</w:t>
            </w: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(216)</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42.60</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3"/>
        </w:trPr>
        <w:tc>
          <w:tcPr>
            <w:tcW w:w="500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June 30, 2018</w:t>
            </w:r>
          </w:p>
        </w:tc>
        <w:tc>
          <w:tcPr>
            <w:tcW w:w="1360" w:type="dxa"/>
            <w:vAlign w:val="bottom"/>
            <w:tcBorders>
              <w:top w:val="single" w:sz="8" w:color="auto"/>
            </w:tcBorders>
          </w:tcPr>
          <w:p>
            <w:pPr>
              <w:jc w:val="right"/>
              <w:spacing w:after="0" w:line="213" w:lineRule="exact"/>
              <w:rPr>
                <w:sz w:val="20"/>
                <w:szCs w:val="20"/>
                <w:color w:val="auto"/>
              </w:rPr>
            </w:pPr>
            <w:r>
              <w:rPr>
                <w:rFonts w:ascii="Arial" w:cs="Arial" w:eastAsia="Arial" w:hAnsi="Arial"/>
                <w:sz w:val="20"/>
                <w:szCs w:val="20"/>
                <w:color w:val="auto"/>
              </w:rPr>
              <w:t>19,764</w:t>
            </w:r>
          </w:p>
        </w:tc>
        <w:tc>
          <w:tcPr>
            <w:tcW w:w="300" w:type="dxa"/>
            <w:vAlign w:val="bottom"/>
          </w:tcPr>
          <w:p>
            <w:pPr>
              <w:spacing w:after="0"/>
              <w:rPr>
                <w:sz w:val="18"/>
                <w:szCs w:val="18"/>
                <w:color w:val="auto"/>
              </w:rPr>
            </w:pPr>
          </w:p>
        </w:tc>
        <w:tc>
          <w:tcPr>
            <w:tcW w:w="26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13" w:lineRule="exact"/>
              <w:rPr>
                <w:sz w:val="20"/>
                <w:szCs w:val="20"/>
                <w:color w:val="auto"/>
              </w:rPr>
            </w:pPr>
            <w:r>
              <w:rPr>
                <w:rFonts w:ascii="Arial" w:cs="Arial" w:eastAsia="Arial" w:hAnsi="Arial"/>
                <w:sz w:val="20"/>
                <w:szCs w:val="20"/>
                <w:color w:val="auto"/>
              </w:rPr>
              <w:t>34.26</w:t>
            </w:r>
          </w:p>
        </w:tc>
        <w:tc>
          <w:tcPr>
            <w:tcW w:w="280" w:type="dxa"/>
            <w:vAlign w:val="bottom"/>
          </w:tcPr>
          <w:p>
            <w:pPr>
              <w:spacing w:after="0"/>
              <w:rPr>
                <w:sz w:val="18"/>
                <w:szCs w:val="18"/>
                <w:color w:val="auto"/>
              </w:rPr>
            </w:pPr>
          </w:p>
        </w:tc>
        <w:tc>
          <w:tcPr>
            <w:tcW w:w="1360" w:type="dxa"/>
            <w:vAlign w:val="bottom"/>
          </w:tcPr>
          <w:p>
            <w:pPr>
              <w:jc w:val="right"/>
              <w:spacing w:after="0" w:line="213" w:lineRule="exact"/>
              <w:rPr>
                <w:sz w:val="20"/>
                <w:szCs w:val="20"/>
                <w:color w:val="auto"/>
              </w:rPr>
            </w:pPr>
            <w:r>
              <w:rPr>
                <w:rFonts w:ascii="Arial" w:cs="Arial" w:eastAsia="Arial" w:hAnsi="Arial"/>
                <w:sz w:val="20"/>
                <w:szCs w:val="20"/>
                <w:color w:val="auto"/>
              </w:rPr>
              <w:t>6.2</w:t>
            </w:r>
          </w:p>
        </w:tc>
        <w:tc>
          <w:tcPr>
            <w:tcW w:w="280" w:type="dxa"/>
            <w:vAlign w:val="bottom"/>
          </w:tcPr>
          <w:p>
            <w:pPr>
              <w:spacing w:after="0"/>
              <w:rPr>
                <w:sz w:val="18"/>
                <w:szCs w:val="18"/>
                <w:color w:val="auto"/>
              </w:rPr>
            </w:pPr>
          </w:p>
        </w:tc>
        <w:tc>
          <w:tcPr>
            <w:tcW w:w="440" w:type="dxa"/>
            <w:vAlign w:val="bottom"/>
          </w:tcPr>
          <w:p>
            <w:pPr>
              <w:jc w:val="right"/>
              <w:ind w:right="121"/>
              <w:spacing w:after="0" w:line="213"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13" w:lineRule="exact"/>
              <w:rPr>
                <w:sz w:val="20"/>
                <w:szCs w:val="20"/>
                <w:color w:val="auto"/>
              </w:rPr>
            </w:pPr>
            <w:r>
              <w:rPr>
                <w:rFonts w:ascii="Arial" w:cs="Arial" w:eastAsia="Arial" w:hAnsi="Arial"/>
                <w:sz w:val="20"/>
                <w:szCs w:val="20"/>
                <w:color w:val="auto"/>
              </w:rPr>
              <w:t>459,527</w:t>
            </w:r>
          </w:p>
        </w:tc>
      </w:tr>
      <w:tr>
        <w:trPr>
          <w:trHeight w:val="230"/>
        </w:trPr>
        <w:tc>
          <w:tcPr>
            <w:tcW w:w="5000" w:type="dxa"/>
            <w:vAlign w:val="bottom"/>
            <w:gridSpan w:val="3"/>
          </w:tcPr>
          <w:p>
            <w:pPr>
              <w:spacing w:after="0"/>
              <w:rPr>
                <w:sz w:val="20"/>
                <w:szCs w:val="20"/>
                <w:color w:val="auto"/>
              </w:rPr>
            </w:pPr>
            <w:r>
              <w:rPr>
                <w:rFonts w:ascii="Arial" w:cs="Arial" w:eastAsia="Arial" w:hAnsi="Arial"/>
                <w:sz w:val="20"/>
                <w:szCs w:val="20"/>
                <w:color w:val="auto"/>
              </w:rPr>
              <w:t>Vested and expected to vest in the</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160"/>
              <w:spacing w:after="0"/>
              <w:rPr>
                <w:sz w:val="20"/>
                <w:szCs w:val="20"/>
                <w:color w:val="auto"/>
              </w:rPr>
            </w:pPr>
            <w:r>
              <w:rPr>
                <w:rFonts w:ascii="Arial" w:cs="Arial" w:eastAsia="Arial" w:hAnsi="Arial"/>
                <w:sz w:val="20"/>
                <w:szCs w:val="20"/>
                <w:color w:val="auto"/>
              </w:rPr>
              <w:t>future at June 30, 2018</w:t>
            </w:r>
          </w:p>
        </w:tc>
        <w:tc>
          <w:tcPr>
            <w:tcW w:w="1360" w:type="dxa"/>
            <w:vAlign w:val="bottom"/>
          </w:tcPr>
          <w:p>
            <w:pPr>
              <w:jc w:val="right"/>
              <w:spacing w:after="0"/>
              <w:rPr>
                <w:sz w:val="20"/>
                <w:szCs w:val="20"/>
                <w:color w:val="auto"/>
              </w:rPr>
            </w:pPr>
            <w:r>
              <w:rPr>
                <w:rFonts w:ascii="Arial" w:cs="Arial" w:eastAsia="Arial" w:hAnsi="Arial"/>
                <w:sz w:val="20"/>
                <w:szCs w:val="20"/>
                <w:color w:val="auto"/>
              </w:rPr>
              <w:t>18,673</w:t>
            </w: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33.32</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6.1</w:t>
            </w:r>
          </w:p>
        </w:tc>
        <w:tc>
          <w:tcPr>
            <w:tcW w:w="280" w:type="dxa"/>
            <w:vAlign w:val="bottom"/>
          </w:tcPr>
          <w:p>
            <w:pPr>
              <w:spacing w:after="0"/>
              <w:rPr>
                <w:sz w:val="19"/>
                <w:szCs w:val="19"/>
                <w:color w:val="auto"/>
              </w:rPr>
            </w:pPr>
          </w:p>
        </w:tc>
        <w:tc>
          <w:tcPr>
            <w:tcW w:w="4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451,327</w:t>
            </w:r>
          </w:p>
        </w:tc>
      </w:tr>
      <w:tr>
        <w:trPr>
          <w:trHeight w:val="250"/>
        </w:trPr>
        <w:tc>
          <w:tcPr>
            <w:tcW w:w="5000" w:type="dxa"/>
            <w:vAlign w:val="bottom"/>
            <w:gridSpan w:val="3"/>
          </w:tcPr>
          <w:p>
            <w:pPr>
              <w:spacing w:after="0"/>
              <w:rPr>
                <w:sz w:val="20"/>
                <w:szCs w:val="20"/>
                <w:color w:val="auto"/>
              </w:rPr>
            </w:pPr>
            <w:r>
              <w:rPr>
                <w:rFonts w:ascii="Arial" w:cs="Arial" w:eastAsia="Arial" w:hAnsi="Arial"/>
                <w:sz w:val="20"/>
                <w:szCs w:val="20"/>
                <w:color w:val="auto"/>
              </w:rPr>
              <w:t>Exercisable at June 30, 2018</w:t>
            </w:r>
          </w:p>
        </w:tc>
        <w:tc>
          <w:tcPr>
            <w:tcW w:w="1360" w:type="dxa"/>
            <w:vAlign w:val="bottom"/>
          </w:tcPr>
          <w:p>
            <w:pPr>
              <w:jc w:val="right"/>
              <w:spacing w:after="0"/>
              <w:rPr>
                <w:sz w:val="20"/>
                <w:szCs w:val="20"/>
                <w:color w:val="auto"/>
              </w:rPr>
            </w:pPr>
            <w:r>
              <w:rPr>
                <w:rFonts w:ascii="Arial" w:cs="Arial" w:eastAsia="Arial" w:hAnsi="Arial"/>
                <w:sz w:val="20"/>
                <w:szCs w:val="20"/>
                <w:color w:val="auto"/>
              </w:rPr>
              <w:t>10,639</w:t>
            </w:r>
          </w:p>
        </w:tc>
        <w:tc>
          <w:tcPr>
            <w:tcW w:w="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22.40</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4.5</w:t>
            </w:r>
          </w:p>
        </w:tc>
        <w:tc>
          <w:tcPr>
            <w:tcW w:w="280" w:type="dxa"/>
            <w:vAlign w:val="bottom"/>
          </w:tcPr>
          <w:p>
            <w:pPr>
              <w:spacing w:after="0"/>
              <w:rPr>
                <w:sz w:val="21"/>
                <w:szCs w:val="21"/>
                <w:color w:val="auto"/>
              </w:rPr>
            </w:pPr>
          </w:p>
        </w:tc>
        <w:tc>
          <w:tcPr>
            <w:tcW w:w="4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371,252</w:t>
            </w:r>
          </w:p>
        </w:tc>
      </w:tr>
    </w:tbl>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weighted-average grant-date fair value of options granted during the three-months ended June 30, 2018 and 2017 was $20.20 per share and $18.97 per share, respectively. The weighted-average grant-date fair value of options granted during the six-months ended June 30, 2018 and 2017 was $22.51 per share and $18.01 per share, respectively. The total intrinsic value of options exercised during the three-months ended June 30, 2018 and 2017 was $14.7 million and $8.5 million, respectively. The total intrinsic value of options exercised during the six-months ended June 30, 2018 and 2017 was $32.9 million and $40.9 million, respectively.</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Cash received from option exercises under all plans for the three-months ended June 30, 2018 and 2017 was approximately $7.1 million and $5.5 million, respectively. Cash received from option exercises under all plans for the six-months ended June 30, 2018 and 2017 was approximately $13.6 million and $19.1 million, respectively.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June 30, 2018, there was $121.1 million of total unrecognized compensation expense related to non-vested options granted to employees under the Company’s share-based payment plans. That cost is expected to be recognized over a weighted-average period of 3.0 years.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Units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cost of stock-based compensation for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non-vested restricted stock units as follows:</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Number of</w:t>
            </w:r>
          </w:p>
        </w:tc>
        <w:tc>
          <w:tcPr>
            <w:tcW w:w="220" w:type="dxa"/>
            <w:vAlign w:val="bottom"/>
          </w:tcPr>
          <w:p>
            <w:pPr>
              <w:spacing w:after="0"/>
              <w:rPr>
                <w:sz w:val="19"/>
                <w:szCs w:val="19"/>
                <w:color w:val="auto"/>
              </w:rPr>
            </w:pPr>
          </w:p>
        </w:tc>
        <w:tc>
          <w:tcPr>
            <w:tcW w:w="1140" w:type="dxa"/>
            <w:vAlign w:val="bottom"/>
          </w:tcPr>
          <w:p>
            <w:pPr>
              <w:jc w:val="center"/>
              <w:ind w:right="141"/>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Shares (in</w:t>
            </w: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Arial" w:cs="Arial" w:eastAsia="Arial" w:hAnsi="Arial"/>
                <w:sz w:val="20"/>
                <w:szCs w:val="20"/>
                <w:color w:val="auto"/>
                <w:w w:val="88"/>
              </w:rPr>
              <w:t>Grant-Date</w:t>
            </w:r>
          </w:p>
        </w:tc>
        <w:tc>
          <w:tcPr>
            <w:tcW w:w="0" w:type="dxa"/>
            <w:vAlign w:val="bottom"/>
          </w:tcPr>
          <w:p>
            <w:pPr>
              <w:spacing w:after="0"/>
              <w:rPr>
                <w:sz w:val="1"/>
                <w:szCs w:val="1"/>
                <w:color w:val="auto"/>
              </w:rPr>
            </w:pPr>
          </w:p>
        </w:tc>
      </w:tr>
      <w:tr>
        <w:trPr>
          <w:trHeight w:val="246"/>
        </w:trPr>
        <w:tc>
          <w:tcPr>
            <w:tcW w:w="4420" w:type="dxa"/>
            <w:vAlign w:val="bottom"/>
            <w:vMerge w:val="restart"/>
          </w:tcPr>
          <w:p>
            <w:pPr>
              <w:spacing w:after="0"/>
              <w:rPr>
                <w:sz w:val="20"/>
                <w:szCs w:val="20"/>
                <w:color w:val="auto"/>
              </w:rPr>
            </w:pPr>
            <w:r>
              <w:rPr>
                <w:rFonts w:ascii="Arial" w:cs="Arial" w:eastAsia="Arial" w:hAnsi="Arial"/>
                <w:sz w:val="20"/>
                <w:szCs w:val="20"/>
                <w:color w:val="auto"/>
              </w:rPr>
              <w:t>Non-vested at January 1, 2018</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thousands)</w:t>
            </w:r>
          </w:p>
        </w:tc>
        <w:tc>
          <w:tcPr>
            <w:tcW w:w="220" w:type="dxa"/>
            <w:vAlign w:val="bottom"/>
          </w:tcPr>
          <w:p>
            <w:pPr>
              <w:spacing w:after="0"/>
              <w:rPr>
                <w:sz w:val="21"/>
                <w:szCs w:val="21"/>
                <w:color w:val="auto"/>
              </w:rPr>
            </w:pPr>
          </w:p>
        </w:tc>
        <w:tc>
          <w:tcPr>
            <w:tcW w:w="1140" w:type="dxa"/>
            <w:vAlign w:val="bottom"/>
          </w:tcPr>
          <w:p>
            <w:pPr>
              <w:jc w:val="center"/>
              <w:ind w:right="141"/>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06"/>
        </w:trPr>
        <w:tc>
          <w:tcPr>
            <w:tcW w:w="4420" w:type="dxa"/>
            <w:vAlign w:val="bottom"/>
            <w:vMerge w:val="continue"/>
          </w:tcPr>
          <w:p>
            <w:pPr>
              <w:spacing w:after="0"/>
              <w:rPr>
                <w:sz w:val="17"/>
                <w:szCs w:val="17"/>
                <w:color w:val="auto"/>
              </w:rPr>
            </w:pP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530</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45.09</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Granted 01/01/18- 03/31/18</w:t>
            </w:r>
          </w:p>
        </w:tc>
        <w:tc>
          <w:tcPr>
            <w:tcW w:w="1380" w:type="dxa"/>
            <w:vAlign w:val="bottom"/>
          </w:tcPr>
          <w:p>
            <w:pPr>
              <w:jc w:val="right"/>
              <w:spacing w:after="0"/>
              <w:rPr>
                <w:sz w:val="20"/>
                <w:szCs w:val="20"/>
                <w:color w:val="auto"/>
              </w:rPr>
            </w:pPr>
            <w:r>
              <w:rPr>
                <w:rFonts w:ascii="Arial" w:cs="Arial" w:eastAsia="Arial" w:hAnsi="Arial"/>
                <w:sz w:val="20"/>
                <w:szCs w:val="20"/>
                <w:color w:val="auto"/>
              </w:rPr>
              <w:t>221</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58.75</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Granted 04/01/18- 06/30/18</w:t>
            </w:r>
          </w:p>
        </w:tc>
        <w:tc>
          <w:tcPr>
            <w:tcW w:w="1380" w:type="dxa"/>
            <w:vAlign w:val="bottom"/>
          </w:tcPr>
          <w:p>
            <w:pPr>
              <w:jc w:val="right"/>
              <w:spacing w:after="0"/>
              <w:rPr>
                <w:sz w:val="20"/>
                <w:szCs w:val="20"/>
                <w:color w:val="auto"/>
              </w:rPr>
            </w:pPr>
            <w:r>
              <w:rPr>
                <w:rFonts w:ascii="Arial" w:cs="Arial" w:eastAsia="Arial" w:hAnsi="Arial"/>
                <w:sz w:val="20"/>
                <w:szCs w:val="20"/>
                <w:color w:val="auto"/>
              </w:rPr>
              <w:t>48</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52.31</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Vested</w:t>
            </w:r>
          </w:p>
        </w:tc>
        <w:tc>
          <w:tcPr>
            <w:tcW w:w="1660" w:type="dxa"/>
            <w:vAlign w:val="bottom"/>
            <w:gridSpan w:val="2"/>
          </w:tcPr>
          <w:p>
            <w:pPr>
              <w:jc w:val="right"/>
              <w:ind w:right="280"/>
              <w:spacing w:after="0"/>
              <w:rPr>
                <w:sz w:val="20"/>
                <w:szCs w:val="20"/>
                <w:color w:val="auto"/>
              </w:rPr>
            </w:pPr>
            <w:r>
              <w:rPr>
                <w:rFonts w:ascii="Arial" w:cs="Arial" w:eastAsia="Arial" w:hAnsi="Arial"/>
                <w:sz w:val="20"/>
                <w:szCs w:val="20"/>
                <w:color w:val="auto"/>
              </w:rPr>
              <w:t>(262)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45.36</w:t>
            </w:r>
          </w:p>
        </w:tc>
        <w:tc>
          <w:tcPr>
            <w:tcW w:w="0" w:type="dxa"/>
            <w:vAlign w:val="bottom"/>
          </w:tcPr>
          <w:p>
            <w:pPr>
              <w:spacing w:after="0"/>
              <w:rPr>
                <w:sz w:val="1"/>
                <w:szCs w:val="1"/>
                <w:color w:val="auto"/>
              </w:rPr>
            </w:pPr>
          </w:p>
        </w:tc>
      </w:tr>
      <w:tr>
        <w:trPr>
          <w:trHeight w:val="240"/>
        </w:trPr>
        <w:tc>
          <w:tcPr>
            <w:tcW w:w="4420" w:type="dxa"/>
            <w:vAlign w:val="bottom"/>
          </w:tcPr>
          <w:p>
            <w:pPr>
              <w:ind w:left="360"/>
              <w:spacing w:after="0"/>
              <w:rPr>
                <w:sz w:val="20"/>
                <w:szCs w:val="20"/>
                <w:color w:val="auto"/>
              </w:rPr>
            </w:pPr>
            <w:r>
              <w:rPr>
                <w:rFonts w:ascii="Arial" w:cs="Arial" w:eastAsia="Arial" w:hAnsi="Arial"/>
                <w:sz w:val="20"/>
                <w:szCs w:val="20"/>
                <w:color w:val="auto"/>
              </w:rPr>
              <w:t>Forfeited/cancelled</w:t>
            </w:r>
          </w:p>
        </w:tc>
        <w:tc>
          <w:tcPr>
            <w:tcW w:w="1660" w:type="dxa"/>
            <w:vAlign w:val="bottom"/>
            <w:gridSpan w:val="2"/>
          </w:tcPr>
          <w:p>
            <w:pPr>
              <w:jc w:val="right"/>
              <w:ind w:right="280"/>
              <w:spacing w:after="0"/>
              <w:rPr>
                <w:sz w:val="20"/>
                <w:szCs w:val="20"/>
                <w:color w:val="auto"/>
              </w:rPr>
            </w:pPr>
            <w:r>
              <w:rPr>
                <w:rFonts w:ascii="Arial" w:cs="Arial" w:eastAsia="Arial" w:hAnsi="Arial"/>
                <w:sz w:val="20"/>
                <w:szCs w:val="20"/>
                <w:color w:val="auto"/>
              </w:rPr>
              <w:t>(6)</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32.17</w:t>
            </w:r>
          </w:p>
        </w:tc>
        <w:tc>
          <w:tcPr>
            <w:tcW w:w="0" w:type="dxa"/>
            <w:vAlign w:val="bottom"/>
          </w:tcPr>
          <w:p>
            <w:pPr>
              <w:spacing w:after="0"/>
              <w:rPr>
                <w:sz w:val="1"/>
                <w:szCs w:val="1"/>
                <w:color w:val="auto"/>
              </w:rPr>
            </w:pPr>
          </w:p>
        </w:tc>
      </w:tr>
      <w:tr>
        <w:trPr>
          <w:trHeight w:val="230"/>
        </w:trPr>
        <w:tc>
          <w:tcPr>
            <w:tcW w:w="4420" w:type="dxa"/>
            <w:vAlign w:val="bottom"/>
          </w:tcPr>
          <w:p>
            <w:pPr>
              <w:spacing w:after="0" w:line="220" w:lineRule="exact"/>
              <w:rPr>
                <w:sz w:val="20"/>
                <w:szCs w:val="20"/>
                <w:color w:val="auto"/>
              </w:rPr>
            </w:pPr>
            <w:r>
              <w:rPr>
                <w:rFonts w:ascii="Arial" w:cs="Arial" w:eastAsia="Arial" w:hAnsi="Arial"/>
                <w:sz w:val="20"/>
                <w:szCs w:val="20"/>
                <w:color w:val="auto"/>
              </w:rPr>
              <w:t>Non-vested at June 30, 2018</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531</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51.45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weighted-average grant-date fair value of restricted stock units granted during the three-months ended June 30, 2018 and 2017 was $52.31 per share and $50.86 per share, respectively. The weighted-average grant-date fair value of restricted stock units granted during the six-months ended June 30, 2018 and 2017 was $57.59 per share and $46.65 per share, respectively. As of June 30, 2018, 0.5 million of restricted stock units are expected to vest over their respective terms.</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At June 30, 2018, total unrecognized compensation expense relating to non-vested restricted stock units was $22.2 million, which is expected to be recognized over a weighted-average period of 2.1 years.</w:t>
      </w:r>
    </w:p>
    <w:p>
      <w:pPr>
        <w:spacing w:after="0" w:line="177"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1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corporate income tax rates, implementing a territorial tax system and imposing a repatriation tax on deemed repatriated earnings of foreign subsidiaries. The Tax Reform Act permanently reduces the U.S. corporate income tax rate from a maximum of 35% to a flat 21% rate, effective January 1, 2018.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A company may select between one of three scenarios to determine a reasonable estimate for certain income tax effects arising from the Tax Reform Act. Those scenarios are (i) a final estimate which effectively closes the measurement window; (ii) a reasonable estimate leaving the measurement window</w:t>
      </w:r>
    </w:p>
    <w:p>
      <w:pPr>
        <w:sectPr>
          <w:pgSz w:w="11900" w:h="16911" w:orient="portrait"/>
          <w:cols w:equalWidth="0" w:num="1">
            <w:col w:w="11420"/>
          </w:cols>
          <w:pgMar w:left="240" w:top="122" w:right="239" w:bottom="0" w:gutter="0" w:footer="0" w:header="0"/>
        </w:sectPr>
      </w:pPr>
    </w:p>
    <w:bookmarkStart w:id="16" w:name="page17"/>
    <w:bookmarkEnd w:id="16"/>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open for future revisions; and (iii) no estimate as the law is still being analyzed. The Company was able to provide a reasonable estimate for the revaluation of deferred taxes and the effects of the toll charge on undistributed foreign subsidiary earnings and profits (“E&amp;P”). As a result of the reduction in the U.S. corporate income tax rate from 35% to 21% under the Tax Reform Act, the Company revalued its net deferred tax assets at December 31, 2017, resulting in a provisional $39.8 million charge included in the provision for income taxes for the year ended December 31, 2017. The Tax Reform Act also provided for a one-time deemed mandatory repatriation of Post-1986 E&amp;P through the year ended December 31, 2017. As a result, the Company recognized a provisional $2.1 million charge in the provision for income taxes for the year ended December 31, 2017 related to such deemed mandatory repatriation.</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 has not made additional measurement window adjustments to these items during the three- and six-months ended June 30, 2018. The Company continues to evaluate the various provisions of the Tax Reform Act, including, the global intangible low-taxed income (“GILTI”) and the foreign derived intangible income (“FDII”) provisions. The ultimate impact of the Tax Reform Act may differ from these provisional amounts, possibly materially, due to, among other things, additional analysis, changes in interpretations and assumptions the Company has made, additional regulatory guidance that may be issued, as well as any related actions the Company may take. The measurement window begins in the reporting period that includes the enactment date and ends when an entity has obtained, prepared and analyzed the information needed in order to complete the accounting requirements under ASC Topic 740.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six-months ended June 30, 2018:</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ind w:right="201"/>
              <w:spacing w:after="0"/>
              <w:rPr>
                <w:sz w:val="20"/>
                <w:szCs w:val="20"/>
                <w:color w:val="auto"/>
              </w:rPr>
            </w:pPr>
            <w:r>
              <w:rPr>
                <w:rFonts w:ascii="Arial" w:cs="Arial" w:eastAsia="Arial" w:hAnsi="Arial"/>
                <w:sz w:val="20"/>
                <w:szCs w:val="20"/>
                <w:color w:val="auto"/>
                <w:w w:val="90"/>
              </w:rPr>
              <w:t>Gross Unrecognized Tax</w:t>
            </w:r>
          </w:p>
        </w:tc>
        <w:tc>
          <w:tcPr>
            <w:tcW w:w="0" w:type="dxa"/>
            <w:vAlign w:val="bottom"/>
          </w:tcPr>
          <w:p>
            <w:pPr>
              <w:spacing w:after="0"/>
              <w:rPr>
                <w:sz w:val="1"/>
                <w:szCs w:val="1"/>
                <w:color w:val="auto"/>
              </w:rPr>
            </w:pPr>
          </w:p>
        </w:tc>
      </w:tr>
      <w:tr>
        <w:trPr>
          <w:trHeight w:val="246"/>
        </w:trPr>
        <w:tc>
          <w:tcPr>
            <w:tcW w:w="4260" w:type="dxa"/>
            <w:vAlign w:val="bottom"/>
            <w:vMerge w:val="restart"/>
          </w:tcPr>
          <w:p>
            <w:pPr>
              <w:spacing w:after="0"/>
              <w:rPr>
                <w:sz w:val="20"/>
                <w:szCs w:val="20"/>
                <w:color w:val="auto"/>
              </w:rPr>
            </w:pPr>
            <w:r>
              <w:rPr>
                <w:rFonts w:ascii="Arial" w:cs="Arial" w:eastAsia="Arial" w:hAnsi="Arial"/>
                <w:sz w:val="20"/>
                <w:szCs w:val="20"/>
                <w:color w:val="auto"/>
              </w:rPr>
              <w:t>Balance at December 31, 2017</w:t>
            </w:r>
          </w:p>
        </w:tc>
        <w:tc>
          <w:tcPr>
            <w:tcW w:w="2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color w:val="auto"/>
              </w:rPr>
              <w:t>Benefits</w:t>
            </w:r>
          </w:p>
        </w:tc>
        <w:tc>
          <w:tcPr>
            <w:tcW w:w="0" w:type="dxa"/>
            <w:vAlign w:val="bottom"/>
          </w:tcPr>
          <w:p>
            <w:pPr>
              <w:spacing w:after="0"/>
              <w:rPr>
                <w:sz w:val="1"/>
                <w:szCs w:val="1"/>
                <w:color w:val="auto"/>
              </w:rPr>
            </w:pPr>
          </w:p>
        </w:tc>
      </w:tr>
      <w:tr>
        <w:trPr>
          <w:trHeight w:val="206"/>
        </w:trPr>
        <w:tc>
          <w:tcPr>
            <w:tcW w:w="4260" w:type="dxa"/>
            <w:vAlign w:val="bottom"/>
            <w:vMerge w:val="continue"/>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320" w:type="dxa"/>
            <w:vAlign w:val="bottom"/>
          </w:tcPr>
          <w:p>
            <w:pPr>
              <w:jc w:val="right"/>
              <w:ind w:right="1"/>
              <w:spacing w:after="0" w:line="207" w:lineRule="exact"/>
              <w:rPr>
                <w:sz w:val="20"/>
                <w:szCs w:val="20"/>
                <w:color w:val="auto"/>
              </w:rPr>
            </w:pPr>
            <w:r>
              <w:rPr>
                <w:rFonts w:ascii="Arial" w:cs="Arial" w:eastAsia="Arial" w:hAnsi="Arial"/>
                <w:sz w:val="20"/>
                <w:szCs w:val="20"/>
                <w:color w:val="auto"/>
              </w:rPr>
              <w:t>6,540</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Additions for tax positions related to the current</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20"/>
                <w:szCs w:val="20"/>
                <w:color w:val="auto"/>
              </w:rPr>
              <w:t>year</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Additions for tax positions related to the prior</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20"/>
                <w:szCs w:val="20"/>
                <w:color w:val="auto"/>
              </w:rPr>
              <w:t>year</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1,172</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Decreases related to settlement with taxing</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180"/>
              <w:spacing w:after="0"/>
              <w:rPr>
                <w:sz w:val="20"/>
                <w:szCs w:val="20"/>
                <w:color w:val="auto"/>
              </w:rPr>
            </w:pPr>
            <w:r>
              <w:rPr>
                <w:rFonts w:ascii="Arial" w:cs="Arial" w:eastAsia="Arial" w:hAnsi="Arial"/>
                <w:sz w:val="20"/>
                <w:szCs w:val="20"/>
                <w:color w:val="auto"/>
              </w:rPr>
              <w:t>authority</w:t>
            </w: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(2,665)</w:t>
            </w:r>
          </w:p>
        </w:tc>
        <w:tc>
          <w:tcPr>
            <w:tcW w:w="0" w:type="dxa"/>
            <w:vAlign w:val="bottom"/>
          </w:tcPr>
          <w:p>
            <w:pPr>
              <w:spacing w:after="0"/>
              <w:rPr>
                <w:sz w:val="1"/>
                <w:szCs w:val="1"/>
                <w:color w:val="auto"/>
              </w:rPr>
            </w:pPr>
          </w:p>
        </w:tc>
      </w:tr>
      <w:tr>
        <w:trPr>
          <w:trHeight w:val="230"/>
        </w:trPr>
        <w:tc>
          <w:tcPr>
            <w:tcW w:w="4260" w:type="dxa"/>
            <w:vAlign w:val="bottom"/>
          </w:tcPr>
          <w:p>
            <w:pPr>
              <w:spacing w:after="0" w:line="220" w:lineRule="exact"/>
              <w:rPr>
                <w:sz w:val="20"/>
                <w:szCs w:val="20"/>
                <w:color w:val="auto"/>
              </w:rPr>
            </w:pPr>
            <w:r>
              <w:rPr>
                <w:rFonts w:ascii="Arial" w:cs="Arial" w:eastAsia="Arial" w:hAnsi="Arial"/>
                <w:sz w:val="20"/>
                <w:szCs w:val="20"/>
                <w:color w:val="auto"/>
              </w:rPr>
              <w:t>Balance at June 30, 2018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5,257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June 30, 2018, the Company had approximately $1.0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October 18, 2016, the IRS began its examination of the Company’s U.S. federal income tax return for the year ended December 31, 2014. On March 27, 2017, the IRS began its examination of the Company’s U.S. federal income tax return for the year ended December 31, 2015.</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Company’s 2014 through 2017 U.S. federal income tax returns are subject to examination by the IRS. The Company’s state income tax returns are subject to examination for the 2013 through 2017 tax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reconciliation of the weighted-average shares used in the basic and diluted earnings per common share computations is presented below (in thousands):</w:t>
      </w:r>
    </w:p>
    <w:p>
      <w:pPr>
        <w:spacing w:after="0" w:line="177" w:lineRule="exact"/>
        <w:rPr>
          <w:sz w:val="20"/>
          <w:szCs w:val="20"/>
          <w:color w:val="auto"/>
        </w:rPr>
      </w:pPr>
    </w:p>
    <w:tbl>
      <w:tblPr>
        <w:tblLayout w:type="fixed"/>
        <w:tblInd w:w="4860" w:type="dxa"/>
        <w:tblCellMar>
          <w:top w:w="0" w:type="dxa"/>
          <w:left w:w="0" w:type="dxa"/>
          <w:bottom w:w="0" w:type="dxa"/>
          <w:right w:w="0" w:type="dxa"/>
        </w:tblCellMar>
      </w:tblPr>
      <w:tr>
        <w:trPr>
          <w:trHeight w:val="230"/>
        </w:trPr>
        <w:tc>
          <w:tcPr>
            <w:tcW w:w="3300" w:type="dxa"/>
            <w:vAlign w:val="bottom"/>
            <w:gridSpan w:val="3"/>
          </w:tcPr>
          <w:p>
            <w:pPr>
              <w:jc w:val="center"/>
              <w:ind w:right="280"/>
              <w:spacing w:after="0"/>
              <w:rPr>
                <w:sz w:val="20"/>
                <w:szCs w:val="20"/>
                <w:color w:val="auto"/>
              </w:rPr>
            </w:pPr>
            <w:r>
              <w:rPr>
                <w:rFonts w:ascii="Arial" w:cs="Arial" w:eastAsia="Arial" w:hAnsi="Arial"/>
                <w:sz w:val="20"/>
                <w:szCs w:val="20"/>
                <w:color w:val="auto"/>
                <w:w w:val="90"/>
              </w:rPr>
              <w:t>Three-Months Ended</w:t>
            </w:r>
          </w:p>
        </w:tc>
        <w:tc>
          <w:tcPr>
            <w:tcW w:w="2980" w:type="dxa"/>
            <w:vAlign w:val="bottom"/>
            <w:gridSpan w:val="2"/>
          </w:tcPr>
          <w:p>
            <w:pPr>
              <w:jc w:val="center"/>
              <w:spacing w:after="0"/>
              <w:rPr>
                <w:sz w:val="20"/>
                <w:szCs w:val="20"/>
                <w:color w:val="auto"/>
              </w:rPr>
            </w:pPr>
            <w:r>
              <w:rPr>
                <w:rFonts w:ascii="Arial" w:cs="Arial" w:eastAsia="Arial" w:hAnsi="Arial"/>
                <w:sz w:val="20"/>
                <w:szCs w:val="20"/>
                <w:color w:val="auto"/>
                <w:w w:val="90"/>
              </w:rPr>
              <w:t>Six-Months Ended</w:t>
            </w:r>
          </w:p>
        </w:tc>
      </w:tr>
      <w:tr>
        <w:trPr>
          <w:trHeight w:val="246"/>
        </w:trPr>
        <w:tc>
          <w:tcPr>
            <w:tcW w:w="1020" w:type="dxa"/>
            <w:vAlign w:val="bottom"/>
          </w:tcPr>
          <w:p>
            <w:pPr>
              <w:spacing w:after="0"/>
              <w:rPr>
                <w:sz w:val="21"/>
                <w:szCs w:val="21"/>
                <w:color w:val="auto"/>
              </w:rPr>
            </w:pPr>
          </w:p>
        </w:tc>
        <w:tc>
          <w:tcPr>
            <w:tcW w:w="2280" w:type="dxa"/>
            <w:vAlign w:val="bottom"/>
            <w:gridSpan w:val="2"/>
          </w:tcPr>
          <w:p>
            <w:pPr>
              <w:jc w:val="center"/>
              <w:ind w:right="1300"/>
              <w:spacing w:after="0"/>
              <w:rPr>
                <w:sz w:val="20"/>
                <w:szCs w:val="20"/>
                <w:color w:val="auto"/>
              </w:rPr>
            </w:pPr>
            <w:r>
              <w:rPr>
                <w:rFonts w:ascii="Arial" w:cs="Arial" w:eastAsia="Arial" w:hAnsi="Arial"/>
                <w:sz w:val="20"/>
                <w:szCs w:val="20"/>
                <w:color w:val="auto"/>
                <w:w w:val="85"/>
              </w:rPr>
              <w:t>June 30,</w:t>
            </w:r>
          </w:p>
        </w:tc>
        <w:tc>
          <w:tcPr>
            <w:tcW w:w="1020" w:type="dxa"/>
            <w:vAlign w:val="bottom"/>
          </w:tcPr>
          <w:p>
            <w:pPr>
              <w:spacing w:after="0"/>
              <w:rPr>
                <w:sz w:val="21"/>
                <w:szCs w:val="21"/>
                <w:color w:val="auto"/>
              </w:rPr>
            </w:pPr>
          </w:p>
        </w:tc>
        <w:tc>
          <w:tcPr>
            <w:tcW w:w="1960" w:type="dxa"/>
            <w:vAlign w:val="bottom"/>
          </w:tcPr>
          <w:p>
            <w:pPr>
              <w:jc w:val="center"/>
              <w:ind w:right="921"/>
              <w:spacing w:after="0"/>
              <w:rPr>
                <w:sz w:val="20"/>
                <w:szCs w:val="20"/>
                <w:color w:val="auto"/>
              </w:rPr>
            </w:pPr>
            <w:r>
              <w:rPr>
                <w:rFonts w:ascii="Arial" w:cs="Arial" w:eastAsia="Arial" w:hAnsi="Arial"/>
                <w:sz w:val="20"/>
                <w:szCs w:val="20"/>
                <w:color w:val="auto"/>
                <w:w w:val="85"/>
              </w:rPr>
              <w:t>June 30,</w:t>
            </w:r>
          </w:p>
        </w:tc>
      </w:tr>
      <w:tr>
        <w:trPr>
          <w:trHeight w:val="244"/>
        </w:trPr>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2018</w:t>
            </w:r>
          </w:p>
        </w:tc>
        <w:tc>
          <w:tcPr>
            <w:tcW w:w="2000" w:type="dxa"/>
            <w:vAlign w:val="bottom"/>
            <w:tcBorders>
              <w:top w:val="single" w:sz="8" w:color="auto"/>
            </w:tcBorders>
          </w:tcPr>
          <w:p>
            <w:pPr>
              <w:jc w:val="right"/>
              <w:ind w:right="381"/>
              <w:spacing w:after="0"/>
              <w:rPr>
                <w:sz w:val="20"/>
                <w:szCs w:val="20"/>
                <w:color w:val="auto"/>
              </w:rPr>
            </w:pPr>
            <w:r>
              <w:rPr>
                <w:rFonts w:ascii="Arial" w:cs="Arial" w:eastAsia="Arial" w:hAnsi="Arial"/>
                <w:sz w:val="20"/>
                <w:szCs w:val="20"/>
                <w:color w:val="auto"/>
              </w:rPr>
              <w:t>2017</w:t>
            </w:r>
          </w:p>
        </w:tc>
        <w:tc>
          <w:tcPr>
            <w:tcW w:w="280" w:type="dxa"/>
            <w:vAlign w:val="bottom"/>
          </w:tcPr>
          <w:p>
            <w:pPr>
              <w:spacing w:after="0"/>
              <w:rPr>
                <w:sz w:val="21"/>
                <w:szCs w:val="21"/>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2018</w:t>
            </w:r>
          </w:p>
        </w:tc>
        <w:tc>
          <w:tcPr>
            <w:tcW w:w="1960" w:type="dxa"/>
            <w:vAlign w:val="bottom"/>
            <w:tcBorders>
              <w:top w:val="single" w:sz="8" w:color="auto"/>
            </w:tcBorders>
          </w:tcPr>
          <w:p>
            <w:pPr>
              <w:jc w:val="right"/>
              <w:ind w:right="361"/>
              <w:spacing w:after="0"/>
              <w:rPr>
                <w:sz w:val="20"/>
                <w:szCs w:val="20"/>
                <w:color w:val="auto"/>
              </w:rPr>
            </w:pPr>
            <w:r>
              <w:rPr>
                <w:rFonts w:ascii="Arial" w:cs="Arial" w:eastAsia="Arial" w:hAnsi="Arial"/>
                <w:sz w:val="20"/>
                <w:szCs w:val="20"/>
                <w:color w:val="auto"/>
              </w:rPr>
              <w:t>2017</w:t>
            </w:r>
          </w:p>
        </w:tc>
      </w:tr>
    </w:tbl>
    <w:p>
      <w:pPr>
        <w:sectPr>
          <w:pgSz w:w="11900" w:h="16932" w:orient="portrait"/>
          <w:cols w:equalWidth="0" w:num="1">
            <w:col w:w="11420"/>
          </w:cols>
          <w:pgMar w:left="240" w:top="122" w:right="239" w:bottom="0" w:gutter="0" w:footer="0" w:header="0"/>
        </w:sectPr>
      </w:pPr>
    </w:p>
    <w:bookmarkStart w:id="17" w:name="page18"/>
    <w:bookmarkEnd w:id="17"/>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4200" w:type="dxa"/>
            <w:vAlign w:val="bottom"/>
          </w:tcPr>
          <w:p>
            <w:pPr>
              <w:spacing w:after="0" w:line="213" w:lineRule="exact"/>
              <w:rPr>
                <w:sz w:val="20"/>
                <w:szCs w:val="20"/>
                <w:color w:val="auto"/>
              </w:rPr>
            </w:pPr>
            <w:r>
              <w:rPr>
                <w:rFonts w:ascii="Arial" w:cs="Arial" w:eastAsia="Arial" w:hAnsi="Arial"/>
                <w:sz w:val="20"/>
                <w:szCs w:val="20"/>
                <w:color w:val="auto"/>
              </w:rPr>
              <w:t>Weighted-average shares outstanding:</w:t>
            </w: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20"/>
                <w:szCs w:val="20"/>
                <w:color w:val="auto"/>
              </w:rPr>
              <w:t>Basic</w:t>
            </w: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559,867</w:t>
            </w: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auto"/>
              </w:rPr>
              <w:t>567,910</w:t>
            </w: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auto"/>
              </w:rPr>
              <w:t>562,917</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567,384</w:t>
            </w:r>
          </w:p>
        </w:tc>
      </w:tr>
      <w:tr>
        <w:trPr>
          <w:trHeight w:val="240"/>
        </w:trPr>
        <w:tc>
          <w:tcPr>
            <w:tcW w:w="4200" w:type="dxa"/>
            <w:vAlign w:val="bottom"/>
          </w:tcPr>
          <w:p>
            <w:pPr>
              <w:ind w:left="180"/>
              <w:spacing w:after="0"/>
              <w:rPr>
                <w:sz w:val="20"/>
                <w:szCs w:val="20"/>
                <w:color w:val="auto"/>
              </w:rPr>
            </w:pPr>
            <w:r>
              <w:rPr>
                <w:rFonts w:ascii="Arial" w:cs="Arial" w:eastAsia="Arial" w:hAnsi="Arial"/>
                <w:sz w:val="20"/>
                <w:szCs w:val="20"/>
                <w:color w:val="auto"/>
              </w:rPr>
              <w:t>Dilutive</w:t>
            </w: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6,485</w:t>
            </w: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auto"/>
              </w:rPr>
              <w:t>10,110</w:t>
            </w: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auto"/>
              </w:rPr>
              <w:t>7,314</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10,335</w:t>
            </w:r>
          </w:p>
        </w:tc>
      </w:tr>
      <w:tr>
        <w:trPr>
          <w:trHeight w:val="230"/>
        </w:trPr>
        <w:tc>
          <w:tcPr>
            <w:tcW w:w="4200" w:type="dxa"/>
            <w:vAlign w:val="bottom"/>
          </w:tcPr>
          <w:p>
            <w:pPr>
              <w:ind w:left="180"/>
              <w:spacing w:after="0" w:line="220" w:lineRule="exact"/>
              <w:rPr>
                <w:sz w:val="20"/>
                <w:szCs w:val="20"/>
                <w:color w:val="auto"/>
              </w:rPr>
            </w:pPr>
            <w:r>
              <w:rPr>
                <w:rFonts w:ascii="Arial" w:cs="Arial" w:eastAsia="Arial" w:hAnsi="Arial"/>
                <w:sz w:val="20"/>
                <w:szCs w:val="20"/>
                <w:color w:val="auto"/>
              </w:rPr>
              <w:t>Diluted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566,352</w:t>
            </w:r>
          </w:p>
        </w:tc>
        <w:tc>
          <w:tcPr>
            <w:tcW w:w="3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578,020</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570,231</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577,719</w:t>
            </w:r>
          </w:p>
        </w:tc>
      </w:tr>
      <w:tr>
        <w:trPr>
          <w:trHeight w:val="20"/>
        </w:trPr>
        <w:tc>
          <w:tcPr>
            <w:tcW w:w="4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three-months ended June 30, 2018 and 2017, options and awards outstanding totaling 6.4 million shares and 8.8 million shares, respectively, were excluded from the calculations as their effect would have been antidilutive. For the six-months ended June 30, 2018 and 2017, options and awards outstanding totaling 2.6 million shares and 8.4 million shares, respectively, were excluded from the calculations as their effect would have been antidilutive.</w:t>
      </w:r>
    </w:p>
    <w:p>
      <w:pPr>
        <w:spacing w:after="0" w:line="192"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currently has three operating and reportable segments, (i) Monster Energy® Drinks segment, which is comprised of the Company’s Monster Energy® drinks and Mutant® Super Soda drinks, (ii) Strategic Brands segment, which is comprised of the various energy drink brands acquired from TCCC in 2015, and (iii) Other segment, which is comprised of certain products sold by American Fruits &amp; Flavors LLC, a wholly-owned subsidiary of the Company, to independent third-party customers.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Company’s Monster Energy® Drinks segment primarily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 service customers and the military.</w:t>
      </w:r>
    </w:p>
    <w:p>
      <w:pPr>
        <w:spacing w:after="0" w:line="170" w:lineRule="exact"/>
        <w:rPr>
          <w:sz w:val="20"/>
          <w:szCs w:val="20"/>
          <w:color w:val="auto"/>
        </w:rPr>
      </w:pPr>
    </w:p>
    <w:p>
      <w:pPr>
        <w:jc w:val="both"/>
        <w:ind w:firstLine="689"/>
        <w:spacing w:after="0" w:line="316" w:lineRule="auto"/>
        <w:rPr>
          <w:sz w:val="20"/>
          <w:szCs w:val="20"/>
          <w:color w:val="auto"/>
        </w:rPr>
      </w:pPr>
      <w:r>
        <w:rPr>
          <w:rFonts w:ascii="Arial" w:cs="Arial" w:eastAsia="Arial" w:hAnsi="Arial"/>
          <w:sz w:val="16"/>
          <w:szCs w:val="16"/>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 service customers, drug stores and the military. To a lesser extent, the Company’s Strategic Brands segment generates net operating revenues by selling certain ready-to-drink packaged energy drinks to bottlers and full service beverage distributors.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margins than the Strategic Brands segment.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three- and six-months ended June 30, 2018 and 2017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gridSpan w:val="7"/>
          </w:tcPr>
          <w:p>
            <w:pPr>
              <w:jc w:val="center"/>
              <w:ind w:right="680"/>
              <w:spacing w:after="0"/>
              <w:rPr>
                <w:sz w:val="20"/>
                <w:szCs w:val="20"/>
                <w:color w:val="auto"/>
              </w:rPr>
            </w:pPr>
            <w:r>
              <w:rPr>
                <w:rFonts w:ascii="Arial" w:cs="Arial" w:eastAsia="Arial" w:hAnsi="Arial"/>
                <w:sz w:val="20"/>
                <w:szCs w:val="20"/>
                <w:color w:val="auto"/>
                <w:w w:val="89"/>
              </w:rPr>
              <w:t>Three-Months Ended</w:t>
            </w:r>
          </w:p>
        </w:tc>
        <w:tc>
          <w:tcPr>
            <w:tcW w:w="400" w:type="dxa"/>
            <w:vAlign w:val="bottom"/>
          </w:tcPr>
          <w:p>
            <w:pPr>
              <w:spacing w:after="0"/>
              <w:rPr>
                <w:sz w:val="19"/>
                <w:szCs w:val="19"/>
                <w:color w:val="auto"/>
              </w:rPr>
            </w:pPr>
          </w:p>
        </w:tc>
        <w:tc>
          <w:tcPr>
            <w:tcW w:w="2960" w:type="dxa"/>
            <w:vAlign w:val="bottom"/>
            <w:gridSpan w:val="4"/>
          </w:tcPr>
          <w:p>
            <w:pPr>
              <w:jc w:val="center"/>
              <w:ind w:right="301"/>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20"/>
                <w:szCs w:val="20"/>
                <w:color w:val="auto"/>
                <w:w w:val="85"/>
              </w:rPr>
              <w:t>June 30,</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85"/>
              </w:rPr>
              <w:t>June 30,</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2018</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3"/>
        </w:trPr>
        <w:tc>
          <w:tcPr>
            <w:tcW w:w="43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w:t>
            </w:r>
            <w:r>
              <w:rPr>
                <w:rFonts w:ascii="Arial" w:cs="Arial" w:eastAsia="Arial" w:hAnsi="Arial"/>
                <w:sz w:val="20"/>
                <w:szCs w:val="20"/>
                <w:color w:val="auto"/>
              </w:rPr>
              <w:t>¹</w:t>
            </w:r>
            <w:r>
              <w:rPr>
                <w:rFonts w:ascii="Arial" w:cs="Arial" w:eastAsia="Arial" w:hAnsi="Arial"/>
                <w:sz w:val="12"/>
                <w:szCs w:val="12"/>
                <w:color w:val="auto"/>
              </w:rPr>
              <w:t>)</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1"/>
              <w:spacing w:after="0"/>
              <w:rPr>
                <w:sz w:val="20"/>
                <w:szCs w:val="20"/>
                <w:color w:val="auto"/>
              </w:rPr>
            </w:pPr>
            <w:r>
              <w:rPr>
                <w:rFonts w:ascii="Arial" w:cs="Arial" w:eastAsia="Arial" w:hAnsi="Arial"/>
                <w:sz w:val="20"/>
                <w:szCs w:val="20"/>
                <w:color w:val="auto"/>
              </w:rPr>
              <w:t>929,439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815,261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1,709,943</w:t>
            </w:r>
          </w:p>
        </w:tc>
        <w:tc>
          <w:tcPr>
            <w:tcW w:w="260" w:type="dxa"/>
            <w:vAlign w:val="bottom"/>
          </w:tcPr>
          <w:p>
            <w:pPr>
              <w:spacing w:after="0"/>
              <w:rPr>
                <w:sz w:val="19"/>
                <w:szCs w:val="19"/>
                <w:color w:val="auto"/>
              </w:rPr>
            </w:pP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1,483,831</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Strategic Brands</w:t>
            </w:r>
          </w:p>
        </w:tc>
        <w:tc>
          <w:tcPr>
            <w:tcW w:w="44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20"/>
                <w:szCs w:val="20"/>
                <w:color w:val="auto"/>
              </w:rPr>
              <w:t>79,811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85,633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145,570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153,669</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Other</w:t>
            </w:r>
          </w:p>
        </w:tc>
        <w:tc>
          <w:tcPr>
            <w:tcW w:w="44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20"/>
                <w:szCs w:val="20"/>
                <w:color w:val="auto"/>
              </w:rPr>
              <w:t>6,623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6,174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11,280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11,714</w:t>
            </w:r>
          </w:p>
        </w:tc>
        <w:tc>
          <w:tcPr>
            <w:tcW w:w="0" w:type="dxa"/>
            <w:vAlign w:val="bottom"/>
          </w:tcPr>
          <w:p>
            <w:pPr>
              <w:spacing w:after="0"/>
              <w:rPr>
                <w:sz w:val="1"/>
                <w:szCs w:val="1"/>
                <w:color w:val="auto"/>
              </w:rPr>
            </w:pPr>
          </w:p>
        </w:tc>
      </w:tr>
      <w:tr>
        <w:trPr>
          <w:trHeight w:val="246"/>
        </w:trPr>
        <w:tc>
          <w:tcPr>
            <w:tcW w:w="4360" w:type="dxa"/>
            <w:vAlign w:val="bottom"/>
          </w:tcPr>
          <w:p>
            <w:pPr>
              <w:ind w:left="180"/>
              <w:spacing w:after="0"/>
              <w:rPr>
                <w:sz w:val="20"/>
                <w:szCs w:val="20"/>
                <w:color w:val="auto"/>
              </w:rPr>
            </w:pPr>
            <w:r>
              <w:rPr>
                <w:rFonts w:ascii="Arial" w:cs="Arial" w:eastAsia="Arial" w:hAnsi="Arial"/>
                <w:sz w:val="20"/>
                <w:szCs w:val="20"/>
                <w:color w:val="auto"/>
              </w:rPr>
              <w:t>Corporate and unallocated</w:t>
            </w: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1,015,873</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907,068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1,866,793</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1,649,214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gridSpan w:val="7"/>
          </w:tcPr>
          <w:p>
            <w:pPr>
              <w:jc w:val="center"/>
              <w:ind w:right="680"/>
              <w:spacing w:after="0"/>
              <w:rPr>
                <w:sz w:val="20"/>
                <w:szCs w:val="20"/>
                <w:color w:val="auto"/>
              </w:rPr>
            </w:pPr>
            <w:r>
              <w:rPr>
                <w:rFonts w:ascii="Arial" w:cs="Arial" w:eastAsia="Arial" w:hAnsi="Arial"/>
                <w:sz w:val="20"/>
                <w:szCs w:val="20"/>
                <w:color w:val="auto"/>
                <w:w w:val="89"/>
              </w:rPr>
              <w:t>Three-Months Ended</w:t>
            </w:r>
          </w:p>
        </w:tc>
        <w:tc>
          <w:tcPr>
            <w:tcW w:w="400" w:type="dxa"/>
            <w:vAlign w:val="bottom"/>
          </w:tcPr>
          <w:p>
            <w:pPr>
              <w:spacing w:after="0"/>
              <w:rPr>
                <w:sz w:val="24"/>
                <w:szCs w:val="24"/>
                <w:color w:val="auto"/>
              </w:rPr>
            </w:pPr>
          </w:p>
        </w:tc>
        <w:tc>
          <w:tcPr>
            <w:tcW w:w="2960" w:type="dxa"/>
            <w:vAlign w:val="bottom"/>
            <w:gridSpan w:val="4"/>
          </w:tcPr>
          <w:p>
            <w:pPr>
              <w:jc w:val="center"/>
              <w:ind w:right="321"/>
              <w:spacing w:after="0"/>
              <w:rPr>
                <w:sz w:val="20"/>
                <w:szCs w:val="20"/>
                <w:color w:val="auto"/>
              </w:rPr>
            </w:pPr>
            <w:r>
              <w:rPr>
                <w:rFonts w:ascii="Arial" w:cs="Arial" w:eastAsia="Arial" w:hAnsi="Arial"/>
                <w:sz w:val="20"/>
                <w:szCs w:val="20"/>
                <w:color w:val="auto"/>
                <w:w w:val="91"/>
              </w:rPr>
              <w:t>Six-Months Ended</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20"/>
                <w:szCs w:val="20"/>
                <w:color w:val="auto"/>
                <w:w w:val="85"/>
              </w:rPr>
              <w:t>June 30,</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85"/>
              </w:rPr>
              <w:t>June 30,</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2018</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3"/>
        </w:trPr>
        <w:tc>
          <w:tcPr>
            <w:tcW w:w="43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w:t>
            </w:r>
            <w:r>
              <w:rPr>
                <w:rFonts w:ascii="Arial" w:cs="Arial" w:eastAsia="Arial" w:hAnsi="Arial"/>
                <w:sz w:val="20"/>
                <w:szCs w:val="20"/>
                <w:color w:val="auto"/>
              </w:rPr>
              <w:t>¹</w:t>
            </w:r>
            <w:r>
              <w:rPr>
                <w:rFonts w:ascii="Arial" w:cs="Arial" w:eastAsia="Arial" w:hAnsi="Arial"/>
                <w:sz w:val="12"/>
                <w:szCs w:val="12"/>
                <w:color w:val="auto"/>
              </w:rPr>
              <w:t>) (2)</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1"/>
              <w:spacing w:after="0"/>
              <w:rPr>
                <w:sz w:val="20"/>
                <w:szCs w:val="20"/>
                <w:color w:val="auto"/>
              </w:rPr>
            </w:pPr>
            <w:r>
              <w:rPr>
                <w:rFonts w:ascii="Arial" w:cs="Arial" w:eastAsia="Arial" w:hAnsi="Arial"/>
                <w:sz w:val="20"/>
                <w:szCs w:val="20"/>
                <w:color w:val="auto"/>
              </w:rPr>
              <w:t>373,103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356,223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674,805</w:t>
            </w:r>
          </w:p>
        </w:tc>
        <w:tc>
          <w:tcPr>
            <w:tcW w:w="260" w:type="dxa"/>
            <w:vAlign w:val="bottom"/>
          </w:tcPr>
          <w:p>
            <w:pPr>
              <w:spacing w:after="0"/>
              <w:rPr>
                <w:sz w:val="19"/>
                <w:szCs w:val="19"/>
                <w:color w:val="auto"/>
              </w:rPr>
            </w:pP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635,654</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Strategic Brands</w:t>
            </w:r>
          </w:p>
        </w:tc>
        <w:tc>
          <w:tcPr>
            <w:tcW w:w="44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20"/>
                <w:szCs w:val="20"/>
                <w:color w:val="auto"/>
              </w:rPr>
              <w:t>50,791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53,175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93,393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95,281</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Other</w:t>
            </w:r>
          </w:p>
        </w:tc>
        <w:tc>
          <w:tcPr>
            <w:tcW w:w="44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20"/>
                <w:szCs w:val="20"/>
                <w:color w:val="auto"/>
              </w:rPr>
              <w:t>1,826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1,718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2,797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3,134</w:t>
            </w:r>
          </w:p>
        </w:tc>
        <w:tc>
          <w:tcPr>
            <w:tcW w:w="0" w:type="dxa"/>
            <w:vAlign w:val="bottom"/>
          </w:tcPr>
          <w:p>
            <w:pPr>
              <w:spacing w:after="0"/>
              <w:rPr>
                <w:sz w:val="1"/>
                <w:szCs w:val="1"/>
                <w:color w:val="auto"/>
              </w:rPr>
            </w:pPr>
          </w:p>
        </w:tc>
      </w:tr>
      <w:tr>
        <w:trPr>
          <w:trHeight w:val="246"/>
        </w:trPr>
        <w:tc>
          <w:tcPr>
            <w:tcW w:w="4360" w:type="dxa"/>
            <w:vAlign w:val="bottom"/>
          </w:tcPr>
          <w:p>
            <w:pPr>
              <w:ind w:left="180"/>
              <w:spacing w:after="0"/>
              <w:rPr>
                <w:sz w:val="20"/>
                <w:szCs w:val="20"/>
                <w:color w:val="auto"/>
              </w:rPr>
            </w:pPr>
            <w:r>
              <w:rPr>
                <w:rFonts w:ascii="Arial" w:cs="Arial" w:eastAsia="Arial" w:hAnsi="Arial"/>
                <w:sz w:val="20"/>
                <w:szCs w:val="20"/>
                <w:color w:val="auto"/>
              </w:rPr>
              <w:t>Corporate and unallocated</w:t>
            </w: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(68,099)</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(61,075)</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(133,460)</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(119,766)</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357,621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350,041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637,535</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614,303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gridSpan w:val="7"/>
          </w:tcPr>
          <w:p>
            <w:pPr>
              <w:jc w:val="center"/>
              <w:ind w:right="680"/>
              <w:spacing w:after="0"/>
              <w:rPr>
                <w:sz w:val="20"/>
                <w:szCs w:val="20"/>
                <w:color w:val="auto"/>
              </w:rPr>
            </w:pPr>
            <w:r>
              <w:rPr>
                <w:rFonts w:ascii="Arial" w:cs="Arial" w:eastAsia="Arial" w:hAnsi="Arial"/>
                <w:sz w:val="20"/>
                <w:szCs w:val="20"/>
                <w:color w:val="auto"/>
                <w:w w:val="89"/>
              </w:rPr>
              <w:t>Three-Months Ended</w:t>
            </w:r>
          </w:p>
        </w:tc>
        <w:tc>
          <w:tcPr>
            <w:tcW w:w="400" w:type="dxa"/>
            <w:vAlign w:val="bottom"/>
          </w:tcPr>
          <w:p>
            <w:pPr>
              <w:spacing w:after="0"/>
              <w:rPr>
                <w:sz w:val="24"/>
                <w:szCs w:val="24"/>
                <w:color w:val="auto"/>
              </w:rPr>
            </w:pPr>
          </w:p>
        </w:tc>
        <w:tc>
          <w:tcPr>
            <w:tcW w:w="2960" w:type="dxa"/>
            <w:vAlign w:val="bottom"/>
            <w:gridSpan w:val="4"/>
          </w:tcPr>
          <w:p>
            <w:pPr>
              <w:jc w:val="center"/>
              <w:ind w:right="301"/>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20"/>
                <w:szCs w:val="20"/>
                <w:color w:val="auto"/>
                <w:w w:val="85"/>
              </w:rPr>
              <w:t>June 30,</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85"/>
              </w:rPr>
              <w:t>June 30,</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vMerge w:val="restart"/>
          </w:tcPr>
          <w:p>
            <w:pPr>
              <w:spacing w:after="0"/>
              <w:rPr>
                <w:sz w:val="20"/>
                <w:szCs w:val="20"/>
                <w:color w:val="auto"/>
              </w:rPr>
            </w:pPr>
            <w:r>
              <w:rPr>
                <w:rFonts w:ascii="Arial" w:cs="Arial" w:eastAsia="Arial" w:hAnsi="Arial"/>
                <w:sz w:val="20"/>
                <w:szCs w:val="20"/>
                <w:color w:val="auto"/>
              </w:rPr>
              <w:t>Income before tax:</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2018</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14"/>
        </w:trPr>
        <w:tc>
          <w:tcPr>
            <w:tcW w:w="43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0" w:gutter="0" w:footer="0" w:header="0"/>
        </w:sectPr>
      </w:pPr>
    </w:p>
    <w:bookmarkStart w:id="18" w:name="page19"/>
    <w:bookmarkEnd w:id="18"/>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4180" w:type="dxa"/>
            <w:vAlign w:val="bottom"/>
          </w:tcPr>
          <w:p>
            <w:pPr>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w:t>
            </w:r>
            <w:r>
              <w:rPr>
                <w:rFonts w:ascii="Arial" w:cs="Arial" w:eastAsia="Arial" w:hAnsi="Arial"/>
                <w:sz w:val="20"/>
                <w:szCs w:val="20"/>
                <w:color w:val="auto"/>
              </w:rPr>
              <w:t>¹</w:t>
            </w:r>
            <w:r>
              <w:rPr>
                <w:rFonts w:ascii="Arial" w:cs="Arial" w:eastAsia="Arial" w:hAnsi="Arial"/>
                <w:sz w:val="12"/>
                <w:szCs w:val="12"/>
                <w:color w:val="auto"/>
              </w:rPr>
              <w:t>) (2)</w:t>
            </w:r>
          </w:p>
        </w:tc>
        <w:tc>
          <w:tcPr>
            <w:tcW w:w="5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373,342</w:t>
            </w:r>
          </w:p>
        </w:tc>
        <w:tc>
          <w:tcPr>
            <w:tcW w:w="240" w:type="dxa"/>
            <w:vAlign w:val="bottom"/>
          </w:tcPr>
          <w:p>
            <w:pPr>
              <w:spacing w:after="0"/>
              <w:rPr>
                <w:sz w:val="20"/>
                <w:szCs w:val="20"/>
                <w:color w:val="auto"/>
              </w:rPr>
            </w:pP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356,316</w:t>
            </w:r>
          </w:p>
        </w:tc>
        <w:tc>
          <w:tcPr>
            <w:tcW w:w="240" w:type="dxa"/>
            <w:vAlign w:val="bottom"/>
          </w:tcPr>
          <w:p>
            <w:pPr>
              <w:spacing w:after="0"/>
              <w:rPr>
                <w:sz w:val="20"/>
                <w:szCs w:val="20"/>
                <w:color w:val="auto"/>
              </w:rPr>
            </w:pP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675,305</w:t>
            </w:r>
          </w:p>
        </w:tc>
        <w:tc>
          <w:tcPr>
            <w:tcW w:w="260" w:type="dxa"/>
            <w:vAlign w:val="bottom"/>
          </w:tcPr>
          <w:p>
            <w:pPr>
              <w:spacing w:after="0"/>
              <w:rPr>
                <w:sz w:val="20"/>
                <w:szCs w:val="20"/>
                <w:color w:val="auto"/>
              </w:rPr>
            </w:pPr>
          </w:p>
        </w:tc>
        <w:tc>
          <w:tcPr>
            <w:tcW w:w="4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635,651</w:t>
            </w:r>
          </w:p>
        </w:tc>
      </w:tr>
      <w:tr>
        <w:trPr>
          <w:trHeight w:val="230"/>
        </w:trPr>
        <w:tc>
          <w:tcPr>
            <w:tcW w:w="4180" w:type="dxa"/>
            <w:vAlign w:val="bottom"/>
          </w:tcPr>
          <w:p>
            <w:pPr>
              <w:spacing w:after="0"/>
              <w:rPr>
                <w:sz w:val="20"/>
                <w:szCs w:val="20"/>
                <w:color w:val="auto"/>
              </w:rPr>
            </w:pPr>
            <w:r>
              <w:rPr>
                <w:rFonts w:ascii="Arial" w:cs="Arial" w:eastAsia="Arial" w:hAnsi="Arial"/>
                <w:sz w:val="20"/>
                <w:szCs w:val="20"/>
                <w:color w:val="auto"/>
              </w:rPr>
              <w:t>Strategic Brands</w:t>
            </w:r>
          </w:p>
        </w:tc>
        <w:tc>
          <w:tcPr>
            <w:tcW w:w="56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50,833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53,174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93,416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95,268</w:t>
            </w:r>
          </w:p>
        </w:tc>
      </w:tr>
      <w:tr>
        <w:trPr>
          <w:trHeight w:val="230"/>
        </w:trPr>
        <w:tc>
          <w:tcPr>
            <w:tcW w:w="4180" w:type="dxa"/>
            <w:vAlign w:val="bottom"/>
          </w:tcPr>
          <w:p>
            <w:pPr>
              <w:spacing w:after="0"/>
              <w:rPr>
                <w:sz w:val="20"/>
                <w:szCs w:val="20"/>
                <w:color w:val="auto"/>
              </w:rPr>
            </w:pPr>
            <w:r>
              <w:rPr>
                <w:rFonts w:ascii="Arial" w:cs="Arial" w:eastAsia="Arial" w:hAnsi="Arial"/>
                <w:sz w:val="20"/>
                <w:szCs w:val="20"/>
                <w:color w:val="auto"/>
              </w:rPr>
              <w:t>Other</w:t>
            </w:r>
          </w:p>
        </w:tc>
        <w:tc>
          <w:tcPr>
            <w:tcW w:w="56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1,826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1,718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2,797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3,134</w:t>
            </w:r>
          </w:p>
        </w:tc>
      </w:tr>
      <w:tr>
        <w:trPr>
          <w:trHeight w:val="246"/>
        </w:trPr>
        <w:tc>
          <w:tcPr>
            <w:tcW w:w="4180" w:type="dxa"/>
            <w:vAlign w:val="bottom"/>
          </w:tcPr>
          <w:p>
            <w:pPr>
              <w:spacing w:after="0"/>
              <w:rPr>
                <w:sz w:val="20"/>
                <w:szCs w:val="20"/>
                <w:color w:val="auto"/>
              </w:rPr>
            </w:pPr>
            <w:r>
              <w:rPr>
                <w:rFonts w:ascii="Arial" w:cs="Arial" w:eastAsia="Arial" w:hAnsi="Arial"/>
                <w:sz w:val="20"/>
                <w:szCs w:val="20"/>
                <w:color w:val="auto"/>
              </w:rPr>
              <w:t>Corporate and unallocated</w:t>
            </w: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(67,904)</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(63,718)</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(131,702)</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(121,643)</w:t>
            </w:r>
          </w:p>
        </w:tc>
      </w:tr>
      <w:tr>
        <w:trPr>
          <w:trHeight w:val="223"/>
        </w:trPr>
        <w:tc>
          <w:tcPr>
            <w:tcW w:w="4180" w:type="dxa"/>
            <w:vAlign w:val="bottom"/>
          </w:tcPr>
          <w:p>
            <w:pPr>
              <w:spacing w:after="0"/>
              <w:rPr>
                <w:sz w:val="19"/>
                <w:szCs w:val="19"/>
                <w:color w:val="auto"/>
              </w:rPr>
            </w:pPr>
          </w:p>
        </w:tc>
        <w:tc>
          <w:tcPr>
            <w:tcW w:w="560" w:type="dxa"/>
            <w:vAlign w:val="bottom"/>
            <w:tcBorders>
              <w:bottom w:val="single" w:sz="8" w:color="auto"/>
            </w:tcBorders>
          </w:tcPr>
          <w:p>
            <w:pPr>
              <w:jc w:val="right"/>
              <w:ind w:right="22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358,097</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347,490</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639,816</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612,410</w:t>
            </w:r>
          </w:p>
        </w:tc>
      </w:tr>
      <w:tr>
        <w:trPr>
          <w:trHeight w:val="20"/>
        </w:trPr>
        <w:tc>
          <w:tcPr>
            <w:tcW w:w="4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right="20" w:hanging="328"/>
        <w:spacing w:after="0" w:line="253" w:lineRule="auto"/>
        <w:tabs>
          <w:tab w:leader="none" w:pos="639"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$11.0 million and $10.2 million for the three-months ended June 30, 2018 and 2017, respectively, related to the recognition of deferred revenue. Includes $22.2 million and $20.1 million for the six-months ended June 30, 2018 and 2017, respectively, related to the recognition of deferred revenue.</w:t>
      </w:r>
    </w:p>
    <w:p>
      <w:pPr>
        <w:spacing w:after="0" w:line="173" w:lineRule="exact"/>
        <w:rPr>
          <w:rFonts w:ascii="Arial" w:cs="Arial" w:eastAsia="Arial" w:hAnsi="Arial"/>
          <w:sz w:val="14"/>
          <w:szCs w:val="14"/>
          <w:i w:val="1"/>
          <w:iCs w:val="1"/>
          <w:color w:val="auto"/>
        </w:rPr>
      </w:pPr>
    </w:p>
    <w:p>
      <w:pPr>
        <w:ind w:left="660" w:hanging="328"/>
        <w:spacing w:after="0" w:line="253" w:lineRule="auto"/>
        <w:tabs>
          <w:tab w:leader="none" w:pos="666"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$5.5 million and $0.2 million for the three-months ended June 30, 2018 and 2017, respectively, related to distributor termination costs. Includes $12.5 million and $20.1 million for the six-months ended June 30, 2018 and 2017, respectively, related to distributor termination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320"/>
              <w:spacing w:after="0"/>
              <w:rPr>
                <w:sz w:val="20"/>
                <w:szCs w:val="20"/>
                <w:color w:val="auto"/>
              </w:rPr>
            </w:pPr>
            <w:r>
              <w:rPr>
                <w:rFonts w:ascii="Arial" w:cs="Arial" w:eastAsia="Arial" w:hAnsi="Arial"/>
                <w:sz w:val="20"/>
                <w:szCs w:val="20"/>
                <w:color w:val="auto"/>
              </w:rPr>
              <w:t>Three-Months Ended</w:t>
            </w:r>
          </w:p>
        </w:tc>
        <w:tc>
          <w:tcPr>
            <w:tcW w:w="360" w:type="dxa"/>
            <w:vAlign w:val="bottom"/>
          </w:tcPr>
          <w:p>
            <w:pPr>
              <w:spacing w:after="0"/>
              <w:rPr>
                <w:sz w:val="19"/>
                <w:szCs w:val="19"/>
                <w:color w:val="auto"/>
              </w:rPr>
            </w:pPr>
          </w:p>
        </w:tc>
        <w:tc>
          <w:tcPr>
            <w:tcW w:w="2740" w:type="dxa"/>
            <w:vAlign w:val="bottom"/>
            <w:gridSpan w:val="4"/>
          </w:tcPr>
          <w:p>
            <w:pPr>
              <w:jc w:val="right"/>
              <w:ind w:right="701"/>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20"/>
                <w:szCs w:val="20"/>
                <w:color w:val="auto"/>
              </w:rPr>
              <w:t>June 30,</w:t>
            </w:r>
          </w:p>
        </w:tc>
        <w:tc>
          <w:tcPr>
            <w:tcW w:w="10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color w:val="auto"/>
              </w:rPr>
              <w:t>June 30,</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Arial" w:cs="Arial" w:eastAsia="Arial" w:hAnsi="Arial"/>
                <w:sz w:val="20"/>
                <w:szCs w:val="20"/>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2018</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2018</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3"/>
        </w:trPr>
        <w:tc>
          <w:tcPr>
            <w:tcW w:w="5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20"/>
                <w:szCs w:val="20"/>
                <w:color w:val="auto"/>
              </w:rPr>
              <w:t>Monster Energy® Drinks</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8,960</w:t>
            </w:r>
          </w:p>
        </w:tc>
        <w:tc>
          <w:tcPr>
            <w:tcW w:w="300" w:type="dxa"/>
            <w:vAlign w:val="bottom"/>
          </w:tcPr>
          <w:p>
            <w:pPr>
              <w:spacing w:after="0"/>
              <w:rPr>
                <w:sz w:val="19"/>
                <w:szCs w:val="19"/>
                <w:color w:val="auto"/>
              </w:rPr>
            </w:pP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6,873</w:t>
            </w:r>
          </w:p>
        </w:tc>
        <w:tc>
          <w:tcPr>
            <w:tcW w:w="280" w:type="dxa"/>
            <w:vAlign w:val="bottom"/>
          </w:tcPr>
          <w:p>
            <w:pPr>
              <w:spacing w:after="0"/>
              <w:rPr>
                <w:sz w:val="19"/>
                <w:szCs w:val="19"/>
                <w:color w:val="auto"/>
              </w:rPr>
            </w:pP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17,770</w:t>
            </w:r>
          </w:p>
        </w:tc>
        <w:tc>
          <w:tcPr>
            <w:tcW w:w="280" w:type="dxa"/>
            <w:vAlign w:val="bottom"/>
          </w:tcPr>
          <w:p>
            <w:pPr>
              <w:spacing w:after="0"/>
              <w:rPr>
                <w:sz w:val="19"/>
                <w:szCs w:val="19"/>
                <w:color w:val="auto"/>
              </w:rPr>
            </w:pP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13,413</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20"/>
                <w:szCs w:val="20"/>
                <w:color w:val="auto"/>
              </w:rPr>
              <w:t>Strategic Brands</w:t>
            </w:r>
          </w:p>
        </w:tc>
        <w:tc>
          <w:tcPr>
            <w:tcW w:w="3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1,946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1,842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3,872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3,638</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1,167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1,153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2,326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2,306</w:t>
            </w:r>
          </w:p>
        </w:tc>
        <w:tc>
          <w:tcPr>
            <w:tcW w:w="0" w:type="dxa"/>
            <w:vAlign w:val="bottom"/>
          </w:tcPr>
          <w:p>
            <w:pPr>
              <w:spacing w:after="0"/>
              <w:rPr>
                <w:sz w:val="1"/>
                <w:szCs w:val="1"/>
                <w:color w:val="auto"/>
              </w:rPr>
            </w:pPr>
          </w:p>
        </w:tc>
      </w:tr>
      <w:tr>
        <w:trPr>
          <w:trHeight w:val="246"/>
        </w:trPr>
        <w:tc>
          <w:tcPr>
            <w:tcW w:w="5000" w:type="dxa"/>
            <w:vAlign w:val="bottom"/>
          </w:tcPr>
          <w:p>
            <w:pPr>
              <w:ind w:left="240"/>
              <w:spacing w:after="0"/>
              <w:rPr>
                <w:sz w:val="20"/>
                <w:szCs w:val="20"/>
                <w:color w:val="auto"/>
              </w:rPr>
            </w:pPr>
            <w:r>
              <w:rPr>
                <w:rFonts w:ascii="Arial" w:cs="Arial" w:eastAsia="Arial" w:hAnsi="Arial"/>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2,121</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1,725</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4,217</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3,418</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3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14,194</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11,593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28,185</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22,775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for the three-months ended June 30, 2018 include $44.7 million of payroll costs, of which $14.9 million was attributable to stock-based compensation expenses (see Note 14, “Stock-Based Compensation”), as well as $11.8 million attributable to professional service expenses, including accounting and legal costs, and $11.6 million of other operating expenses. Corporate and unallocated expenses for the three-months ended June 30, 2017 include $38.4 million of payroll costs, of which $12.8 million was attributable to stock-based compensation expenses (see Note 14, “Stock-Based Compensation”), as well as $14.0 million attributable to professional service expenses, including accounting and legal costs, and $8.6 million of other operating expenses.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for the six-months ended June 30, 2018 include $87.8 million of payroll costs, of which $28.3 million was attributable to stock-based compensation expenses (see Note 14, “Stock-Based Compensation”), as well as $24.2 million attributable to professional service expenses, including accounting and legal costs, and $21.4 million of other operating expenses. Corporate and unallocated expenses for the six-months ended June 30, 2017 include $76.1 million of payroll costs, of which $26.0 million was attributable to stock-based compensation expenses (see Note 14, “Stock-Based Compensation”), as well as $26.4 million attributable to professional service expenses, including accounting and legal costs, and $17.3 million of other operating expenses.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TCCC, through the TCCC Subsidiaries, accounted for approximately 4% and 17% of the Company’s net sales for the three-months ended June 30, 2018 and 2017, respectively. TCCC, through the TCCC Subsidiaries, accounted for approximately 4% and 25% of the Company’s net sales for the six-months ended June 30, 2018 and 2017, respectively. As part of TCCC’s North America Refranchising initiative (the “North America Refranchising”), the territories of certain TCCC Subsidiaries have been transitioned to certain independent TCCC bottlers/distributors and/or TCCC Related Parties. Accordingly, the Company’s percentage of net sales classified as sales to the TCCC Subsidiaries significantly decreased for three- and six-months ended June 30, 2018.</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CCBCC Operations, LLC accounted for approximately 13% of the Company’s net sales for both the three-months ended June 30, 2018 and 2017. CCBCC Operations, LLC accounted for approximately 13% and 12% of the Company’s net sales for the six-months ended June 30, 2018 and 2017, respectively.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Coca-Cola European Partners accounted for approximately 9% of the Company’s net sales for both the three-months ended June 30, 2018 and 2017. Coca-Cola European Partners accounted for approximately 10% and 9% of the Company’s net sales for the six-months ended June 30, 2018 and 2017, respectively.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Reyes Coca-Cola Bottling accounted for approximately 12% and 5% of the Company’s net sales for the three-months ended June 30, 2018 and 2017, respectively. Reyes Coca-Cola Bottling accounted for approximately 13% and 4% of the Company’s net sales for the six-months ended June 30, 2018 and 2017,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19" w:name="page20"/>
    <w:bookmarkEnd w:id="19"/>
    <w:p>
      <w:pPr>
        <w:jc w:val="both"/>
        <w:ind w:right="20" w:firstLine="648"/>
        <w:spacing w:after="0" w:line="250" w:lineRule="auto"/>
        <w:rPr>
          <w:sz w:val="20"/>
          <w:szCs w:val="20"/>
          <w:color w:val="auto"/>
        </w:rPr>
      </w:pPr>
      <w:r>
        <w:rPr>
          <w:rFonts w:ascii="Arial" w:cs="Arial" w:eastAsia="Arial" w:hAnsi="Arial"/>
          <w:sz w:val="20"/>
          <w:szCs w:val="20"/>
          <w:color w:val="auto"/>
        </w:rPr>
        <w:t>Net sales to customers outside the United States amounted to $293.8 million and $247.9 million for the three-months ended June 30, 2018 and 2017, respectively. Net sales to customers outside the United States amounted to $535.9 million and $438.8 million for the six-months ended June 30, 2018 and 2017, respectively.</w:t>
      </w:r>
    </w:p>
    <w:p>
      <w:pPr>
        <w:spacing w:after="0" w:line="1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Goodwill and other intangible assets for the Company’s reportable segments as of June 30, 2018 and December 31, 2017 are as follows: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ind w:left="140"/>
              <w:spacing w:after="0"/>
              <w:rPr>
                <w:sz w:val="20"/>
                <w:szCs w:val="20"/>
                <w:color w:val="auto"/>
              </w:rPr>
            </w:pPr>
            <w:r>
              <w:rPr>
                <w:rFonts w:ascii="Arial" w:cs="Arial" w:eastAsia="Arial" w:hAnsi="Arial"/>
                <w:sz w:val="20"/>
                <w:szCs w:val="20"/>
                <w:color w:val="auto"/>
              </w:rPr>
              <w:t>June 30,</w:t>
            </w:r>
          </w:p>
        </w:tc>
        <w:tc>
          <w:tcPr>
            <w:tcW w:w="260" w:type="dxa"/>
            <w:vAlign w:val="bottom"/>
          </w:tcPr>
          <w:p>
            <w:pPr>
              <w:spacing w:after="0"/>
              <w:rPr>
                <w:sz w:val="19"/>
                <w:szCs w:val="19"/>
                <w:color w:val="auto"/>
              </w:rPr>
            </w:pPr>
          </w:p>
        </w:tc>
        <w:tc>
          <w:tcPr>
            <w:tcW w:w="1400" w:type="dxa"/>
            <w:vAlign w:val="bottom"/>
          </w:tcPr>
          <w:p>
            <w:pPr>
              <w:jc w:val="right"/>
              <w:ind w:right="181"/>
              <w:spacing w:after="0"/>
              <w:rPr>
                <w:sz w:val="20"/>
                <w:szCs w:val="20"/>
                <w:color w:val="auto"/>
              </w:rPr>
            </w:pPr>
            <w:r>
              <w:rPr>
                <w:rFonts w:ascii="Arial" w:cs="Arial" w:eastAsia="Arial" w:hAnsi="Arial"/>
                <w:sz w:val="20"/>
                <w:szCs w:val="20"/>
                <w:color w:val="auto"/>
                <w:w w:val="87"/>
              </w:rPr>
              <w:t>December 31,</w:t>
            </w:r>
          </w:p>
        </w:tc>
        <w:tc>
          <w:tcPr>
            <w:tcW w:w="0" w:type="dxa"/>
            <w:vAlign w:val="bottom"/>
          </w:tcPr>
          <w:p>
            <w:pPr>
              <w:spacing w:after="0"/>
              <w:rPr>
                <w:sz w:val="1"/>
                <w:szCs w:val="1"/>
                <w:color w:val="auto"/>
              </w:rPr>
            </w:pPr>
          </w:p>
        </w:tc>
      </w:tr>
      <w:tr>
        <w:trPr>
          <w:trHeight w:val="246"/>
        </w:trPr>
        <w:tc>
          <w:tcPr>
            <w:tcW w:w="4380" w:type="dxa"/>
            <w:vAlign w:val="bottom"/>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2018</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3"/>
        </w:trPr>
        <w:tc>
          <w:tcPr>
            <w:tcW w:w="43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20"/>
                <w:szCs w:val="20"/>
                <w:color w:val="auto"/>
              </w:rPr>
              <w:t>Monster Energy® Drinks</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1,357,017</w:t>
            </w: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1,346,648</w:t>
            </w:r>
          </w:p>
        </w:tc>
        <w:tc>
          <w:tcPr>
            <w:tcW w:w="0" w:type="dxa"/>
            <w:vAlign w:val="bottom"/>
          </w:tcPr>
          <w:p>
            <w:pPr>
              <w:spacing w:after="0"/>
              <w:rPr>
                <w:sz w:val="1"/>
                <w:szCs w:val="1"/>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20"/>
                <w:szCs w:val="20"/>
                <w:color w:val="auto"/>
              </w:rPr>
              <w:t>Strategic Brands</w:t>
            </w: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992,800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995,582</w:t>
            </w:r>
          </w:p>
        </w:tc>
        <w:tc>
          <w:tcPr>
            <w:tcW w:w="0" w:type="dxa"/>
            <w:vAlign w:val="bottom"/>
          </w:tcPr>
          <w:p>
            <w:pPr>
              <w:spacing w:after="0"/>
              <w:rPr>
                <w:sz w:val="1"/>
                <w:szCs w:val="1"/>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21,227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23,498</w:t>
            </w:r>
          </w:p>
        </w:tc>
        <w:tc>
          <w:tcPr>
            <w:tcW w:w="0" w:type="dxa"/>
            <w:vAlign w:val="bottom"/>
          </w:tcPr>
          <w:p>
            <w:pPr>
              <w:spacing w:after="0"/>
              <w:rPr>
                <w:sz w:val="1"/>
                <w:szCs w:val="1"/>
                <w:color w:val="auto"/>
              </w:rPr>
            </w:pPr>
          </w:p>
        </w:tc>
      </w:tr>
      <w:tr>
        <w:trPr>
          <w:trHeight w:val="246"/>
        </w:trPr>
        <w:tc>
          <w:tcPr>
            <w:tcW w:w="4380" w:type="dxa"/>
            <w:vAlign w:val="bottom"/>
          </w:tcPr>
          <w:p>
            <w:pPr>
              <w:ind w:left="220"/>
              <w:spacing w:after="0"/>
              <w:rPr>
                <w:sz w:val="20"/>
                <w:szCs w:val="20"/>
                <w:color w:val="auto"/>
              </w:rPr>
            </w:pPr>
            <w:r>
              <w:rPr>
                <w:rFonts w:ascii="Arial" w:cs="Arial" w:eastAsia="Arial" w:hAnsi="Arial"/>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3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2,371,044</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2,365,728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TCCC controls approximately 18% of the voting interests of the Company. The TCCC Subsidiaries, the TCCC Related Parties and the TCCC Independent Bottlers, purchase and distribute certain of the Company’s products in certain domestic and international markets. The Company also pays TCCC a commission based on certain sales within the TCCC distribution network.</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commissions, based on sales to the TCCC Subsidiaries and the TCCC Related Parties, for the three- and six-months ended June 30, 2018 were $13.2 million and $24.5 million, respectively, and are included as a reduction to net sales. TCCC commissions, based on sales to the TCCC Independent Bottlers for the three- and six-months ended June 30, 2018 were $4.3 million and $7.5 million, respectively, and are included in operating expenses.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commissions, based on sales to the TCCC Subsidiaries, for the three- and six-months ended June 30, 2017 were $2.1 million and $5.7 million, respectively, and are included as a reduction to net sales. TCCC commissions, based on sales to the TCCC Related Parties and the TCCC Independent Bottlers, for the three- and six-months ended June 30, 2017 were $12.8 million and $20.7 million, respectively, and are included in operating expenses.</w:t>
      </w:r>
    </w:p>
    <w:p>
      <w:pPr>
        <w:spacing w:after="0" w:line="19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Upon adoption of ASC 606, commissions paid to TCCC, based on sales to the TCCC Related Parties, are included as a reduction to net sales. Prior to January 1, 2018, such commissions, based on sales to the TCCC Related Parties, were included in operating expenses.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Net sales to the TCCC Subsidiaries for the three-months ended June 30, 2018 and 2017 were $39.6 million and $154.5 million, respectively. Net sales to the TCCC Subsidiaries for the six-months ended June 30, 2018 and 2017 were $74.6 million and $409.7 million, respectively. As part of the North America Refranchising, the territories of certain TCCC Subsidiaries have been transitioned to certain independent TCCC bottlers/distributors and/or TCCC Related Parties. Accordingly, the Company’s net sales classified as sales to the TCCC Subsidiaries significantly decreased for the three- and six-months ended June 30, 2018.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also purchases concentrates from TCCC which are then sold to certain of the Company’s bottlers/distributors.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Concentrate purchases from TCCC were $11.3 million and $6.6 million for the three-months ended June 30, 2018 and 2017,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Concentrate purchases from TCCC were $14.2 million and $12.5 million for the six-months ended June 30, 2018 and 2017, respectively.</w:t>
      </w:r>
    </w:p>
    <w:p>
      <w:pPr>
        <w:spacing w:after="0" w:line="2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Certain TCCC Subsidiaries also contract manufacture certain of the Company’s Monster Energy® brand energy drinks. Such contract manufacturing expenses were $6.4 million and $2.9 million for the three-months ended June 30, 2018 and 2017, respectively. Such contract manufacturing expenses were $11.8 million and $5.1 million for the six-months ended June 30, 2018 and 2017, respectively.</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Accounts receivable, accounts payable and accrued promotional allowances related to the TCCC Subsidiaries are as follows at:</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Arial" w:cs="Arial" w:eastAsia="Arial" w:hAnsi="Arial"/>
                <w:sz w:val="20"/>
                <w:szCs w:val="20"/>
                <w:color w:val="auto"/>
              </w:rPr>
              <w:t>June 30,</w:t>
            </w:r>
          </w:p>
        </w:tc>
        <w:tc>
          <w:tcPr>
            <w:tcW w:w="260" w:type="dxa"/>
            <w:vAlign w:val="bottom"/>
          </w:tcPr>
          <w:p>
            <w:pPr>
              <w:spacing w:after="0"/>
              <w:rPr>
                <w:sz w:val="19"/>
                <w:szCs w:val="19"/>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w w:val="87"/>
              </w:rPr>
              <w:t>December 31,</w:t>
            </w:r>
          </w:p>
        </w:tc>
      </w:tr>
      <w:tr>
        <w:trPr>
          <w:trHeight w:val="246"/>
        </w:trPr>
        <w:tc>
          <w:tcPr>
            <w:tcW w:w="37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r>
      <w:tr>
        <w:trPr>
          <w:trHeight w:val="436"/>
        </w:trPr>
        <w:tc>
          <w:tcPr>
            <w:tcW w:w="370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42,337</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32,607</w:t>
            </w:r>
          </w:p>
        </w:tc>
      </w:tr>
      <w:tr>
        <w:trPr>
          <w:trHeight w:val="230"/>
        </w:trPr>
        <w:tc>
          <w:tcPr>
            <w:tcW w:w="3700" w:type="dxa"/>
            <w:vAlign w:val="bottom"/>
          </w:tcPr>
          <w:p>
            <w:pPr>
              <w:spacing w:after="0"/>
              <w:rPr>
                <w:sz w:val="20"/>
                <w:szCs w:val="20"/>
                <w:color w:val="auto"/>
              </w:rPr>
            </w:pPr>
            <w:r>
              <w:rPr>
                <w:rFonts w:ascii="Arial" w:cs="Arial" w:eastAsia="Arial" w:hAnsi="Arial"/>
                <w:sz w:val="20"/>
                <w:szCs w:val="20"/>
                <w:color w:val="auto"/>
              </w:rPr>
              <w:t>Accounts payable</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(34,368)</w:t>
            </w: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(45,465)</w:t>
            </w:r>
          </w:p>
        </w:tc>
      </w:tr>
      <w:tr>
        <w:trPr>
          <w:trHeight w:val="250"/>
        </w:trPr>
        <w:tc>
          <w:tcPr>
            <w:tcW w:w="3700" w:type="dxa"/>
            <w:vAlign w:val="bottom"/>
          </w:tcPr>
          <w:p>
            <w:pPr>
              <w:spacing w:after="0"/>
              <w:rPr>
                <w:sz w:val="20"/>
                <w:szCs w:val="20"/>
                <w:color w:val="auto"/>
              </w:rPr>
            </w:pPr>
            <w:r>
              <w:rPr>
                <w:rFonts w:ascii="Arial" w:cs="Arial" w:eastAsia="Arial" w:hAnsi="Arial"/>
                <w:sz w:val="20"/>
                <w:szCs w:val="20"/>
                <w:color w:val="auto"/>
              </w:rPr>
              <w:t>Accrued promotional allowances</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(9,851)</w:t>
            </w: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(5,884)</w:t>
            </w:r>
          </w:p>
        </w:tc>
      </w:tr>
    </w:tbl>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June 30, 2018 and 2017 were $0.6 million and $1.2 million, respectively. Expenses incurred with such company in connection with promotional materials purchased during both the six-months ended June 30, 2018 and 2017 were $1.4 million.</w:t>
      </w:r>
    </w:p>
    <w:p>
      <w:pPr>
        <w:sectPr>
          <w:pgSz w:w="11900" w:h="16838" w:orient="portrait"/>
          <w:cols w:equalWidth="0" w:num="1">
            <w:col w:w="11420"/>
          </w:cols>
          <w:pgMar w:left="240" w:top="121" w:right="239" w:bottom="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as well as Mutant® Super Sodas.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sodas and/or concentrates for energy drink beverages, primarily under the following brand names:</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Energy Ultra®</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Rehab®</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MAXX</w:t>
            </w:r>
            <w:r>
              <w:rPr>
                <w:rFonts w:ascii="Arial" w:cs="Arial" w:eastAsia="Arial" w:hAnsi="Arial"/>
                <w:sz w:val="12"/>
                <w:szCs w:val="12"/>
                <w:color w:val="auto"/>
              </w:rPr>
              <w:t>TM</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Java 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Muscle 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Ultra Energy®</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Espresso Monster</w:t>
            </w:r>
            <w:r>
              <w:rPr>
                <w:rFonts w:ascii="Arial" w:cs="Arial" w:eastAsia="Arial" w:hAnsi="Arial"/>
                <w:sz w:val="12"/>
                <w:szCs w:val="12"/>
                <w:color w:val="auto"/>
              </w:rPr>
              <w:t>TM</w:t>
            </w:r>
          </w:p>
        </w:tc>
        <w:tc>
          <w:tcPr>
            <w:tcW w:w="5360" w:type="dxa"/>
            <w:vAlign w:val="bottom"/>
            <w:gridSpan w:val="2"/>
          </w:tcPr>
          <w:p>
            <w:pPr>
              <w:ind w:left="2380"/>
              <w:spacing w:after="0"/>
              <w:rPr>
                <w:sz w:val="20"/>
                <w:szCs w:val="20"/>
                <w:color w:val="auto"/>
              </w:rPr>
            </w:pPr>
            <w:r>
              <w:rPr>
                <w:rFonts w:ascii="Arial" w:cs="Arial" w:eastAsia="Arial" w:hAnsi="Arial"/>
                <w:sz w:val="20"/>
                <w:szCs w:val="20"/>
                <w:color w:val="auto"/>
                <w:w w:val="93"/>
              </w:rPr>
              <w:t>·   Play® and Power Play(stylized)®</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Punch 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Juice 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BPM®</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Übermonster®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BU®</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Hydro®</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Caffé 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46"/>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Mutant® Super Soda</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20" w:type="dxa"/>
            <w:vAlign w:val="bottom"/>
          </w:tcPr>
          <w:p>
            <w:pPr>
              <w:ind w:left="120"/>
              <w:spacing w:after="0"/>
              <w:rPr>
                <w:sz w:val="20"/>
                <w:szCs w:val="20"/>
                <w:color w:val="auto"/>
              </w:rPr>
            </w:pPr>
            <w:r>
              <w:rPr>
                <w:rFonts w:ascii="Arial" w:cs="Arial" w:eastAsia="Arial" w:hAnsi="Arial"/>
                <w:sz w:val="20"/>
                <w:szCs w:val="20"/>
                <w:color w:val="auto"/>
              </w:rPr>
              <w:t>Mutant®</w:t>
            </w:r>
          </w:p>
        </w:tc>
      </w:tr>
    </w:tbl>
    <w:p>
      <w:pPr>
        <w:ind w:left="420" w:hanging="28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Monster MULE</w:t>
      </w:r>
      <w:r>
        <w:rPr>
          <w:rFonts w:ascii="Arial" w:cs="Arial" w:eastAsia="Arial" w:hAnsi="Arial"/>
          <w:sz w:val="12"/>
          <w:szCs w:val="12"/>
          <w:color w:val="auto"/>
        </w:rPr>
        <w:t>TM</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Monster Energy® brand energy drinks represented 91.1% and 89.4% of our net sales for the three-months ended June 30, 2018 and 2017, respectively.</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currently have three operating and reportable segments, (i) Monster Energy® Drinks segment (“Monster Energy® Drinks”), which is comprised of the Company’s Monster Energy® drinks and Mutant® Super Soda drinks, (ii) Strategic Brands segment (“Strategic Brands”), which is comprised of the various energy drink brands acquired from The Coca-Cola Company (“TCCC”) in 2015 and (iii) Other segment (“Other”), which is comprised of certain products sold by American Fruits and Flavors LLC (a wholly-owned subsidiary of the Company) to independent third-party customers (the “AFF Third-Party Products”).</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three-months ended June 30, 2018, we continued to expand our existing energy drink portfolio and further develop our distribution markets. During the three-months ended June 30, 2018, we introduced the following products:</w:t>
      </w:r>
    </w:p>
    <w:p>
      <w:pPr>
        <w:spacing w:after="0" w:line="177"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BPM® Zero (June 2018)</w:t>
      </w:r>
    </w:p>
    <w:p>
      <w:pPr>
        <w:spacing w:after="0" w:line="15" w:lineRule="exact"/>
        <w:rPr>
          <w:rFonts w:ascii="Arial" w:cs="Arial" w:eastAsia="Arial" w:hAnsi="Arial"/>
          <w:sz w:val="20"/>
          <w:szCs w:val="20"/>
          <w:color w:val="auto"/>
        </w:rPr>
      </w:pPr>
    </w:p>
    <w:p>
      <w:pPr>
        <w:ind w:left="620" w:hanging="288"/>
        <w:spacing w:after="0"/>
        <w:tabs>
          <w:tab w:leader="none" w:pos="6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Relentless® Apple Kiwi (June 2018)</w:t>
      </w:r>
    </w:p>
    <w:p>
      <w:pPr>
        <w:ind w:left="620" w:hanging="288"/>
        <w:spacing w:after="0"/>
        <w:tabs>
          <w:tab w:leader="none" w:pos="6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Monster MULE</w:t>
      </w:r>
      <w:r>
        <w:rPr>
          <w:rFonts w:ascii="Arial" w:cs="Arial" w:eastAsia="Arial" w:hAnsi="Arial"/>
          <w:sz w:val="12"/>
          <w:szCs w:val="12"/>
          <w:color w:val="auto"/>
        </w:rPr>
        <w:t>TM</w:t>
      </w:r>
      <w:r>
        <w:rPr>
          <w:rFonts w:ascii="Arial" w:cs="Arial" w:eastAsia="Arial" w:hAnsi="Arial"/>
          <w:sz w:val="20"/>
          <w:szCs w:val="20"/>
          <w:color w:val="auto"/>
        </w:rPr>
        <w:t xml:space="preserve"> (June 2018) (limited distribution)</w:t>
      </w:r>
    </w:p>
    <w:p>
      <w:pPr>
        <w:ind w:left="620" w:hanging="288"/>
        <w:spacing w:after="0"/>
        <w:tabs>
          <w:tab w:leader="none" w:pos="6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Mutant® energy drinks (May 2018)</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in the three-months ended June 30, 2018, either individually or in aggregate, did not have a material adverse impact on our financial position, results of operations or liquidity.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net sales of $1.02 billion for the three-months ended June 30, 2018 represented record sales for our second fiscal quarter. The vast majority of our net sales are derived from our Monster Energy® brand energy drinks. Net sales of our Monster Energy® brand energy drinks were $925.0 million for the three-months ended June 30, 2018. Net sales of our Strategic Brands were $79.8 million for the three-months ended June 30, 2018. Net sales for the three-months ended June 30, 2018 were negatively impacted by approximately $12.2 million as a result of the adoption of Accounting Standards Codification (“ASC”) 606. Under ASC 606, commissions paid to TCCC, based on sales to certain of the Company’s TCCC bottlers/distributors that TCCC consolidates, or which TCCC accounts for under the equity method (the “TCCC Related Parties”), are included as a reduction to net sales. Prior to January 1, 2018, commissions based on sales to the TCCC Related Parties, were included in operating expenses.</w:t>
      </w:r>
    </w:p>
    <w:p>
      <w:pPr>
        <w:spacing w:after="0" w:line="181"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Our Monster Energy® Drinks segment represented 91.5% and 89.9% of our consolidated net sales for the three-months ended June 30, 2018 and 2017, respectively. Our Strategic Brands segment represented 7.9% and 9.4% of our consolidated net sales for the three-months ended</w:t>
      </w:r>
    </w:p>
    <w:p>
      <w:pPr>
        <w:sectPr>
          <w:pgSz w:w="11900" w:h="16838" w:orient="portrait"/>
          <w:cols w:equalWidth="0" w:num="1">
            <w:col w:w="11420"/>
          </w:cols>
          <w:pgMar w:left="240" w:top="125" w:right="239" w:bottom="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20"/>
          <w:szCs w:val="20"/>
          <w:color w:val="auto"/>
        </w:rPr>
        <w:t xml:space="preserve">June 30, 2018 and 2017, respectively. Our Other segment represented 0.6% and 0.7% of our consolidated net sales for the three-months ended </w:t>
      </w:r>
      <w:r>
        <w:rPr>
          <w:rFonts w:ascii="Arial" w:cs="Arial" w:eastAsia="Arial" w:hAnsi="Arial"/>
          <w:sz w:val="20"/>
          <w:szCs w:val="20"/>
          <w:color w:val="auto"/>
        </w:rPr>
        <w:t>June 30, 2018 and 2017, respectively.</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Net changes in foreign currency exchange rates had a favorable impact on net sales in the Monster Energy® Drinks segment of approximately $15.5 million for the three-months ended June 30, 2018. Net changes in foreign currency exchange rates had a favorable impact on net sales in the Strategic Brands segment of approximately $1.3 million for the three-months ended June 30, 2018.</w:t>
      </w:r>
    </w:p>
    <w:p>
      <w:pPr>
        <w:spacing w:after="0" w:line="170" w:lineRule="exact"/>
        <w:rPr>
          <w:sz w:val="20"/>
          <w:szCs w:val="20"/>
          <w:color w:val="auto"/>
        </w:rPr>
      </w:pPr>
    </w:p>
    <w:p>
      <w:pPr>
        <w:jc w:val="both"/>
        <w:ind w:firstLine="733"/>
        <w:spacing w:after="0" w:line="257"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sports personality endorsements, sampling and sponsorship of selected athletes, teams, series, bands, esports, causes and events. In-store posters, outdoor posters, print, radio and television advertising (directly and through our sponsorships and endorsements) and coupons may also be used to promote our brands.</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from time to time to maximize their visibility and identification, wherever they may be placed in stores, which we continue to reevaluate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growth strategy includes expanding our international business. Net sales to customers outside the United States amounted to $293.8 million and $247.9 million for the three-months ended June 30, 2018 and 2017, respectively. Such sales were approximately 29% and 27% of net sales for the three-months ended June 30, 2018 and 2017, respectively. Net changes in foreign currency exchange rates had a favorable impact on net sales to customers outside the United States of approximately $16.8 million for the three-months ended June 30, 2018.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customers are primarily full service beverage bottlers/distributors, retail grocery and specialty chains, wholesalers, club stores, mass merchandisers, convenience chains, food service customers and the military. Percentages of our gross sales to our various customer types for the three- and six-months ended June 30, 2018 and 2017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300" w:type="dxa"/>
            <w:vAlign w:val="bottom"/>
            <w:gridSpan w:val="5"/>
          </w:tcPr>
          <w:p>
            <w:pPr>
              <w:jc w:val="center"/>
              <w:ind w:right="300"/>
              <w:spacing w:after="0"/>
              <w:rPr>
                <w:sz w:val="20"/>
                <w:szCs w:val="20"/>
                <w:color w:val="auto"/>
              </w:rPr>
            </w:pPr>
            <w:r>
              <w:rPr>
                <w:rFonts w:ascii="Arial" w:cs="Arial" w:eastAsia="Arial" w:hAnsi="Arial"/>
                <w:sz w:val="20"/>
                <w:szCs w:val="20"/>
                <w:color w:val="auto"/>
                <w:w w:val="89"/>
              </w:rPr>
              <w:t>Three-Months Ended</w:t>
            </w:r>
          </w:p>
        </w:tc>
        <w:tc>
          <w:tcPr>
            <w:tcW w:w="3120" w:type="dxa"/>
            <w:vAlign w:val="bottom"/>
            <w:gridSpan w:val="4"/>
          </w:tcPr>
          <w:p>
            <w:pPr>
              <w:jc w:val="center"/>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80" w:type="dxa"/>
            <w:vAlign w:val="bottom"/>
            <w:gridSpan w:val="4"/>
          </w:tcPr>
          <w:p>
            <w:pPr>
              <w:jc w:val="center"/>
              <w:ind w:right="1300"/>
              <w:spacing w:after="0"/>
              <w:rPr>
                <w:sz w:val="20"/>
                <w:szCs w:val="20"/>
                <w:color w:val="auto"/>
              </w:rPr>
            </w:pPr>
            <w:r>
              <w:rPr>
                <w:rFonts w:ascii="Arial" w:cs="Arial" w:eastAsia="Arial" w:hAnsi="Arial"/>
                <w:sz w:val="20"/>
                <w:szCs w:val="20"/>
                <w:color w:val="auto"/>
                <w:w w:val="85"/>
              </w:rPr>
              <w:t>June 30,</w:t>
            </w:r>
          </w:p>
        </w:tc>
        <w:tc>
          <w:tcPr>
            <w:tcW w:w="1060" w:type="dxa"/>
            <w:vAlign w:val="bottom"/>
          </w:tcPr>
          <w:p>
            <w:pPr>
              <w:spacing w:after="0"/>
              <w:rPr>
                <w:sz w:val="21"/>
                <w:szCs w:val="21"/>
                <w:color w:val="auto"/>
              </w:rPr>
            </w:pPr>
          </w:p>
        </w:tc>
        <w:tc>
          <w:tcPr>
            <w:tcW w:w="2060" w:type="dxa"/>
            <w:vAlign w:val="bottom"/>
            <w:gridSpan w:val="3"/>
          </w:tcPr>
          <w:p>
            <w:pPr>
              <w:jc w:val="center"/>
              <w:ind w:right="941"/>
              <w:spacing w:after="0"/>
              <w:rPr>
                <w:sz w:val="20"/>
                <w:szCs w:val="20"/>
                <w:color w:val="auto"/>
              </w:rPr>
            </w:pPr>
            <w:r>
              <w:rPr>
                <w:rFonts w:ascii="Arial" w:cs="Arial" w:eastAsia="Arial" w:hAnsi="Arial"/>
                <w:sz w:val="20"/>
                <w:szCs w:val="20"/>
                <w:color w:val="auto"/>
                <w:w w:val="85"/>
              </w:rPr>
              <w:t>June 30,</w:t>
            </w: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1020" w:type="dxa"/>
            <w:vAlign w:val="bottom"/>
            <w:tcBorders>
              <w:top w:val="single" w:sz="8" w:color="auto"/>
            </w:tcBorders>
          </w:tcPr>
          <w:p>
            <w:pPr>
              <w:jc w:val="center"/>
              <w:ind w:left="241"/>
              <w:spacing w:after="0" w:line="223" w:lineRule="exact"/>
              <w:rPr>
                <w:sz w:val="20"/>
                <w:szCs w:val="20"/>
                <w:color w:val="auto"/>
              </w:rPr>
            </w:pPr>
            <w:r>
              <w:rPr>
                <w:rFonts w:ascii="Arial" w:cs="Arial" w:eastAsia="Arial" w:hAnsi="Arial"/>
                <w:sz w:val="20"/>
                <w:szCs w:val="20"/>
                <w:color w:val="auto"/>
                <w:w w:val="89"/>
              </w:rPr>
              <w:t>2018</w:t>
            </w:r>
          </w:p>
        </w:tc>
        <w:tc>
          <w:tcPr>
            <w:tcW w:w="2000" w:type="dxa"/>
            <w:vAlign w:val="bottom"/>
            <w:tcBorders>
              <w:top w:val="single" w:sz="8" w:color="auto"/>
            </w:tcBorders>
            <w:gridSpan w:val="3"/>
          </w:tcPr>
          <w:p>
            <w:pPr>
              <w:jc w:val="center"/>
              <w:ind w:left="541"/>
              <w:spacing w:after="0" w:line="223" w:lineRule="exact"/>
              <w:rPr>
                <w:sz w:val="20"/>
                <w:szCs w:val="20"/>
                <w:color w:val="auto"/>
              </w:rPr>
            </w:pPr>
            <w:r>
              <w:rPr>
                <w:rFonts w:ascii="Arial" w:cs="Arial" w:eastAsia="Arial" w:hAnsi="Arial"/>
                <w:sz w:val="20"/>
                <w:szCs w:val="20"/>
                <w:color w:val="auto"/>
                <w:w w:val="89"/>
              </w:rPr>
              <w:t>2017</w:t>
            </w:r>
          </w:p>
        </w:tc>
        <w:tc>
          <w:tcPr>
            <w:tcW w:w="280" w:type="dxa"/>
            <w:vAlign w:val="bottom"/>
          </w:tcPr>
          <w:p>
            <w:pPr>
              <w:spacing w:after="0"/>
              <w:rPr>
                <w:sz w:val="19"/>
                <w:szCs w:val="19"/>
                <w:color w:val="auto"/>
              </w:rPr>
            </w:pPr>
          </w:p>
        </w:tc>
        <w:tc>
          <w:tcPr>
            <w:tcW w:w="1060" w:type="dxa"/>
            <w:vAlign w:val="bottom"/>
            <w:tcBorders>
              <w:top w:val="single" w:sz="8" w:color="auto"/>
            </w:tcBorders>
          </w:tcPr>
          <w:p>
            <w:pPr>
              <w:jc w:val="center"/>
              <w:ind w:left="201"/>
              <w:spacing w:after="0" w:line="223" w:lineRule="exact"/>
              <w:rPr>
                <w:sz w:val="20"/>
                <w:szCs w:val="20"/>
                <w:color w:val="auto"/>
              </w:rPr>
            </w:pPr>
            <w:r>
              <w:rPr>
                <w:rFonts w:ascii="Arial" w:cs="Arial" w:eastAsia="Arial" w:hAnsi="Arial"/>
                <w:sz w:val="20"/>
                <w:szCs w:val="20"/>
                <w:color w:val="auto"/>
                <w:w w:val="89"/>
              </w:rPr>
              <w:t>2018</w:t>
            </w:r>
          </w:p>
        </w:tc>
        <w:tc>
          <w:tcPr>
            <w:tcW w:w="2060" w:type="dxa"/>
            <w:vAlign w:val="bottom"/>
            <w:tcBorders>
              <w:top w:val="single" w:sz="8" w:color="auto"/>
            </w:tcBorders>
            <w:gridSpan w:val="3"/>
          </w:tcPr>
          <w:p>
            <w:pPr>
              <w:jc w:val="center"/>
              <w:ind w:left="481"/>
              <w:spacing w:after="0" w:line="223" w:lineRule="exact"/>
              <w:rPr>
                <w:sz w:val="20"/>
                <w:szCs w:val="20"/>
                <w:color w:val="auto"/>
              </w:rPr>
            </w:pPr>
            <w:r>
              <w:rPr>
                <w:rFonts w:ascii="Arial" w:cs="Arial" w:eastAsia="Arial" w:hAnsi="Arial"/>
                <w:sz w:val="20"/>
                <w:szCs w:val="20"/>
                <w:color w:val="auto"/>
                <w:w w:val="89"/>
              </w:rPr>
              <w:t>2017</w:t>
            </w: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1020" w:type="dxa"/>
            <w:vAlign w:val="bottom"/>
            <w:tcBorders>
              <w:top w:val="single" w:sz="8" w:color="auto"/>
            </w:tcBorders>
          </w:tcPr>
          <w:p>
            <w:pPr>
              <w:jc w:val="center"/>
              <w:ind w:left="241"/>
              <w:spacing w:after="0" w:line="207" w:lineRule="exact"/>
              <w:rPr>
                <w:sz w:val="20"/>
                <w:szCs w:val="20"/>
                <w:color w:val="auto"/>
              </w:rPr>
            </w:pPr>
            <w:r>
              <w:rPr>
                <w:rFonts w:ascii="Arial" w:cs="Arial" w:eastAsia="Arial" w:hAnsi="Arial"/>
                <w:sz w:val="20"/>
                <w:szCs w:val="20"/>
                <w:color w:val="auto"/>
                <w:w w:val="89"/>
              </w:rPr>
              <w:t>61%</w:t>
            </w:r>
          </w:p>
        </w:tc>
        <w:tc>
          <w:tcPr>
            <w:tcW w:w="3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62%</w:t>
            </w:r>
          </w:p>
        </w:tc>
        <w:tc>
          <w:tcPr>
            <w:tcW w:w="280" w:type="dxa"/>
            <w:vAlign w:val="bottom"/>
          </w:tcPr>
          <w:p>
            <w:pPr>
              <w:spacing w:after="0"/>
              <w:rPr>
                <w:sz w:val="17"/>
                <w:szCs w:val="17"/>
                <w:color w:val="auto"/>
              </w:rPr>
            </w:pPr>
          </w:p>
        </w:tc>
        <w:tc>
          <w:tcPr>
            <w:tcW w:w="1060" w:type="dxa"/>
            <w:vAlign w:val="bottom"/>
            <w:tcBorders>
              <w:top w:val="single" w:sz="8" w:color="auto"/>
            </w:tcBorders>
          </w:tcPr>
          <w:p>
            <w:pPr>
              <w:jc w:val="center"/>
              <w:ind w:left="201"/>
              <w:spacing w:after="0" w:line="207" w:lineRule="exact"/>
              <w:rPr>
                <w:sz w:val="20"/>
                <w:szCs w:val="20"/>
                <w:color w:val="auto"/>
              </w:rPr>
            </w:pPr>
            <w:r>
              <w:rPr>
                <w:rFonts w:ascii="Arial" w:cs="Arial" w:eastAsia="Arial" w:hAnsi="Arial"/>
                <w:sz w:val="20"/>
                <w:szCs w:val="20"/>
                <w:color w:val="auto"/>
                <w:w w:val="89"/>
              </w:rPr>
              <w:t>61%</w:t>
            </w:r>
          </w:p>
        </w:tc>
        <w:tc>
          <w:tcPr>
            <w:tcW w:w="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63%</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International full service bottlers/distributors</w:t>
            </w:r>
          </w:p>
        </w:tc>
        <w:tc>
          <w:tcPr>
            <w:tcW w:w="1020" w:type="dxa"/>
            <w:vAlign w:val="bottom"/>
          </w:tcPr>
          <w:p>
            <w:pPr>
              <w:jc w:val="center"/>
              <w:ind w:left="241"/>
              <w:spacing w:after="0"/>
              <w:rPr>
                <w:sz w:val="20"/>
                <w:szCs w:val="20"/>
                <w:color w:val="auto"/>
              </w:rPr>
            </w:pPr>
            <w:r>
              <w:rPr>
                <w:rFonts w:ascii="Arial" w:cs="Arial" w:eastAsia="Arial" w:hAnsi="Arial"/>
                <w:sz w:val="20"/>
                <w:szCs w:val="20"/>
                <w:color w:val="auto"/>
                <w:w w:val="89"/>
              </w:rPr>
              <w:t>31%</w:t>
            </w:r>
          </w:p>
        </w:tc>
        <w:tc>
          <w:tcPr>
            <w:tcW w:w="2000" w:type="dxa"/>
            <w:vAlign w:val="bottom"/>
            <w:gridSpan w:val="3"/>
          </w:tcPr>
          <w:p>
            <w:pPr>
              <w:jc w:val="center"/>
              <w:ind w:left="541"/>
              <w:spacing w:after="0"/>
              <w:rPr>
                <w:sz w:val="20"/>
                <w:szCs w:val="20"/>
                <w:color w:val="auto"/>
              </w:rPr>
            </w:pPr>
            <w:r>
              <w:rPr>
                <w:rFonts w:ascii="Arial" w:cs="Arial" w:eastAsia="Arial" w:hAnsi="Arial"/>
                <w:sz w:val="20"/>
                <w:szCs w:val="20"/>
                <w:color w:val="auto"/>
                <w:w w:val="89"/>
              </w:rPr>
              <w:t>29%</w:t>
            </w:r>
          </w:p>
        </w:tc>
        <w:tc>
          <w:tcPr>
            <w:tcW w:w="280" w:type="dxa"/>
            <w:vAlign w:val="bottom"/>
          </w:tcPr>
          <w:p>
            <w:pPr>
              <w:spacing w:after="0"/>
              <w:rPr>
                <w:sz w:val="19"/>
                <w:szCs w:val="19"/>
                <w:color w:val="auto"/>
              </w:rPr>
            </w:pPr>
          </w:p>
        </w:tc>
        <w:tc>
          <w:tcPr>
            <w:tcW w:w="1060" w:type="dxa"/>
            <w:vAlign w:val="bottom"/>
          </w:tcPr>
          <w:p>
            <w:pPr>
              <w:jc w:val="center"/>
              <w:ind w:left="201"/>
              <w:spacing w:after="0"/>
              <w:rPr>
                <w:sz w:val="20"/>
                <w:szCs w:val="20"/>
                <w:color w:val="auto"/>
              </w:rPr>
            </w:pPr>
            <w:r>
              <w:rPr>
                <w:rFonts w:ascii="Arial" w:cs="Arial" w:eastAsia="Arial" w:hAnsi="Arial"/>
                <w:sz w:val="20"/>
                <w:szCs w:val="20"/>
                <w:color w:val="auto"/>
                <w:w w:val="89"/>
              </w:rPr>
              <w:t>31%</w:t>
            </w:r>
          </w:p>
        </w:tc>
        <w:tc>
          <w:tcPr>
            <w:tcW w:w="2060" w:type="dxa"/>
            <w:vAlign w:val="bottom"/>
            <w:gridSpan w:val="3"/>
          </w:tcPr>
          <w:p>
            <w:pPr>
              <w:jc w:val="center"/>
              <w:ind w:left="481"/>
              <w:spacing w:after="0"/>
              <w:rPr>
                <w:sz w:val="20"/>
                <w:szCs w:val="20"/>
                <w:color w:val="auto"/>
              </w:rPr>
            </w:pPr>
            <w:r>
              <w:rPr>
                <w:rFonts w:ascii="Arial" w:cs="Arial" w:eastAsia="Arial" w:hAnsi="Arial"/>
                <w:sz w:val="20"/>
                <w:szCs w:val="20"/>
                <w:color w:val="auto"/>
                <w:w w:val="89"/>
              </w:rPr>
              <w:t>28%</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Club stores and mass merchandisers</w:t>
            </w:r>
          </w:p>
        </w:tc>
        <w:tc>
          <w:tcPr>
            <w:tcW w:w="1020" w:type="dxa"/>
            <w:vAlign w:val="bottom"/>
          </w:tcPr>
          <w:p>
            <w:pPr>
              <w:jc w:val="center"/>
              <w:ind w:left="241"/>
              <w:spacing w:after="0"/>
              <w:rPr>
                <w:sz w:val="20"/>
                <w:szCs w:val="20"/>
                <w:color w:val="auto"/>
              </w:rPr>
            </w:pPr>
            <w:r>
              <w:rPr>
                <w:rFonts w:ascii="Arial" w:cs="Arial" w:eastAsia="Arial" w:hAnsi="Arial"/>
                <w:sz w:val="20"/>
                <w:szCs w:val="20"/>
                <w:color w:val="auto"/>
                <w:w w:val="96"/>
              </w:rPr>
              <w:t>7%</w:t>
            </w:r>
          </w:p>
        </w:tc>
        <w:tc>
          <w:tcPr>
            <w:tcW w:w="200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8%</w:t>
            </w:r>
          </w:p>
        </w:tc>
        <w:tc>
          <w:tcPr>
            <w:tcW w:w="280" w:type="dxa"/>
            <w:vAlign w:val="bottom"/>
          </w:tcPr>
          <w:p>
            <w:pPr>
              <w:spacing w:after="0"/>
              <w:rPr>
                <w:sz w:val="19"/>
                <w:szCs w:val="19"/>
                <w:color w:val="auto"/>
              </w:rPr>
            </w:pPr>
          </w:p>
        </w:tc>
        <w:tc>
          <w:tcPr>
            <w:tcW w:w="1060" w:type="dxa"/>
            <w:vAlign w:val="bottom"/>
          </w:tcPr>
          <w:p>
            <w:pPr>
              <w:jc w:val="center"/>
              <w:ind w:left="221"/>
              <w:spacing w:after="0"/>
              <w:rPr>
                <w:sz w:val="20"/>
                <w:szCs w:val="20"/>
                <w:color w:val="auto"/>
              </w:rPr>
            </w:pPr>
            <w:r>
              <w:rPr>
                <w:rFonts w:ascii="Arial" w:cs="Arial" w:eastAsia="Arial" w:hAnsi="Arial"/>
                <w:sz w:val="20"/>
                <w:szCs w:val="20"/>
                <w:color w:val="auto"/>
                <w:w w:val="89"/>
              </w:rPr>
              <w:t>6%</w:t>
            </w:r>
          </w:p>
        </w:tc>
        <w:tc>
          <w:tcPr>
            <w:tcW w:w="2060" w:type="dxa"/>
            <w:vAlign w:val="bottom"/>
            <w:gridSpan w:val="3"/>
          </w:tcPr>
          <w:p>
            <w:pPr>
              <w:jc w:val="center"/>
              <w:ind w:left="501"/>
              <w:spacing w:after="0"/>
              <w:rPr>
                <w:sz w:val="20"/>
                <w:szCs w:val="20"/>
                <w:color w:val="auto"/>
              </w:rPr>
            </w:pPr>
            <w:r>
              <w:rPr>
                <w:rFonts w:ascii="Arial" w:cs="Arial" w:eastAsia="Arial" w:hAnsi="Arial"/>
                <w:sz w:val="20"/>
                <w:szCs w:val="20"/>
                <w:color w:val="auto"/>
                <w:w w:val="89"/>
              </w:rPr>
              <w:t>7%</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020" w:type="dxa"/>
            <w:vAlign w:val="bottom"/>
          </w:tcPr>
          <w:p>
            <w:pPr>
              <w:jc w:val="center"/>
              <w:ind w:left="241"/>
              <w:spacing w:after="0"/>
              <w:rPr>
                <w:sz w:val="20"/>
                <w:szCs w:val="20"/>
                <w:color w:val="auto"/>
              </w:rPr>
            </w:pPr>
            <w:r>
              <w:rPr>
                <w:rFonts w:ascii="Arial" w:cs="Arial" w:eastAsia="Arial" w:hAnsi="Arial"/>
                <w:sz w:val="20"/>
                <w:szCs w:val="20"/>
                <w:color w:val="auto"/>
                <w:w w:val="96"/>
              </w:rPr>
              <w:t>1%</w:t>
            </w:r>
          </w:p>
        </w:tc>
        <w:tc>
          <w:tcPr>
            <w:tcW w:w="200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1%</w:t>
            </w:r>
          </w:p>
        </w:tc>
        <w:tc>
          <w:tcPr>
            <w:tcW w:w="280" w:type="dxa"/>
            <w:vAlign w:val="bottom"/>
          </w:tcPr>
          <w:p>
            <w:pPr>
              <w:spacing w:after="0"/>
              <w:rPr>
                <w:sz w:val="19"/>
                <w:szCs w:val="19"/>
                <w:color w:val="auto"/>
              </w:rPr>
            </w:pPr>
          </w:p>
        </w:tc>
        <w:tc>
          <w:tcPr>
            <w:tcW w:w="1060" w:type="dxa"/>
            <w:vAlign w:val="bottom"/>
          </w:tcPr>
          <w:p>
            <w:pPr>
              <w:jc w:val="center"/>
              <w:ind w:left="221"/>
              <w:spacing w:after="0"/>
              <w:rPr>
                <w:sz w:val="20"/>
                <w:szCs w:val="20"/>
                <w:color w:val="auto"/>
              </w:rPr>
            </w:pPr>
            <w:r>
              <w:rPr>
                <w:rFonts w:ascii="Arial" w:cs="Arial" w:eastAsia="Arial" w:hAnsi="Arial"/>
                <w:sz w:val="20"/>
                <w:szCs w:val="20"/>
                <w:color w:val="auto"/>
                <w:w w:val="89"/>
              </w:rPr>
              <w:t>1%</w:t>
            </w:r>
          </w:p>
        </w:tc>
        <w:tc>
          <w:tcPr>
            <w:tcW w:w="2060" w:type="dxa"/>
            <w:vAlign w:val="bottom"/>
            <w:gridSpan w:val="3"/>
          </w:tcPr>
          <w:p>
            <w:pPr>
              <w:jc w:val="center"/>
              <w:ind w:left="50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Other</w:t>
            </w:r>
          </w:p>
        </w:tc>
        <w:tc>
          <w:tcPr>
            <w:tcW w:w="1020" w:type="dxa"/>
            <w:vAlign w:val="bottom"/>
          </w:tcPr>
          <w:p>
            <w:pPr>
              <w:jc w:val="center"/>
              <w:ind w:left="241"/>
              <w:spacing w:after="0"/>
              <w:rPr>
                <w:sz w:val="20"/>
                <w:szCs w:val="20"/>
                <w:color w:val="auto"/>
              </w:rPr>
            </w:pPr>
            <w:r>
              <w:rPr>
                <w:rFonts w:ascii="Arial" w:cs="Arial" w:eastAsia="Arial" w:hAnsi="Arial"/>
                <w:sz w:val="20"/>
                <w:szCs w:val="20"/>
                <w:color w:val="auto"/>
                <w:w w:val="96"/>
              </w:rPr>
              <w:t>0%</w:t>
            </w:r>
          </w:p>
        </w:tc>
        <w:tc>
          <w:tcPr>
            <w:tcW w:w="200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0%</w:t>
            </w:r>
          </w:p>
        </w:tc>
        <w:tc>
          <w:tcPr>
            <w:tcW w:w="280" w:type="dxa"/>
            <w:vAlign w:val="bottom"/>
          </w:tcPr>
          <w:p>
            <w:pPr>
              <w:spacing w:after="0"/>
              <w:rPr>
                <w:sz w:val="21"/>
                <w:szCs w:val="21"/>
                <w:color w:val="auto"/>
              </w:rPr>
            </w:pPr>
          </w:p>
        </w:tc>
        <w:tc>
          <w:tcPr>
            <w:tcW w:w="1060" w:type="dxa"/>
            <w:vAlign w:val="bottom"/>
          </w:tcPr>
          <w:p>
            <w:pPr>
              <w:jc w:val="center"/>
              <w:ind w:left="221"/>
              <w:spacing w:after="0"/>
              <w:rPr>
                <w:sz w:val="20"/>
                <w:szCs w:val="20"/>
                <w:color w:val="auto"/>
              </w:rPr>
            </w:pPr>
            <w:r>
              <w:rPr>
                <w:rFonts w:ascii="Arial" w:cs="Arial" w:eastAsia="Arial" w:hAnsi="Arial"/>
                <w:sz w:val="20"/>
                <w:szCs w:val="20"/>
                <w:color w:val="auto"/>
                <w:w w:val="89"/>
              </w:rPr>
              <w:t>1%</w:t>
            </w:r>
          </w:p>
        </w:tc>
        <w:tc>
          <w:tcPr>
            <w:tcW w:w="2060" w:type="dxa"/>
            <w:vAlign w:val="bottom"/>
            <w:gridSpan w:val="3"/>
          </w:tcPr>
          <w:p>
            <w:pPr>
              <w:jc w:val="center"/>
              <w:ind w:left="50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customers include Coca-Cola Refreshments USA, Inc., Coca-Cola Refreshments Canada Company, Coca-Cola Bottling Company, CCBCC Operations, LLC, United Bottling Contracts Company, LLC, Reyes Coca-Cola Bottling, Great Lakes Coca-Cola Bottling, Coca-Cola Southwest Beverages LLC, Coca-Cola of Northern New England, Swire Coca-Cola, USA, Liberty Coca-Cola Beverages, Coca-Cola European Partners, Coca-Cola Hellenic, Coca-Cola FEMSA, Coca-Cola Amatil, Swire Coca-Cola group in China, COFCO Coca-Cola group in China, Coca-Cola Beverages Africa, Coca-Cola İçecek and certain other TCCC network bottlers, Asahi Soft Drinks, Co., Ltd., Kalil Bottling Group, Wal-Mart, Inc. (including Sam’s Club), Costco Wholesale Corporation, Big Geyser, Inc. and select Anheuser-Busch distributors. A decision by any large customer to decrease amounts purchased from us or to cease carrying our products could have a material negative effect on our financial condition and consolidated results of operations.</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TCCC, through certain consolidated subsidiaries (the “TCCC Subsidiaries”), accounted for approximately 4% and 17% of our net sales for the three-months ended June 30, 2018 and 2017, respectively. The TCCC Subsidiaries accounted for approximately 4% and 25% of our net sales for the six-months ended June 30, 2018 and 2017, respectively. As part of TCCC’s North America Refranchising initiative (the “North America Refranchising”), the territories of certain TCCC Subsidiaries have been transitioned to certain independent TCCC bottlers/distributors and/or TCCC Related Parties. Accordingly, our percentage of net sales to the TCCC Subsidiaries significantly decreased for the three- and six-months ended June 30, 2018.</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CCBCC Operations, LLC accounted for approximately 13% of our net sales for both the three-months ended June 30, 2018 and 2017. CCBCC Operations, LLC accounted for approximately 13% and 12% of our net sales for the six-months ended June 30, 2018 and 2017, respectively.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Coca-Cola European Partners accounted for approximately 9% of the Company’s net sales for both the three-months ended June 30, 2018 and 2017. Coca-Cola European Partners accounted for approximately 10% and 9% of the Company’s net sales for the six-months ended June 30, 2018 and 2017, respectively.</w:t>
      </w:r>
    </w:p>
    <w:p>
      <w:pPr>
        <w:sectPr>
          <w:pgSz w:w="11900" w:h="16838" w:orient="portrait"/>
          <w:cols w:equalWidth="0" w:num="1">
            <w:col w:w="11420"/>
          </w:cols>
          <w:pgMar w:left="240" w:top="121" w:right="239" w:bottom="0" w:gutter="0" w:footer="0" w:header="0"/>
        </w:sectPr>
      </w:pPr>
    </w:p>
    <w:bookmarkStart w:id="22" w:name="page23"/>
    <w:bookmarkEnd w:id="22"/>
    <w:p>
      <w:pPr>
        <w:jc w:val="both"/>
        <w:ind w:firstLine="648"/>
        <w:spacing w:after="0" w:line="250" w:lineRule="auto"/>
        <w:rPr>
          <w:sz w:val="20"/>
          <w:szCs w:val="20"/>
          <w:color w:val="auto"/>
        </w:rPr>
      </w:pPr>
      <w:r>
        <w:rPr>
          <w:rFonts w:ascii="Arial" w:cs="Arial" w:eastAsia="Arial" w:hAnsi="Arial"/>
          <w:sz w:val="20"/>
          <w:szCs w:val="20"/>
          <w:color w:val="auto"/>
        </w:rPr>
        <w:t>Reyes Coca-Cola Bottling accounted for approximately 12% and 5% of the Company’s net sales for the three-months ended June 30, 2018 and 2017, respectively. Reyes Coca-Cola Bottling accounted for approximately 13% and 4% of the Company’s net sales for the six-months ended June 30, 2018 and 2017, respectively.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 and six-months ended June 30, 2018 and 2017.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Three-Months Ended</w:t>
            </w:r>
          </w:p>
        </w:tc>
        <w:tc>
          <w:tcPr>
            <w:tcW w:w="1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28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Six-Months Ended</w:t>
            </w: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300" w:type="dxa"/>
            <w:vAlign w:val="bottom"/>
          </w:tcPr>
          <w:p>
            <w:pPr>
              <w:spacing w:after="0"/>
              <w:rPr>
                <w:sz w:val="20"/>
                <w:szCs w:val="20"/>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Change</w:t>
            </w:r>
          </w:p>
        </w:tc>
        <w:tc>
          <w:tcPr>
            <w:tcW w:w="28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3560" w:type="dxa"/>
            <w:vAlign w:val="bottom"/>
            <w:vMerge w:val="restart"/>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18 vs. 17</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18 vs. 17</w:t>
            </w:r>
          </w:p>
        </w:tc>
        <w:tc>
          <w:tcPr>
            <w:tcW w:w="0" w:type="dxa"/>
            <w:vAlign w:val="bottom"/>
          </w:tcPr>
          <w:p>
            <w:pPr>
              <w:spacing w:after="0"/>
              <w:rPr>
                <w:sz w:val="1"/>
                <w:szCs w:val="1"/>
                <w:color w:val="auto"/>
              </w:rPr>
            </w:pPr>
          </w:p>
        </w:tc>
      </w:tr>
      <w:tr>
        <w:trPr>
          <w:trHeight w:val="195"/>
        </w:trPr>
        <w:tc>
          <w:tcPr>
            <w:tcW w:w="3560" w:type="dxa"/>
            <w:vAlign w:val="bottom"/>
            <w:vMerge w:val="continue"/>
          </w:tcPr>
          <w:p>
            <w:pPr>
              <w:spacing w:after="0"/>
              <w:rPr>
                <w:sz w:val="16"/>
                <w:szCs w:val="16"/>
                <w:color w:val="auto"/>
              </w:rPr>
            </w:pPr>
          </w:p>
        </w:tc>
        <w:tc>
          <w:tcPr>
            <w:tcW w:w="3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1,015,873</w:t>
            </w:r>
          </w:p>
        </w:tc>
        <w:tc>
          <w:tcPr>
            <w:tcW w:w="160" w:type="dxa"/>
            <w:vAlign w:val="bottom"/>
          </w:tcPr>
          <w:p>
            <w:pPr>
              <w:spacing w:after="0"/>
              <w:rPr>
                <w:sz w:val="16"/>
                <w:szCs w:val="16"/>
                <w:color w:val="auto"/>
              </w:rPr>
            </w:pPr>
          </w:p>
        </w:tc>
        <w:tc>
          <w:tcPr>
            <w:tcW w:w="3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907,068</w:t>
            </w:r>
          </w:p>
        </w:tc>
        <w:tc>
          <w:tcPr>
            <w:tcW w:w="12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12.0%</w:t>
            </w:r>
          </w:p>
        </w:tc>
        <w:tc>
          <w:tcPr>
            <w:tcW w:w="180" w:type="dxa"/>
            <w:vAlign w:val="bottom"/>
          </w:tcPr>
          <w:p>
            <w:pPr>
              <w:spacing w:after="0"/>
              <w:rPr>
                <w:sz w:val="16"/>
                <w:szCs w:val="16"/>
                <w:color w:val="auto"/>
              </w:rPr>
            </w:pPr>
          </w:p>
        </w:tc>
        <w:tc>
          <w:tcPr>
            <w:tcW w:w="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99"/>
              </w:rPr>
              <w:t>1,866,793</w:t>
            </w:r>
          </w:p>
        </w:tc>
        <w:tc>
          <w:tcPr>
            <w:tcW w:w="120" w:type="dxa"/>
            <w:vAlign w:val="bottom"/>
          </w:tcPr>
          <w:p>
            <w:pPr>
              <w:spacing w:after="0"/>
              <w:rPr>
                <w:sz w:val="16"/>
                <w:szCs w:val="16"/>
                <w:color w:val="auto"/>
              </w:rPr>
            </w:pPr>
          </w:p>
        </w:tc>
        <w:tc>
          <w:tcPr>
            <w:tcW w:w="38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w w:val="97"/>
              </w:rPr>
              <w:t>1,649,214</w:t>
            </w:r>
          </w:p>
        </w:tc>
        <w:tc>
          <w:tcPr>
            <w:tcW w:w="18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395,615</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731,279</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5"/>
        </w:trPr>
        <w:tc>
          <w:tcPr>
            <w:tcW w:w="3560" w:type="dxa"/>
            <w:vAlign w:val="bottom"/>
          </w:tcPr>
          <w:p>
            <w:pPr>
              <w:spacing w:after="0" w:line="195"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30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620,258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583,497</w:t>
            </w:r>
          </w:p>
        </w:tc>
        <w:tc>
          <w:tcPr>
            <w:tcW w:w="12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6.3%</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99"/>
              </w:rPr>
              <w:t>1,135,514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w w:val="97"/>
              </w:rPr>
              <w:t>1,064,371</w:t>
            </w:r>
          </w:p>
        </w:tc>
        <w:tc>
          <w:tcPr>
            <w:tcW w:w="12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3"/>
        </w:trPr>
        <w:tc>
          <w:tcPr>
            <w:tcW w:w="3560" w:type="dxa"/>
            <w:vAlign w:val="bottom"/>
          </w:tcPr>
          <w:p>
            <w:pPr>
              <w:spacing w:after="0"/>
              <w:rPr>
                <w:sz w:val="20"/>
                <w:szCs w:val="20"/>
                <w:color w:val="auto"/>
              </w:rPr>
            </w:pPr>
            <w:r>
              <w:rPr>
                <w:rFonts w:ascii="Arial" w:cs="Arial" w:eastAsia="Arial" w:hAnsi="Arial"/>
                <w:sz w:val="18"/>
                <w:szCs w:val="18"/>
                <w:color w:val="auto"/>
              </w:rPr>
              <w:t>Gross profit as a percentage of net sales</w:t>
            </w:r>
            <w:r>
              <w:rPr>
                <w:rFonts w:ascii="Arial" w:cs="Arial" w:eastAsia="Arial" w:hAnsi="Arial"/>
                <w:sz w:val="23"/>
                <w:szCs w:val="23"/>
                <w:color w:val="auto"/>
                <w:vertAlign w:val="superscript"/>
              </w:rPr>
              <w:t>1</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56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2</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262,637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233,456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497,979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450,068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expenses as a percentage of net</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560" w:type="dxa"/>
            <w:vAlign w:val="bottom"/>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1,2</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357,621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637,535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614,303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w w:val="94"/>
              </w:rPr>
              <w:t>Operating income as a percentage of net sales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(118.7%)</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508"/>
        </w:trPr>
        <w:tc>
          <w:tcPr>
            <w:tcW w:w="3560" w:type="dxa"/>
            <w:vAlign w:val="bottom"/>
          </w:tcPr>
          <w:p>
            <w:pPr>
              <w:spacing w:after="0"/>
              <w:rPr>
                <w:sz w:val="20"/>
                <w:szCs w:val="20"/>
                <w:color w:val="auto"/>
              </w:rPr>
            </w:pPr>
            <w:r>
              <w:rPr>
                <w:rFonts w:ascii="Arial" w:cs="Arial" w:eastAsia="Arial" w:hAnsi="Arial"/>
                <w:sz w:val="18"/>
                <w:szCs w:val="18"/>
                <w:color w:val="auto"/>
              </w:rPr>
              <w:t>Income before provision for income taxes</w:t>
            </w:r>
            <w:r>
              <w:rPr>
                <w:rFonts w:ascii="Arial" w:cs="Arial" w:eastAsia="Arial" w:hAnsi="Arial"/>
                <w:sz w:val="23"/>
                <w:szCs w:val="23"/>
                <w:color w:val="auto"/>
                <w:vertAlign w:val="superscript"/>
              </w:rPr>
              <w:t>1,2</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358,097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347,490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639,816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612,410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50"/>
        </w:trPr>
        <w:tc>
          <w:tcPr>
            <w:tcW w:w="3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87,981</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124,857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153,651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11"/>
        </w:trPr>
        <w:tc>
          <w:tcPr>
            <w:tcW w:w="3560" w:type="dxa"/>
            <w:vAlign w:val="bottom"/>
          </w:tcPr>
          <w:p>
            <w:pPr>
              <w:spacing w:after="0"/>
              <w:rPr>
                <w:sz w:val="20"/>
                <w:szCs w:val="20"/>
                <w:color w:val="auto"/>
              </w:rPr>
            </w:pPr>
            <w:r>
              <w:rPr>
                <w:rFonts w:ascii="Arial" w:cs="Arial" w:eastAsia="Arial" w:hAnsi="Arial"/>
                <w:sz w:val="18"/>
                <w:szCs w:val="18"/>
                <w:color w:val="auto"/>
              </w:rPr>
              <w:t>Income taxes as a percentage of income</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before taxes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270,116</w:t>
            </w:r>
          </w:p>
        </w:tc>
        <w:tc>
          <w:tcPr>
            <w:tcW w:w="160" w:type="dxa"/>
            <w:vAlign w:val="bottom"/>
          </w:tcPr>
          <w:p>
            <w:pPr>
              <w:spacing w:after="0"/>
              <w:rPr>
                <w:sz w:val="24"/>
                <w:szCs w:val="24"/>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486,165</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5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20"/>
                <w:szCs w:val="20"/>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Case sales (in thousands)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(in 192-ounce case equivalents)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110,057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97,233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202,372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177,225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¹Includes $11.0 million and $10.2 million for the three-months ended June 30, 2018 and 2017, respectively, related to the recognition of deferred revenue. Includes $22.2 million and $20.1 million for the six-months ended June 30, 2018 and 2017, respectively, related to the recognition of deferred revenue.</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²Includes $5.5 million and $0.2 million for the three-months ended June 30, 2018 and 2017, respectively, of distributor termination costs. Includes $12.5 million and $20.1 million for the six-months ended June 30, 2018 and 2017, respectively, of distributor termination costs.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Three-Months Ended June 30, 2018 Compared to the Three-Months Ended June 30, 2017.</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$1.02 billion for the three-months ended June 30, 2018, an increase of approximately $108.8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12.0% higher than net sales of $907.1 million for the three-months ended June 30, 2017. Net sales of our Monster Energy® brand energy drinks were $925.0 million for the three-months ended June 30, 2018, an increase of $114.5 million, or 14.1% higher than net sales of $810.5 million for the three-months ended June 30, 2017. Net sales of our Monster Energy® brand energy drinks increased partially due to increased sales by volume as a result of increased domestic and international consumer demand. Net sales of our Strategic Brands were $79.8 million for the three-months ended June 30, 2018, a decrease of $5.8 million, or 6.8% lower than net sales of $85.6 million for the three-months ended June 30, 2017. Net sales of our AFF Third-Party Products were $6.6 million for the three-months ended June 30, 2018, an increase of $0.4 million, or 7.3% higher than net sales of $6.2 million for the three-months ended June 30, 2017. No other individual product line contributed either a material increase or decrease to our net sales for the three-months ended June 30, 2018.</w:t>
      </w:r>
    </w:p>
    <w:p>
      <w:pPr>
        <w:sectPr>
          <w:pgSz w:w="11900" w:h="16838" w:orient="portrait"/>
          <w:cols w:equalWidth="0" w:num="1">
            <w:col w:w="11420"/>
          </w:cols>
          <w:pgMar w:left="240" w:top="121" w:right="239" w:bottom="0" w:gutter="0" w:footer="0" w:header="0"/>
        </w:sectPr>
      </w:pPr>
    </w:p>
    <w:bookmarkStart w:id="23" w:name="page24"/>
    <w:bookmarkEnd w:id="23"/>
    <w:p>
      <w:pPr>
        <w:jc w:val="both"/>
        <w:ind w:firstLine="648"/>
        <w:spacing w:after="0" w:line="343" w:lineRule="auto"/>
        <w:rPr>
          <w:sz w:val="20"/>
          <w:szCs w:val="20"/>
          <w:color w:val="auto"/>
        </w:rPr>
      </w:pPr>
      <w:r>
        <w:rPr>
          <w:rFonts w:ascii="Arial" w:cs="Arial" w:eastAsia="Arial" w:hAnsi="Arial"/>
          <w:sz w:val="16"/>
          <w:szCs w:val="16"/>
          <w:color w:val="auto"/>
        </w:rPr>
        <w:t>Net sales for the three-months ended June 30, 2018 were negatively impacted by approximately $12.2 million as a result of the adoption of ASC 606. Under ASC 606, commissions paid to TCCC, based on sales to the TCCC Related Parties, are now included as a reduction to net sales. Prior to January 1, 2018, commissions based on sales to the TCCC Related Parties were included in operating expenses.</w:t>
      </w:r>
    </w:p>
    <w:p>
      <w:pPr>
        <w:spacing w:after="0" w:line="1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changes in foreign currency exchange rates had a favorable impact on net sales of approximately $16.8 million for the three-months ended June 30, 2018.</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Case sales, in 192-ounce case equivalents, were 110.1 million cases for the three-months ended June 30, 2018, an increase of approximately 12.8 million cases or 13.2% higher than case sales of 97.2 million cases for the three-months ended June 30, 2017. The overall average net sales per case (excluding net sales of AFF Third-Party Products of $6.6 million and $6.2 million for the three-months ended June 30, 2018 and 2017, respectively, as these sales do not have unit case equivalents) decreased to $9.17 for the three-months ended June 30, 2018, which was 1.0% lower than the average net sales per case of $9.27 for the three-months ended June 30, 2017. Without the adoption of ASC 606, the overall average net sales per case (excluding net sales of AFF Third-Party Products of $6.6 million and $6.2 million for the three-months ended June 30, 2018 and 2017, respectively, as these sales do not have unit case equivalents) increased to $9.28 for the three-months ended June 30, 2018, which was 0.2% higher than the average net sales per case of $9.27 for the three-months ended June 30, 2017.</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Monster Energy® Drinks segment were $929.4 million for the three-months ended June 30, 2018, an increase of approximately $114.2 million, or 14.0% higher than net sales of $815.3 million for the three-months ended June 30, 2017. Net sales for the Monster Energy® Drinks segment for the three-months ended June 30, 2018 were negatively impacted by approximately $5.1 million as a result of the adoption of ASC 606.</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Strategic Brands segment were $79.8 million for the three-months ended June 30, 2018, a decrease of approximately $5.8 million, or 6.8% lower than net sales of $85.6 million for the three-months ended June 30, 2017. Net sales for the Strategic Brands segment for the three-months ended June 30, 2018 were negatively impacted by approximately $7.1 million as a result of the adoption of ASC 606.</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Net sales for the Other segment were $6.6 million for the three-months ended June 30, 2018, an increase of approximately $0.4 million, or 7.3% higher than net sales of $6.2 million for the three-months ended June 30, 2017.</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$620.3 million for the three-months ended June 30, 2018, an increase of approximately $36.8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6.3% higher than the gross profit of $583.5 million for the three-months ended June 30, 2017. Gross profit as a percentage of net sales decreased to 61.1% for the three-months ended June 30, 2018 from 64.3% for the three-months ended June 30, 2017. The increase in gross profit dollars was primarily the result of the $114.5 million increase in net sales of our Monster Energy® brand energy drinks for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three-months ended June 30, 2018. The decrease in gross profit as a percentage of net sales was primarily attributable to (i) increases in promotional allowances as a percentage of gross sales; (ii) the $12.2 million of commissions accounted for as a reduction to net sales due to the adoption of ASC 606; (iii) increases in certain input costs such as aluminum cans and other costs; (iv) a change in domestic product sales mix (principally a higher percentage of sales of Java Monster®, Caffe Monster®, Espresso Monster</w:t>
      </w:r>
      <w:r>
        <w:rPr>
          <w:rFonts w:ascii="Arial" w:cs="Arial" w:eastAsia="Arial" w:hAnsi="Arial"/>
          <w:sz w:val="11"/>
          <w:szCs w:val="11"/>
          <w:color w:val="auto"/>
        </w:rPr>
        <w:t>TM</w:t>
      </w:r>
      <w:r>
        <w:rPr>
          <w:rFonts w:ascii="Arial" w:cs="Arial" w:eastAsia="Arial" w:hAnsi="Arial"/>
          <w:sz w:val="18"/>
          <w:szCs w:val="18"/>
          <w:color w:val="auto"/>
        </w:rPr>
        <w:t xml:space="preserve"> and Monster Hydro® products); and</w:t>
      </w:r>
    </w:p>
    <w:p>
      <w:pPr>
        <w:spacing w:after="0" w:line="3" w:lineRule="exact"/>
        <w:rPr>
          <w:sz w:val="20"/>
          <w:szCs w:val="20"/>
          <w:color w:val="auto"/>
        </w:rPr>
      </w:pPr>
    </w:p>
    <w:p>
      <w:pPr>
        <w:ind w:firstLine="8"/>
        <w:spacing w:after="0" w:line="244" w:lineRule="auto"/>
        <w:tabs>
          <w:tab w:leader="none" w:pos="296" w:val="left"/>
        </w:tabs>
        <w:numPr>
          <w:ilvl w:val="0"/>
          <w:numId w:val="27"/>
        </w:numPr>
        <w:rPr>
          <w:rFonts w:ascii="Arial" w:cs="Arial" w:eastAsia="Arial" w:hAnsi="Arial"/>
          <w:sz w:val="20"/>
          <w:szCs w:val="20"/>
          <w:color w:val="auto"/>
        </w:rPr>
      </w:pPr>
      <w:r>
        <w:rPr>
          <w:rFonts w:ascii="Arial" w:cs="Arial" w:eastAsia="Arial" w:hAnsi="Arial"/>
          <w:sz w:val="20"/>
          <w:szCs w:val="20"/>
          <w:color w:val="auto"/>
        </w:rPr>
        <w:t>geographical sales mix as a result of our international sales increasing as a percentage of total net sales (our foreign operations generally have lower gross profit margins).</w:t>
      </w:r>
    </w:p>
    <w:p>
      <w:pPr>
        <w:spacing w:after="0" w:line="19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Operating Expenses</w:t>
      </w:r>
      <w:r>
        <w:rPr>
          <w:rFonts w:ascii="Arial" w:cs="Arial" w:eastAsia="Arial" w:hAnsi="Arial"/>
          <w:sz w:val="20"/>
          <w:szCs w:val="20"/>
          <w:color w:val="auto"/>
        </w:rPr>
        <w:t>. Total operating expenses were $262.6 million for the three-months ended June 30, 2018,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approximately $29.2 million, or 12.5% higher than total operating expenses of $233.5 million for the three-months ended June 30, 2017. The increase in operating expenses was primarily due to increased out-bound freight and warehouse costs of $10.7 million, increased payroll expenses of $9.0 million (of which $2.1 million was related to an increase in stock-based compensation), increased expenditures of $5.5 million for sponsorships and endorsements, and increased expenditures of $5.3 million for costs associated with distributor terminations. Commissions included in operating expenses were $4.7 million, a decrease of $8.8 million, or 65.2% lower than commissions included in operating expenses of $13.5 million for the three-months ended June 30, 2017. Without the adoption of ASC 606, an additional $12.2 million of commissions would have been included in operating expenses for the three-months ended June 30, 2018 (such commissions were included as a reduction to net sales).</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$357.6 million for the three-months ended June 30, 2018, an increase of approximately $7.6</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2.2% higher than operating income of $350.0 million for the three-months ended June 30, 2017. Operating income as a percentage of net sales decreased to 35.2% for the three-months ended June 30, 2018 from 38.6% for the three-months ended June 30, 2017. Operating income was $48.7 million and $44.5 million for the three-months ended June 30, 2018 and 2017, respectively, in connection with our operations in Africa, Asia, Australia, Europe, the Middle East and South America.</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Operating income for the Monster Energy® Drinks segment was $373.1 million for the three-months ended June 30, 2018, an increase of approximately $16.9 million, or 4.7% higher than operating income of $356.2 million for the three-months ended June 30, 2017. The increase in operating income for the Monster Energy® Drinks segment was primarily the result of the $114.5 million increase in net sales of our Monster Energy® brand energy drinks for the three-months ended June 30, 2018.</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Operating income for the Strategic Brands segment was $50.8 million for the three-months ended June 30, 2018, a decrease of approximately $2.4 million, or 4.5% lower than operating income of $53.2 million for the three-months ended June 30, 2017.</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Operating income for the Other segment was $1.8 million for the three-months ended June 30, 2018, an increase of approximately $0.1 million, or 6.3% higher than operating income of $1.7 million for the three-months ended June 30, 2017.</w:t>
      </w:r>
    </w:p>
    <w:p>
      <w:pPr>
        <w:sectPr>
          <w:pgSz w:w="11900" w:h="16838" w:orient="portrait"/>
          <w:cols w:equalWidth="0" w:num="1">
            <w:col w:w="11420"/>
          </w:cols>
          <w:pgMar w:left="240" w:top="121" w:right="239" w:bottom="0" w:gutter="0" w:footer="0" w:header="0"/>
        </w:sectPr>
      </w:pPr>
    </w:p>
    <w:bookmarkStart w:id="24" w:name="page25"/>
    <w:bookmarkEnd w:id="24"/>
    <w:p>
      <w:pPr>
        <w:spacing w:after="0" w:line="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Interest and Other Income (expense), net</w:t>
      </w:r>
      <w:r>
        <w:rPr>
          <w:rFonts w:ascii="Arial" w:cs="Arial" w:eastAsia="Arial" w:hAnsi="Arial"/>
          <w:sz w:val="18"/>
          <w:szCs w:val="18"/>
          <w:color w:val="auto"/>
        </w:rPr>
        <w:t>. Interest and other non-operating income (expense), net, was $0.5 million for the three-months ended June 30, 2018, as compared to interest and other non-operating income (expense), net of ($2.6) million for the three-months ended June 30, 2017. Foreign currency transaction (losses) were ($1.9) million and ($3.9) million for the three-months ended June 30, 2018 and 2017, respectively. Interest income was $2.7 million and $1.4 million for the three-months ended June 30, 2018 and 2017, respectively.</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$88.0 million for the three-months ended June 30, 2018, a decrease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$36.9 million, or 29.5% lower than the provision for income taxes of $124.9 million for the three-months ended June 30, 2017. The effective combined federal, state and foreign tax rate decreased to 24.6% from 35.9% for the three-months ended June 30, 2018 and 2017, respectively.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decrease in the effective tax rate was primarily due to the reduction in the U.S. federal statutory tax rate as a result of the Tax Cuts and Jobs Act (the “Tax Reform Act”) signed into law on December 22, 2017, before considering the potential impact of further clarification of certain matters related to the Tax Reform Act. The decrease in the provision for income taxes was partially offset by the elimination of the domestic production deduction under the Tax Reform Act.</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recorded impact of the Tax Reform Act is provisional and the final amount may differ, possibly materially, due to, among other things, changes in estimates, interpretations and assumptions we have made, changes in IRS interpretations, the issuance of new guidance, legislative actions, changes in accounting standards or related interpretations in response to the Tax Reform Act as well as any and future actions by certain states within the United States that have not currently adopted the Tax Reform Act.</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$270.1 million for the three-months ended June 30, 2018, an increase of $47.5 million, or 21.3% higher</w:t>
      </w:r>
      <w:r>
        <w:rPr>
          <w:rFonts w:ascii="Arial" w:cs="Arial" w:eastAsia="Arial" w:hAnsi="Arial"/>
          <w:sz w:val="20"/>
          <w:szCs w:val="20"/>
          <w:i w:val="1"/>
          <w:iCs w:val="1"/>
          <w:color w:val="auto"/>
        </w:rPr>
        <w:t xml:space="preserve"> </w:t>
      </w:r>
      <w:r>
        <w:rPr>
          <w:rFonts w:ascii="Arial" w:cs="Arial" w:eastAsia="Arial" w:hAnsi="Arial"/>
          <w:sz w:val="20"/>
          <w:szCs w:val="20"/>
          <w:color w:val="auto"/>
        </w:rPr>
        <w:t>than net income of $222.6 million for the three-months ended June 30, 2017. The increase in net income was primarily due to the $36.8 million increase in gross profit and the $36.9 million decrease in the provision for income taxes. The increase in net income was partially offset by the increase in operating expenses of $29.2 million.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Six-Months Ended June 30, 2018 Compared to the Six-Months Ended June 30, 2017.</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$1.87 billion for the six-months ended June 30, 2018, an increase of approximately $217.6 million, or 13.2%</w:t>
      </w:r>
      <w:r>
        <w:rPr>
          <w:rFonts w:ascii="Arial" w:cs="Arial" w:eastAsia="Arial" w:hAnsi="Arial"/>
          <w:sz w:val="19"/>
          <w:szCs w:val="19"/>
          <w:i w:val="1"/>
          <w:iCs w:val="1"/>
          <w:color w:val="auto"/>
        </w:rPr>
        <w:t xml:space="preserve"> </w:t>
      </w:r>
      <w:r>
        <w:rPr>
          <w:rFonts w:ascii="Arial" w:cs="Arial" w:eastAsia="Arial" w:hAnsi="Arial"/>
          <w:sz w:val="19"/>
          <w:szCs w:val="19"/>
          <w:color w:val="auto"/>
        </w:rPr>
        <w:t>higher than net sales of $1.65 billion for the six-months ended June 30, 2017. Net sales of our Monster Energy® brand energy drinks were $1.70 billion for the six-months ended June 30, 2018, an increase of $225.3 million, or 15.2% higher than net sales of $1.48 billion for the six-months ended June 30, 2017. Net sales of our Monster Energy® brand energy drinks increased partially due to increased sales by volume as a result of increased domestic and international consumer demand. Net sales of our Strategic Brands were $145.6 million for the six-months ended June 30, 2018, a decrease of $8.1 million, or 5.3% lower than net sales of $153.7 million for the six-months ended June 30, 2017. Net sales of our AFF Third-Party Products were $11.3 million for the six-months ended June 30, 2018, a decrease of $0.4 million, or 3.7% lower than net sales of $11.7 million for the six-months ended June 30, 2017. No other individual product line contributed either a material increase or decrease to our net sales for the six-months ended June 30, 2018.</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Net sales for the six-months ended June 30, 2018 were negatively impacted by approximately $22.2 million as a result of the adoption of ASC 606. Under ASC 606, commissions paid to TCCC, based on sales to the TCCC Related Parties, are now included as a reduction to net sales. Prior to January 1, 2018, commissions based on sales to the TCCC Related Parties were included in operating expenses.</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changes in foreign currency exchange rates had a favorable impact on net sales of approximately $34.5 million for the six-months ended June 30, 2018.</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Case sales, in 192-ounce case equivalents, were 202.4 million cases for the six-months ended June 30, 2018, an increase of approximately 25.1 million cases or 14.2% higher than case sales of 177.2 million cases for the six-months ended June 30, 2017. The overall average net sales per case (excluding net sales of AFF Third-Party Products of $11.3 million and $11.7 million for the six-months ended June 30, 2018 and 2017, respectively, as these sales do not have unit case equivalents) decreased to $9.17 for the six-months ended June 30, 2018, which was 0.8% lower than the average net sales per case of $9.24 for the six-months ended June 30, 2017. Without the adoption of ASC 606, the overall average net sales per case (excluding net sales of AFF Third-Party Products of $11.3 million and $11.7 million for the six-months ended June 30, 2018 and 2017, respectively, as these sales do not have unit case equivalents) increased to $9.28 for the six-months ended June 30, 2018, which was 0.4% higher than the average net sales per case of $9.24 for the six-months ended June 30, 2017.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Monster Energy® Drinks segment were $1.71 billion for the six-months ended June 30, 2018, an increase of approximately $226.1 million, or 15.2% higher than net sales of $1.48 billion for the six-months ended June 30, 2017. Net sales for the Monster Energy® Drinks segment for the six-months ended June 30, 2018 were negatively impacted by approximately $9.0 million as a result of the adoption of ASC 606.</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Net sales for the Strategic Brands segment were $145.6 million for the six-months ended June 30, 2018, a decrease of approximately $8.1 million, or 5.3% lower than net sales of $153.7 million for the six-months ended June 30, 2017. Net sales for the Strategic Brands segment for the six-months ended June 30, 2018 were negatively impacted by approximately $13.2 million as a result of the adoption of ASC 606.</w:t>
      </w:r>
    </w:p>
    <w:p>
      <w:pPr>
        <w:sectPr>
          <w:pgSz w:w="11900" w:h="16877" w:orient="portrait"/>
          <w:cols w:equalWidth="0" w:num="1">
            <w:col w:w="11420"/>
          </w:cols>
          <w:pgMar w:left="240" w:top="339" w:right="239" w:bottom="0" w:gutter="0" w:footer="0" w:header="0"/>
        </w:sectPr>
      </w:pPr>
    </w:p>
    <w:bookmarkStart w:id="25" w:name="page26"/>
    <w:bookmarkEnd w:id="25"/>
    <w:p>
      <w:pPr>
        <w:spacing w:after="0" w:line="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Other segment were $11.3 million for the six-months ended June 30, 2018, a decrease of approximately $0.4 million, or 3.7% lower than net sales of $11.7 million for the six-months ended June 30, 2017.</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$1.14 billion for the six-months ended June 30, 2018, an increase of approximately $71.1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6.7% higher than the gross profit of $1.06 billion for the six-months ended June 30, 2017. Gross profit as a percentage of net sales decreased to 60.8% for the six-months ended June 30, 2018 from 64.5% for the six-months ended June 30, 2017. The increase in gross profit dollars was primarily the result of the $225.3 million increase in net sales of our Monster Energy® brand energy drinks for the six-months ended June 30, 2018. The decrease in gross profit as a percentage of net sales was primarily attributable to (i) increases in promotional allowances as a percentage of gross sales; (ii) the $22.2 million of commissions accounted for as a reduction to net sales due to the adoption of ASC 606;</w:t>
      </w:r>
    </w:p>
    <w:p>
      <w:pPr>
        <w:spacing w:after="0" w:line="2" w:lineRule="exact"/>
        <w:rPr>
          <w:sz w:val="20"/>
          <w:szCs w:val="20"/>
          <w:color w:val="auto"/>
        </w:rPr>
      </w:pPr>
    </w:p>
    <w:p>
      <w:pPr>
        <w:jc w:val="both"/>
        <w:ind w:firstLine="8"/>
        <w:spacing w:after="0" w:line="258" w:lineRule="auto"/>
        <w:tabs>
          <w:tab w:leader="none" w:pos="356" w:val="left"/>
        </w:tabs>
        <w:numPr>
          <w:ilvl w:val="0"/>
          <w:numId w:val="28"/>
        </w:numPr>
        <w:rPr>
          <w:rFonts w:ascii="Arial" w:cs="Arial" w:eastAsia="Arial" w:hAnsi="Arial"/>
          <w:sz w:val="19"/>
          <w:szCs w:val="19"/>
          <w:color w:val="auto"/>
        </w:rPr>
      </w:pPr>
      <w:r>
        <w:rPr>
          <w:rFonts w:ascii="Arial" w:cs="Arial" w:eastAsia="Arial" w:hAnsi="Arial"/>
          <w:sz w:val="19"/>
          <w:szCs w:val="19"/>
          <w:color w:val="auto"/>
        </w:rPr>
        <w:t>geographical sales mix, as a result of our international sales increasing as a percentage of total net sales (our foreign operations generally have lower gross profit margins); (iv) a change in domestic product sales mix (principally a higher percentage of sales of Java Monster®, Caffe Monster®, Espresso Monster</w:t>
      </w:r>
      <w:r>
        <w:rPr>
          <w:rFonts w:ascii="Arial" w:cs="Arial" w:eastAsia="Arial" w:hAnsi="Arial"/>
          <w:sz w:val="11"/>
          <w:szCs w:val="11"/>
          <w:color w:val="auto"/>
        </w:rPr>
        <w:t>TM</w:t>
      </w:r>
      <w:r>
        <w:rPr>
          <w:rFonts w:ascii="Arial" w:cs="Arial" w:eastAsia="Arial" w:hAnsi="Arial"/>
          <w:sz w:val="19"/>
          <w:szCs w:val="19"/>
          <w:color w:val="auto"/>
        </w:rPr>
        <w:t xml:space="preserve"> and Monster Hydro® products); (v) increases in certain input costs, principally aluminum cans, freight in and other costs; and (vi) Monster Hydro® production issues in the U.S. and EMEA.</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$498.0 million for the six-months ended June 30, 2018,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$47.9 million, or 10.6% higher than total operating expenses of $450.1 million for the six-months ended June 30, 2017. The increase in operating expenses was primarily due to increased out-bound freight and warehouse costs of $20.6 million, increased payroll expenses of $17.8 million (of which $2.4 million was related to an increase in stock-based compensation), increased expenditures of $8.0 million for sponsorships and endorsements, increased expenditures of $6.2 million for other marketing expenses, increased expenditures of $4.6 million for merchandise displays and increased expenditures of $3.7 million for allocated trade development. The increase in operating expenses was partially offset by the $7.6 million decrease in costs associated with distributor terminations. Commissions included in operating expenses were $8.3 million, or 62.5% lower than commissions included in operating expenses of $22.1 million for the six-months ended June 30, 2017. Without of the adoption of ASC 606, an additional $22.2 million of commissions would have been included in operating expenses for the six-months ended June 30, 2018 (such commissions were included as a reduction to net sales).</w:t>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Operating Income. </w:t>
      </w:r>
      <w:r>
        <w:rPr>
          <w:rFonts w:ascii="Arial" w:cs="Arial" w:eastAsia="Arial" w:hAnsi="Arial"/>
          <w:sz w:val="20"/>
          <w:szCs w:val="20"/>
          <w:color w:val="auto"/>
        </w:rPr>
        <w:t>Operating income was $637.5 million for the six-months ended June 30, 2018, an increase of approximately $23.2</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or 3.8% higher than operating income of $614.3 million for the six-months ended June 30, 2017. Operating income as a percentage of net sales decreased to 34.2% for the six-months ended June 30, 2018 from 37.2% for the six-months ended June 30, 2017. Operating income was $91.2 million and $77.4 million for the six-months ended June 30, 2018 and 2017, respectively, in connection with our operations in Africa, Asia, Australia, Europe, the Middle East and South America.</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Operating income for the Monster Energy® Drinks segment was $674.8 million for the six-months ended June 30, 2018, an increase of approximately $39.2 million, or 6.2% higher than operating income of $635.7 million for the six-months ended June 30, 2017. The increase in operating income for the Monster Energy® Drinks segment was primarily the result of the $225.3 million increase in net sales of our Monster Energy® brand energy drinks for the six-months ended June 30,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Operating income for the Strategic Brands segment was $93.4 million for the six-months ended June 30, 2018, a decrease of approximately $1.9 million, or 2.0% lower than operating income of $95.3 million for the six-months ended June 30, 2017.</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Operating income for the Other segment was $2.8 million for the six-months ended June 30, 2018, a decrease of approximately $0.3 million, or 10.7% lower than operating income of $3.1 million for the six-months ended June 30, 2017.</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Interest and Other Income (expense), net</w:t>
      </w:r>
      <w:r>
        <w:rPr>
          <w:rFonts w:ascii="Arial" w:cs="Arial" w:eastAsia="Arial" w:hAnsi="Arial"/>
          <w:sz w:val="18"/>
          <w:szCs w:val="18"/>
          <w:color w:val="auto"/>
        </w:rPr>
        <w:t>. Interest and other non-operating income (expense), net, was $2.3 million for the six-months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as compared to interest and other non-operating income (expense), net of ($1.9) million for the six-months ended June 30, 2017. Foreign currency transaction (losses) were ($3.3) million and ($3.8) million for the six-months ended June 30, 2018 and 2017, respectively. Interest income was $5.7 million and $2.2 million for the six-months ended June 30, 2018 and 2017, respectively.</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$153.7 million for the six-months ended June 30, 2018, a decrease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$58.1 million, or 27.5% lower than the provision for income taxes of $211.8 million for the six-months ended June 30, 2017. The effective combined federal, state and foreign tax rate decreased to 24.0% from 34.6% for the six-months ended June 30, 2018 and 2017, respectively. The decrease in the effective tax rate was primarily due to the reduction in the U.S. federal statutory tax rate as a result of the Tax Reform Act signed into law on December 22, 2017, before considering the potential impact of further clarification of certain matters related to the Tax Reform Act. The decrease in the provision for income taxes was partially offset by the elimination of the domestic production deduction under the Tax Reform Act as well as a decrease in the stock based compensation tax deduction.</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recorded impact of the Tax Reform Act is provisional and the final amount may differ, possibly materially, due to, among other things, changes in estimates, interpretations and assumptions we have made, changes in IRS interpretations, the issuance of new guidance, legislative actions, changes in accounting standards or related interpretations in response to the Tax Reform Act as well as any and future actions by certain states within the United States that have not currently adopted the Tax Reform Act.</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$486.2 million for the six-months ended June 30, 2018, an increase of $85.6 million, or 21.4% higher</w:t>
      </w:r>
      <w:r>
        <w:rPr>
          <w:rFonts w:ascii="Arial" w:cs="Arial" w:eastAsia="Arial" w:hAnsi="Arial"/>
          <w:sz w:val="20"/>
          <w:szCs w:val="20"/>
          <w:i w:val="1"/>
          <w:iCs w:val="1"/>
          <w:color w:val="auto"/>
        </w:rPr>
        <w:t xml:space="preserve"> </w:t>
      </w:r>
      <w:r>
        <w:rPr>
          <w:rFonts w:ascii="Arial" w:cs="Arial" w:eastAsia="Arial" w:hAnsi="Arial"/>
          <w:sz w:val="20"/>
          <w:szCs w:val="20"/>
          <w:color w:val="auto"/>
        </w:rPr>
        <w:t>than net income of $400.6 million for the six-months ended June 30, 2017. The increase in net income was primarily due to the $71.1 million increase in gross profit and the $58.1 million decrease in the provision for income taxes. The increase in net income was partially offset by the increase in operating expenses of $47.9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ectPr>
          <w:pgSz w:w="11900" w:h="16848" w:orient="portrait"/>
          <w:cols w:equalWidth="0" w:num="1">
            <w:col w:w="11420"/>
          </w:cols>
          <w:pgMar w:left="240" w:top="352" w:right="239" w:bottom="0" w:gutter="0" w:footer="0" w:header="0"/>
        </w:sectPr>
      </w:pPr>
    </w:p>
    <w:bookmarkStart w:id="26" w:name="page27"/>
    <w:bookmarkEnd w:id="26"/>
    <w:p>
      <w:pPr>
        <w:spacing w:after="0" w:line="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$1.19 billion for the three-months ended June 30, 2018, an increase of approximately $152.3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or 14.7% higher than gross sales of $1.04 billion for the three-months ended June 30, 2017. Gross sales of our Monster Energy® brand energy drinks were $1.08 billion for the three-months ended June 30, 2018, an increase of $148.6 million, or 16.0% higher than gross sales of $927.6 million for the three-months ended June 30, 2017. Gross sales of our Monster Energy® brand energy drinks increased partially due to increased sales by volume as a result of increased domestic and international consumer demand. Gross sales of our Strategic Brands were $92.4 million for the three-months ended June 30, 2018, an increase of $2.6 million, or 2.8% higher than gross sales of $89.8 million for the three-months ended June 30, 2017. Gross sales of our AFF Third-Party Products were $6.6 million for the three-months ended June 30, 2018, an increase of $0.4 million, or 7.3% higher than gross sales of $6.2 million for the three-months ended June 30, 2017. No other individual product line contributed either a material increase or decrease to net sales for the three-months ended June 30, 2018. Promotional and other allowances, as described in the footnote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below, were $175.4 million for the three-months ended June 30, 2018, an increase of $43.5 million, or 33.0% higher than promotional and other allowances of $131.9 million for the three-months ended June 30, 2017. Promotional and other allowances as a percentage of gross sales increased to 14.7% from 12.7% for the three-months ended June 30, 2018 and 2017, respectively, partially due to commissions of $12.2 million included in net sales related to the adoption of ASC 606 described above.</w:t>
      </w:r>
    </w:p>
    <w:p>
      <w:pPr>
        <w:spacing w:after="0" w:line="177" w:lineRule="exact"/>
        <w:rPr>
          <w:sz w:val="20"/>
          <w:szCs w:val="20"/>
          <w:color w:val="auto"/>
        </w:rPr>
      </w:pPr>
    </w:p>
    <w:p>
      <w:pPr>
        <w:jc w:val="both"/>
        <w:ind w:firstLine="689"/>
        <w:spacing w:after="0" w:line="291" w:lineRule="auto"/>
        <w:rPr>
          <w:sz w:val="20"/>
          <w:szCs w:val="20"/>
          <w:color w:val="auto"/>
        </w:rPr>
      </w:pPr>
      <w:r>
        <w:rPr>
          <w:rFonts w:ascii="Arial" w:cs="Arial" w:eastAsia="Arial" w:hAnsi="Arial"/>
          <w:sz w:val="18"/>
          <w:szCs w:val="18"/>
          <w:color w:val="auto"/>
        </w:rPr>
        <w:t>Net changes in foreign currency exchange rates had a favorable impact on gross sales in the Monster Energy® Drinks segment of approximately $20.2 million for the three-months ended June 30, 2018. Net changes in foreign currency exchange rates had a favorable impact on gross sales in the Strategic Brands segment of approximately $1.3 million for the three-months ended June 30, 2018.</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$2.18 billion for the six-months ended June 30, 2018, an increase of approximately $297.4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15.8% higher than gross sales of $1.88 billion for the six-months ended June 30, 2017. Gross sales of our Monster Energy® brand energy drinks were $1.97 billion for the six-months ended June 30, 2018, an increase of $289.4 million, or 17.2% higher than gross sales of $1.68 billion for the six-months ended June 30, 2017. Gross sales of our Monster Energy® brand energy drinks increased partially due to increased sales by volume as a result of increased domestic and international consumer demand. Gross sales of our Strategic Brands were $168.3 million for the six-months ended June 30, 2018, an increase of $5.0 million, or 3.1% higher than gross sales of $163.3 million for the six-months ended June 30, 2017. Gross sales of our AFF Third-Party Products were $11.3 million for the six-months ended June 30, 2018, a decrease of $0.4 million, or 3.7% lower than gross sales of $11.7 million for the six-months ended June 30, 2017. No other individual product line contributed either a material increase or decrease to net sales for the six-months ended June 30, 2018. Promotional and other allowances, as described in the footnote below, were $315.1 million for the six-months ended June 30, 2018, an increase of $79.8 million, or 33.9% higher than promotional and other allowances of $235.3 million for the six-months ended June 30, 2017. Promotional and other allowances as a percentage of gross sales increased to 14.4% from 12.5% for the six-months ended June 30, 2018 and 2017, respectively, partially due to an increase in commissions of $22.2 million included in net sales related to the adoption of ASC 606 described above.</w:t>
      </w:r>
    </w:p>
    <w:p>
      <w:pPr>
        <w:spacing w:after="0" w:line="187" w:lineRule="exact"/>
        <w:rPr>
          <w:sz w:val="20"/>
          <w:szCs w:val="20"/>
          <w:color w:val="auto"/>
        </w:rPr>
      </w:pPr>
    </w:p>
    <w:p>
      <w:pPr>
        <w:jc w:val="both"/>
        <w:ind w:firstLine="689"/>
        <w:spacing w:after="0" w:line="269" w:lineRule="auto"/>
        <w:rPr>
          <w:sz w:val="20"/>
          <w:szCs w:val="20"/>
          <w:color w:val="auto"/>
        </w:rPr>
      </w:pPr>
      <w:r>
        <w:rPr>
          <w:rFonts w:ascii="Arial" w:cs="Arial" w:eastAsia="Arial" w:hAnsi="Arial"/>
          <w:sz w:val="19"/>
          <w:szCs w:val="19"/>
          <w:color w:val="auto"/>
        </w:rPr>
        <w:t>Net changes in foreign currency exchange rates had a favorable impact on gross sales in the Monster Energy® Drinks segment of approximately $40.0 million for the six-months ended June 30, 2018. Net changes in foreign currency exchange rates had a favorable impact on gross sales in the Strategic Brands segment of approximately $3.6 million for the six-months ended June 30, 2018.</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5"/>
          </w:tcPr>
          <w:p>
            <w:pPr>
              <w:ind w:left="260"/>
              <w:spacing w:after="0"/>
              <w:rPr>
                <w:sz w:val="20"/>
                <w:szCs w:val="20"/>
                <w:color w:val="auto"/>
              </w:rPr>
            </w:pPr>
            <w:r>
              <w:rPr>
                <w:rFonts w:ascii="Arial" w:cs="Arial" w:eastAsia="Arial" w:hAnsi="Arial"/>
                <w:sz w:val="20"/>
                <w:szCs w:val="20"/>
                <w:color w:val="auto"/>
              </w:rPr>
              <w:t>Three-Months Ended</w:t>
            </w:r>
          </w:p>
        </w:tc>
        <w:tc>
          <w:tcPr>
            <w:tcW w:w="1380" w:type="dxa"/>
            <w:vAlign w:val="bottom"/>
            <w:gridSpan w:val="2"/>
          </w:tcPr>
          <w:p>
            <w:pPr>
              <w:jc w:val="center"/>
              <w:ind w:right="220"/>
              <w:spacing w:after="0"/>
              <w:rPr>
                <w:sz w:val="20"/>
                <w:szCs w:val="20"/>
                <w:color w:val="auto"/>
              </w:rPr>
            </w:pPr>
            <w:r>
              <w:rPr>
                <w:rFonts w:ascii="Arial" w:cs="Arial" w:eastAsia="Arial" w:hAnsi="Arial"/>
                <w:sz w:val="20"/>
                <w:szCs w:val="20"/>
                <w:color w:val="auto"/>
                <w:w w:val="85"/>
              </w:rPr>
              <w:t>Percentage</w:t>
            </w:r>
          </w:p>
        </w:tc>
        <w:tc>
          <w:tcPr>
            <w:tcW w:w="300" w:type="dxa"/>
            <w:vAlign w:val="bottom"/>
          </w:tcPr>
          <w:p>
            <w:pPr>
              <w:spacing w:after="0"/>
              <w:rPr>
                <w:sz w:val="19"/>
                <w:szCs w:val="19"/>
                <w:color w:val="auto"/>
              </w:rPr>
            </w:pPr>
          </w:p>
        </w:tc>
        <w:tc>
          <w:tcPr>
            <w:tcW w:w="2640" w:type="dxa"/>
            <w:vAlign w:val="bottom"/>
            <w:gridSpan w:val="5"/>
          </w:tcPr>
          <w:p>
            <w:pPr>
              <w:jc w:val="right"/>
              <w:ind w:right="840"/>
              <w:spacing w:after="0"/>
              <w:rPr>
                <w:sz w:val="20"/>
                <w:szCs w:val="20"/>
                <w:color w:val="auto"/>
              </w:rPr>
            </w:pPr>
            <w:r>
              <w:rPr>
                <w:rFonts w:ascii="Arial" w:cs="Arial" w:eastAsia="Arial" w:hAnsi="Arial"/>
                <w:sz w:val="20"/>
                <w:szCs w:val="20"/>
                <w:color w:val="auto"/>
              </w:rPr>
              <w:t>Six-Months Ended</w:t>
            </w:r>
          </w:p>
        </w:tc>
        <w:tc>
          <w:tcPr>
            <w:tcW w:w="1160" w:type="dxa"/>
            <w:vAlign w:val="bottom"/>
            <w:gridSpan w:val="2"/>
          </w:tcPr>
          <w:p>
            <w:pPr>
              <w:jc w:val="center"/>
              <w:ind w:right="20"/>
              <w:spacing w:after="0"/>
              <w:rPr>
                <w:sz w:val="20"/>
                <w:szCs w:val="20"/>
                <w:color w:val="auto"/>
              </w:rPr>
            </w:pPr>
            <w:r>
              <w:rPr>
                <w:rFonts w:ascii="Arial" w:cs="Arial" w:eastAsia="Arial" w:hAnsi="Arial"/>
                <w:sz w:val="20"/>
                <w:szCs w:val="20"/>
                <w:color w:val="auto"/>
                <w:w w:val="84"/>
              </w:rPr>
              <w:t>Percentage</w:t>
            </w:r>
          </w:p>
        </w:tc>
        <w:tc>
          <w:tcPr>
            <w:tcW w:w="0" w:type="dxa"/>
            <w:vAlign w:val="bottom"/>
          </w:tcPr>
          <w:p>
            <w:pPr>
              <w:spacing w:after="0"/>
              <w:rPr>
                <w:sz w:val="1"/>
                <w:szCs w:val="1"/>
                <w:color w:val="auto"/>
              </w:rPr>
            </w:pPr>
          </w:p>
        </w:tc>
      </w:tr>
      <w:tr>
        <w:trPr>
          <w:trHeight w:val="246"/>
        </w:trPr>
        <w:tc>
          <w:tcPr>
            <w:tcW w:w="2880" w:type="dxa"/>
            <w:vAlign w:val="bottom"/>
          </w:tcPr>
          <w:p>
            <w:pPr>
              <w:spacing w:after="0"/>
              <w:rPr>
                <w:sz w:val="20"/>
                <w:szCs w:val="20"/>
                <w:color w:val="auto"/>
              </w:rPr>
            </w:pPr>
            <w:r>
              <w:rPr>
                <w:rFonts w:ascii="Arial" w:cs="Arial" w:eastAsia="Arial" w:hAnsi="Arial"/>
                <w:sz w:val="20"/>
                <w:szCs w:val="20"/>
                <w:color w:val="auto"/>
              </w:rPr>
              <w:t>(In thousands)</w:t>
            </w:r>
          </w:p>
        </w:tc>
        <w:tc>
          <w:tcPr>
            <w:tcW w:w="280" w:type="dxa"/>
            <w:vAlign w:val="bottom"/>
          </w:tcPr>
          <w:p>
            <w:pPr>
              <w:spacing w:after="0"/>
              <w:rPr>
                <w:sz w:val="21"/>
                <w:szCs w:val="21"/>
                <w:color w:val="auto"/>
              </w:rPr>
            </w:pPr>
          </w:p>
        </w:tc>
        <w:tc>
          <w:tcPr>
            <w:tcW w:w="1540" w:type="dxa"/>
            <w:vAlign w:val="bottom"/>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20"/>
                <w:szCs w:val="20"/>
                <w:color w:val="auto"/>
                <w:w w:val="85"/>
              </w:rPr>
              <w:t>Change</w:t>
            </w:r>
          </w:p>
        </w:tc>
        <w:tc>
          <w:tcPr>
            <w:tcW w:w="300" w:type="dxa"/>
            <w:vAlign w:val="bottom"/>
          </w:tcPr>
          <w:p>
            <w:pPr>
              <w:spacing w:after="0"/>
              <w:rPr>
                <w:sz w:val="21"/>
                <w:szCs w:val="21"/>
                <w:color w:val="auto"/>
              </w:rPr>
            </w:pPr>
          </w:p>
        </w:tc>
        <w:tc>
          <w:tcPr>
            <w:tcW w:w="1500" w:type="dxa"/>
            <w:vAlign w:val="bottom"/>
            <w:gridSpan w:val="3"/>
          </w:tcPr>
          <w:p>
            <w:pPr>
              <w:jc w:val="right"/>
              <w:ind w:right="1"/>
              <w:spacing w:after="0"/>
              <w:rPr>
                <w:sz w:val="20"/>
                <w:szCs w:val="20"/>
                <w:color w:val="auto"/>
              </w:rPr>
            </w:pPr>
            <w:r>
              <w:rPr>
                <w:rFonts w:ascii="Arial" w:cs="Arial" w:eastAsia="Arial" w:hAnsi="Arial"/>
                <w:sz w:val="20"/>
                <w:szCs w:val="20"/>
                <w:color w:val="auto"/>
              </w:rPr>
              <w:t>June 30,</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20"/>
                <w:szCs w:val="20"/>
                <w:color w:val="auto"/>
                <w:w w:val="85"/>
              </w:rPr>
              <w:t>Change</w:t>
            </w:r>
          </w:p>
        </w:tc>
        <w:tc>
          <w:tcPr>
            <w:tcW w:w="0" w:type="dxa"/>
            <w:vAlign w:val="bottom"/>
          </w:tcPr>
          <w:p>
            <w:pPr>
              <w:spacing w:after="0"/>
              <w:rPr>
                <w:sz w:val="1"/>
                <w:szCs w:val="1"/>
                <w:color w:val="auto"/>
              </w:rPr>
            </w:pPr>
          </w:p>
        </w:tc>
      </w:tr>
      <w:tr>
        <w:trPr>
          <w:trHeight w:val="223"/>
        </w:trPr>
        <w:tc>
          <w:tcPr>
            <w:tcW w:w="2880" w:type="dxa"/>
            <w:vAlign w:val="bottom"/>
            <w:vMerge w:val="restart"/>
          </w:tcPr>
          <w:p>
            <w:pPr>
              <w:spacing w:after="0"/>
              <w:rPr>
                <w:sz w:val="20"/>
                <w:szCs w:val="20"/>
                <w:color w:val="auto"/>
              </w:rPr>
            </w:pPr>
            <w:r>
              <w:rPr>
                <w:rFonts w:ascii="Arial" w:cs="Arial" w:eastAsia="Arial" w:hAnsi="Arial"/>
                <w:sz w:val="20"/>
                <w:szCs w:val="20"/>
                <w:color w:val="auto"/>
                <w:w w:val="96"/>
              </w:rPr>
              <w:t>Gross sales, net of discounts and</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2018</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2017</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18 vs. 17</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2018</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18 vs. 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20"/>
                <w:szCs w:val="20"/>
                <w:color w:val="auto"/>
              </w:rPr>
              <w:t>returns</w:t>
            </w: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1,191,251</w:t>
            </w:r>
          </w:p>
        </w:tc>
        <w:tc>
          <w:tcPr>
            <w:tcW w:w="240" w:type="dxa"/>
            <w:vAlign w:val="bottom"/>
          </w:tcPr>
          <w:p>
            <w:pPr>
              <w:spacing w:after="0"/>
              <w:rPr>
                <w:sz w:val="19"/>
                <w:szCs w:val="19"/>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20"/>
                <w:szCs w:val="20"/>
                <w:color w:val="auto"/>
              </w:rPr>
              <w:t>1,038,970</w:t>
            </w:r>
          </w:p>
        </w:tc>
        <w:tc>
          <w:tcPr>
            <w:tcW w:w="1380" w:type="dxa"/>
            <w:vAlign w:val="bottom"/>
            <w:gridSpan w:val="2"/>
          </w:tcPr>
          <w:p>
            <w:pPr>
              <w:jc w:val="right"/>
              <w:ind w:right="220"/>
              <w:spacing w:after="0"/>
              <w:rPr>
                <w:sz w:val="20"/>
                <w:szCs w:val="20"/>
                <w:color w:val="auto"/>
              </w:rPr>
            </w:pPr>
            <w:r>
              <w:rPr>
                <w:rFonts w:ascii="Arial" w:cs="Arial" w:eastAsia="Arial" w:hAnsi="Arial"/>
                <w:sz w:val="20"/>
                <w:szCs w:val="20"/>
                <w:color w:val="auto"/>
              </w:rPr>
              <w:t>14.7%</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2,181,890</w:t>
            </w:r>
          </w:p>
        </w:tc>
        <w:tc>
          <w:tcPr>
            <w:tcW w:w="220" w:type="dxa"/>
            <w:vAlign w:val="bottom"/>
          </w:tcPr>
          <w:p>
            <w:pPr>
              <w:spacing w:after="0"/>
              <w:rPr>
                <w:sz w:val="19"/>
                <w:szCs w:val="19"/>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1,884,518</w:t>
            </w: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15.8%</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20"/>
                <w:szCs w:val="20"/>
                <w:color w:val="auto"/>
              </w:rPr>
              <w:t>Less: Promotional and other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180"/>
              <w:spacing w:after="0"/>
              <w:rPr>
                <w:sz w:val="20"/>
                <w:szCs w:val="20"/>
                <w:color w:val="auto"/>
              </w:rPr>
            </w:pPr>
            <w:r>
              <w:rPr>
                <w:rFonts w:ascii="Arial" w:cs="Arial" w:eastAsia="Arial" w:hAnsi="Arial"/>
                <w:sz w:val="20"/>
                <w:szCs w:val="20"/>
                <w:color w:val="auto"/>
              </w:rPr>
              <w:t>allowances***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20"/>
                <w:szCs w:val="20"/>
                <w:color w:val="auto"/>
              </w:rPr>
              <w:t>175,378</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20"/>
                <w:szCs w:val="20"/>
                <w:color w:val="auto"/>
              </w:rPr>
              <w:t>131,902</w:t>
            </w:r>
          </w:p>
        </w:tc>
        <w:tc>
          <w:tcPr>
            <w:tcW w:w="1380" w:type="dxa"/>
            <w:vAlign w:val="bottom"/>
            <w:gridSpan w:val="2"/>
          </w:tcPr>
          <w:p>
            <w:pPr>
              <w:jc w:val="right"/>
              <w:ind w:right="220"/>
              <w:spacing w:after="0"/>
              <w:rPr>
                <w:sz w:val="20"/>
                <w:szCs w:val="20"/>
                <w:color w:val="auto"/>
              </w:rPr>
            </w:pPr>
            <w:r>
              <w:rPr>
                <w:rFonts w:ascii="Arial" w:cs="Arial" w:eastAsia="Arial" w:hAnsi="Arial"/>
                <w:sz w:val="20"/>
                <w:szCs w:val="20"/>
                <w:color w:val="auto"/>
              </w:rPr>
              <w:t>33.0%</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315,097</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20"/>
                <w:szCs w:val="20"/>
                <w:color w:val="auto"/>
              </w:rPr>
              <w:t>235,304</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33.9%</w:t>
            </w:r>
          </w:p>
        </w:tc>
        <w:tc>
          <w:tcPr>
            <w:tcW w:w="0" w:type="dxa"/>
            <w:vAlign w:val="bottom"/>
          </w:tcPr>
          <w:p>
            <w:pPr>
              <w:spacing w:after="0"/>
              <w:rPr>
                <w:sz w:val="1"/>
                <w:szCs w:val="1"/>
                <w:color w:val="auto"/>
              </w:rPr>
            </w:pPr>
          </w:p>
        </w:tc>
      </w:tr>
      <w:tr>
        <w:trPr>
          <w:trHeight w:val="230"/>
        </w:trPr>
        <w:tc>
          <w:tcPr>
            <w:tcW w:w="2880" w:type="dxa"/>
            <w:vAlign w:val="bottom"/>
          </w:tcPr>
          <w:p>
            <w:pPr>
              <w:spacing w:after="0" w:line="220" w:lineRule="exact"/>
              <w:rPr>
                <w:sz w:val="20"/>
                <w:szCs w:val="20"/>
                <w:color w:val="auto"/>
              </w:rPr>
            </w:pPr>
            <w:r>
              <w:rPr>
                <w:rFonts w:ascii="Arial" w:cs="Arial" w:eastAsia="Arial" w:hAnsi="Arial"/>
                <w:sz w:val="20"/>
                <w:szCs w:val="20"/>
                <w:color w:val="auto"/>
              </w:rPr>
              <w:t>Net Sales</w:t>
            </w:r>
          </w:p>
        </w:tc>
        <w:tc>
          <w:tcPr>
            <w:tcW w:w="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1,015,873</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907,068</w:t>
            </w: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20"/>
                <w:szCs w:val="20"/>
                <w:color w:val="auto"/>
              </w:rPr>
              <w:t>12.0%</w:t>
            </w:r>
          </w:p>
        </w:tc>
        <w:tc>
          <w:tcPr>
            <w:tcW w:w="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1,866,793</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1,649,214</w:t>
            </w: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324"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 (i) discounts granted off list prices to support price promotions to end-consumers by retailers; (ii) reimbursements given to the Company’s bottlers/distributors for agreed</w:t>
      </w:r>
    </w:p>
    <w:p>
      <w:pPr>
        <w:sectPr>
          <w:pgSz w:w="11900" w:h="16879" w:orient="portrait"/>
          <w:cols w:equalWidth="0" w:num="1">
            <w:col w:w="11420"/>
          </w:cols>
          <w:pgMar w:left="240" w:top="352" w:right="239" w:bottom="0" w:gutter="0" w:footer="0" w:header="0"/>
        </w:sectPr>
      </w:pPr>
    </w:p>
    <w:bookmarkStart w:id="27" w:name="page28"/>
    <w:bookmarkEnd w:id="27"/>
    <w:p>
      <w:pPr>
        <w:jc w:val="both"/>
        <w:spacing w:after="0" w:line="287" w:lineRule="auto"/>
        <w:rPr>
          <w:sz w:val="20"/>
          <w:szCs w:val="20"/>
          <w:color w:val="auto"/>
        </w:rPr>
      </w:pPr>
      <w:r>
        <w:rPr>
          <w:rFonts w:ascii="Arial" w:cs="Arial" w:eastAsia="Arial" w:hAnsi="Arial"/>
          <w:sz w:val="15"/>
          <w:szCs w:val="15"/>
          <w:i w:val="1"/>
          <w:iCs w:val="1"/>
          <w:color w:val="auto"/>
        </w:rPr>
        <w:t>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 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 and six-months ended June 30, 2018 and 2017 were (i) to increase sales volume and trial, (ii) to address market conditions, and (iii) to secure shelf and display space at retail.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table below discloses selected quarterly data regarding sales for the three- and six-months ended June 30, 2018 and 2017, respectively. Data from any one or more quarters or periods is not necessarily indicative of annual results or continuing trends.</w:t>
      </w:r>
    </w:p>
    <w:p>
      <w:pPr>
        <w:spacing w:after="0" w:line="16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700" w:type="dxa"/>
            <w:vAlign w:val="bottom"/>
            <w:gridSpan w:val="3"/>
          </w:tcPr>
          <w:p>
            <w:pPr>
              <w:spacing w:after="0"/>
              <w:rPr>
                <w:sz w:val="20"/>
                <w:szCs w:val="20"/>
                <w:color w:val="auto"/>
              </w:rPr>
            </w:pPr>
            <w:r>
              <w:rPr>
                <w:rFonts w:ascii="Arial" w:cs="Arial" w:eastAsia="Arial" w:hAnsi="Arial"/>
                <w:sz w:val="22"/>
                <w:szCs w:val="22"/>
                <w:color w:val="auto"/>
              </w:rPr>
              <w:t>(In thousands, except average</w:t>
            </w:r>
          </w:p>
        </w:tc>
        <w:tc>
          <w:tcPr>
            <w:tcW w:w="360" w:type="dxa"/>
            <w:vAlign w:val="bottom"/>
          </w:tcPr>
          <w:p>
            <w:pPr>
              <w:spacing w:after="0"/>
              <w:rPr>
                <w:sz w:val="24"/>
                <w:szCs w:val="24"/>
                <w:color w:val="auto"/>
              </w:rPr>
            </w:pPr>
          </w:p>
        </w:tc>
        <w:tc>
          <w:tcPr>
            <w:tcW w:w="3100" w:type="dxa"/>
            <w:vAlign w:val="bottom"/>
            <w:gridSpan w:val="5"/>
          </w:tcPr>
          <w:p>
            <w:pPr>
              <w:ind w:left="320"/>
              <w:spacing w:after="0"/>
              <w:rPr>
                <w:sz w:val="20"/>
                <w:szCs w:val="20"/>
                <w:color w:val="auto"/>
              </w:rPr>
            </w:pPr>
            <w:r>
              <w:rPr>
                <w:rFonts w:ascii="Arial" w:cs="Arial" w:eastAsia="Arial" w:hAnsi="Arial"/>
                <w:sz w:val="22"/>
                <w:szCs w:val="22"/>
                <w:color w:val="auto"/>
              </w:rPr>
              <w:t>Three-Months Ended</w:t>
            </w:r>
          </w:p>
        </w:tc>
        <w:tc>
          <w:tcPr>
            <w:tcW w:w="340" w:type="dxa"/>
            <w:vAlign w:val="bottom"/>
          </w:tcPr>
          <w:p>
            <w:pPr>
              <w:spacing w:after="0"/>
              <w:rPr>
                <w:sz w:val="24"/>
                <w:szCs w:val="24"/>
                <w:color w:val="auto"/>
              </w:rPr>
            </w:pPr>
          </w:p>
        </w:tc>
        <w:tc>
          <w:tcPr>
            <w:tcW w:w="2820" w:type="dxa"/>
            <w:vAlign w:val="bottom"/>
            <w:gridSpan w:val="4"/>
          </w:tcPr>
          <w:p>
            <w:pPr>
              <w:jc w:val="right"/>
              <w:ind w:right="672"/>
              <w:spacing w:after="0"/>
              <w:rPr>
                <w:sz w:val="20"/>
                <w:szCs w:val="20"/>
                <w:color w:val="auto"/>
              </w:rPr>
            </w:pPr>
            <w:r>
              <w:rPr>
                <w:rFonts w:ascii="Arial" w:cs="Arial" w:eastAsia="Arial" w:hAnsi="Arial"/>
                <w:sz w:val="22"/>
                <w:szCs w:val="22"/>
                <w:color w:val="auto"/>
              </w:rPr>
              <w:t>Six-Months Ended</w:t>
            </w:r>
          </w:p>
        </w:tc>
        <w:tc>
          <w:tcPr>
            <w:tcW w:w="0" w:type="dxa"/>
            <w:vAlign w:val="bottom"/>
          </w:tcPr>
          <w:p>
            <w:pPr>
              <w:spacing w:after="0"/>
              <w:rPr>
                <w:sz w:val="1"/>
                <w:szCs w:val="1"/>
                <w:color w:val="auto"/>
              </w:rPr>
            </w:pPr>
          </w:p>
        </w:tc>
      </w:tr>
      <w:tr>
        <w:trPr>
          <w:trHeight w:val="265"/>
        </w:trPr>
        <w:tc>
          <w:tcPr>
            <w:tcW w:w="446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net sales per case)</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22"/>
                <w:szCs w:val="22"/>
                <w:color w:val="auto"/>
              </w:rPr>
              <w:t>June 30,</w:t>
            </w:r>
          </w:p>
        </w:tc>
        <w:tc>
          <w:tcPr>
            <w:tcW w:w="110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June 30,</w:t>
            </w: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gridSpan w:val="3"/>
            <w:vMerge w:val="restart"/>
          </w:tcPr>
          <w:p>
            <w:pPr>
              <w:spacing w:after="0"/>
              <w:rPr>
                <w:sz w:val="20"/>
                <w:szCs w:val="20"/>
                <w:color w:val="auto"/>
              </w:rPr>
            </w:pPr>
            <w:r>
              <w:rPr>
                <w:rFonts w:ascii="Arial" w:cs="Arial" w:eastAsia="Arial" w:hAnsi="Arial"/>
                <w:sz w:val="22"/>
                <w:szCs w:val="22"/>
                <w:color w:val="auto"/>
              </w:rPr>
              <w:t>Net sales</w:t>
            </w:r>
            <w:r>
              <w:rPr>
                <w:rFonts w:ascii="Arial" w:cs="Arial" w:eastAsia="Arial" w:hAnsi="Arial"/>
                <w:sz w:val="11"/>
                <w:szCs w:val="11"/>
                <w:color w:val="auto"/>
              </w:rPr>
              <w:t>1</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2"/>
              <w:spacing w:after="0" w:line="237" w:lineRule="exact"/>
              <w:rPr>
                <w:sz w:val="20"/>
                <w:szCs w:val="20"/>
                <w:color w:val="auto"/>
              </w:rPr>
            </w:pPr>
            <w:r>
              <w:rPr>
                <w:rFonts w:ascii="Arial" w:cs="Arial" w:eastAsia="Arial" w:hAnsi="Arial"/>
                <w:sz w:val="22"/>
                <w:szCs w:val="22"/>
                <w:color w:val="auto"/>
              </w:rPr>
              <w:t>2018</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2"/>
              <w:spacing w:after="0" w:line="237" w:lineRule="exact"/>
              <w:rPr>
                <w:sz w:val="20"/>
                <w:szCs w:val="20"/>
                <w:color w:val="auto"/>
              </w:rPr>
            </w:pPr>
            <w:r>
              <w:rPr>
                <w:rFonts w:ascii="Arial" w:cs="Arial" w:eastAsia="Arial" w:hAnsi="Arial"/>
                <w:sz w:val="22"/>
                <w:szCs w:val="22"/>
                <w:color w:val="auto"/>
              </w:rPr>
              <w:t>2017</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2"/>
              <w:spacing w:after="0" w:line="237" w:lineRule="exact"/>
              <w:rPr>
                <w:sz w:val="20"/>
                <w:szCs w:val="20"/>
                <w:color w:val="auto"/>
              </w:rPr>
            </w:pPr>
            <w:r>
              <w:rPr>
                <w:rFonts w:ascii="Arial" w:cs="Arial" w:eastAsia="Arial" w:hAnsi="Arial"/>
                <w:sz w:val="22"/>
                <w:szCs w:val="22"/>
                <w:color w:val="auto"/>
              </w:rPr>
              <w:t>2018</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2"/>
              <w:spacing w:after="0" w:line="237" w:lineRule="exact"/>
              <w:rPr>
                <w:sz w:val="20"/>
                <w:szCs w:val="20"/>
                <w:color w:val="auto"/>
              </w:rPr>
            </w:pPr>
            <w:r>
              <w:rPr>
                <w:rFonts w:ascii="Arial" w:cs="Arial" w:eastAsia="Arial" w:hAnsi="Arial"/>
                <w:sz w:val="22"/>
                <w:szCs w:val="22"/>
                <w:color w:val="auto"/>
              </w:rPr>
              <w:t>2017</w:t>
            </w:r>
          </w:p>
        </w:tc>
        <w:tc>
          <w:tcPr>
            <w:tcW w:w="0" w:type="dxa"/>
            <w:vAlign w:val="bottom"/>
          </w:tcPr>
          <w:p>
            <w:pPr>
              <w:spacing w:after="0"/>
              <w:rPr>
                <w:sz w:val="1"/>
                <w:szCs w:val="1"/>
                <w:color w:val="auto"/>
              </w:rPr>
            </w:pPr>
          </w:p>
        </w:tc>
      </w:tr>
      <w:tr>
        <w:trPr>
          <w:trHeight w:val="215"/>
        </w:trPr>
        <w:tc>
          <w:tcPr>
            <w:tcW w:w="4700" w:type="dxa"/>
            <w:vAlign w:val="bottom"/>
            <w:gridSpan w:val="3"/>
            <w:vMerge w:val="continue"/>
          </w:tcPr>
          <w:p>
            <w:pPr>
              <w:spacing w:after="0"/>
              <w:rPr>
                <w:sz w:val="18"/>
                <w:szCs w:val="18"/>
                <w:color w:val="auto"/>
              </w:rPr>
            </w:pPr>
          </w:p>
        </w:tc>
        <w:tc>
          <w:tcPr>
            <w:tcW w:w="360" w:type="dxa"/>
            <w:vAlign w:val="bottom"/>
          </w:tcPr>
          <w:p>
            <w:pPr>
              <w:jc w:val="right"/>
              <w:ind w:right="72"/>
              <w:spacing w:after="0" w:line="216" w:lineRule="exact"/>
              <w:rPr>
                <w:sz w:val="20"/>
                <w:szCs w:val="20"/>
                <w:color w:val="auto"/>
              </w:rPr>
            </w:pPr>
            <w:r>
              <w:rPr>
                <w:rFonts w:ascii="Arial" w:cs="Arial" w:eastAsia="Arial" w:hAnsi="Arial"/>
                <w:sz w:val="22"/>
                <w:szCs w:val="22"/>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22"/>
                <w:szCs w:val="22"/>
                <w:color w:val="auto"/>
              </w:rPr>
              <w:t>1,015,873</w:t>
            </w:r>
          </w:p>
        </w:tc>
        <w:tc>
          <w:tcPr>
            <w:tcW w:w="220" w:type="dxa"/>
            <w:vAlign w:val="bottom"/>
          </w:tcPr>
          <w:p>
            <w:pPr>
              <w:spacing w:after="0"/>
              <w:rPr>
                <w:sz w:val="18"/>
                <w:szCs w:val="18"/>
                <w:color w:val="auto"/>
              </w:rPr>
            </w:pPr>
          </w:p>
        </w:tc>
        <w:tc>
          <w:tcPr>
            <w:tcW w:w="400" w:type="dxa"/>
            <w:vAlign w:val="bottom"/>
          </w:tcPr>
          <w:p>
            <w:pPr>
              <w:jc w:val="right"/>
              <w:ind w:right="112"/>
              <w:spacing w:after="0" w:line="216" w:lineRule="exact"/>
              <w:rPr>
                <w:sz w:val="20"/>
                <w:szCs w:val="20"/>
                <w:color w:val="auto"/>
              </w:rPr>
            </w:pPr>
            <w:r>
              <w:rPr>
                <w:rFonts w:ascii="Arial" w:cs="Arial" w:eastAsia="Arial" w:hAnsi="Arial"/>
                <w:sz w:val="22"/>
                <w:szCs w:val="22"/>
                <w:color w:val="auto"/>
              </w:rPr>
              <w:t>$</w:t>
            </w:r>
          </w:p>
        </w:tc>
        <w:tc>
          <w:tcPr>
            <w:tcW w:w="1100" w:type="dxa"/>
            <w:vAlign w:val="bottom"/>
          </w:tcPr>
          <w:p>
            <w:pPr>
              <w:jc w:val="right"/>
              <w:spacing w:after="0" w:line="216" w:lineRule="exact"/>
              <w:rPr>
                <w:sz w:val="20"/>
                <w:szCs w:val="20"/>
                <w:color w:val="auto"/>
              </w:rPr>
            </w:pPr>
            <w:r>
              <w:rPr>
                <w:rFonts w:ascii="Arial" w:cs="Arial" w:eastAsia="Arial" w:hAnsi="Arial"/>
                <w:sz w:val="22"/>
                <w:szCs w:val="22"/>
                <w:color w:val="auto"/>
              </w:rPr>
              <w:t>907,068</w:t>
            </w:r>
          </w:p>
        </w:tc>
        <w:tc>
          <w:tcPr>
            <w:tcW w:w="240" w:type="dxa"/>
            <w:vAlign w:val="bottom"/>
          </w:tcPr>
          <w:p>
            <w:pPr>
              <w:spacing w:after="0"/>
              <w:rPr>
                <w:sz w:val="18"/>
                <w:szCs w:val="18"/>
                <w:color w:val="auto"/>
              </w:rPr>
            </w:pPr>
          </w:p>
        </w:tc>
        <w:tc>
          <w:tcPr>
            <w:tcW w:w="340" w:type="dxa"/>
            <w:vAlign w:val="bottom"/>
          </w:tcPr>
          <w:p>
            <w:pPr>
              <w:jc w:val="right"/>
              <w:ind w:right="52"/>
              <w:spacing w:after="0" w:line="216" w:lineRule="exact"/>
              <w:rPr>
                <w:sz w:val="20"/>
                <w:szCs w:val="20"/>
                <w:color w:val="auto"/>
              </w:rPr>
            </w:pPr>
            <w:r>
              <w:rPr>
                <w:rFonts w:ascii="Arial" w:cs="Arial" w:eastAsia="Arial" w:hAnsi="Arial"/>
                <w:sz w:val="22"/>
                <w:szCs w:val="22"/>
                <w:color w:val="auto"/>
              </w:rPr>
              <w:t>$</w:t>
            </w:r>
          </w:p>
        </w:tc>
        <w:tc>
          <w:tcPr>
            <w:tcW w:w="1120" w:type="dxa"/>
            <w:vAlign w:val="bottom"/>
          </w:tcPr>
          <w:p>
            <w:pPr>
              <w:jc w:val="right"/>
              <w:spacing w:after="0" w:line="216" w:lineRule="exact"/>
              <w:rPr>
                <w:sz w:val="20"/>
                <w:szCs w:val="20"/>
                <w:color w:val="auto"/>
              </w:rPr>
            </w:pPr>
            <w:r>
              <w:rPr>
                <w:rFonts w:ascii="Arial" w:cs="Arial" w:eastAsia="Arial" w:hAnsi="Arial"/>
                <w:sz w:val="22"/>
                <w:szCs w:val="22"/>
                <w:color w:val="auto"/>
              </w:rPr>
              <w:t>1,866,793</w:t>
            </w:r>
          </w:p>
        </w:tc>
        <w:tc>
          <w:tcPr>
            <w:tcW w:w="220" w:type="dxa"/>
            <w:vAlign w:val="bottom"/>
          </w:tcPr>
          <w:p>
            <w:pPr>
              <w:spacing w:after="0"/>
              <w:rPr>
                <w:sz w:val="18"/>
                <w:szCs w:val="18"/>
                <w:color w:val="auto"/>
              </w:rPr>
            </w:pPr>
          </w:p>
        </w:tc>
        <w:tc>
          <w:tcPr>
            <w:tcW w:w="380" w:type="dxa"/>
            <w:vAlign w:val="bottom"/>
          </w:tcPr>
          <w:p>
            <w:pPr>
              <w:jc w:val="right"/>
              <w:ind w:right="92"/>
              <w:spacing w:after="0" w:line="216" w:lineRule="exact"/>
              <w:rPr>
                <w:sz w:val="20"/>
                <w:szCs w:val="20"/>
                <w:color w:val="auto"/>
              </w:rPr>
            </w:pPr>
            <w:r>
              <w:rPr>
                <w:rFonts w:ascii="Arial" w:cs="Arial" w:eastAsia="Arial" w:hAnsi="Arial"/>
                <w:sz w:val="22"/>
                <w:szCs w:val="22"/>
                <w:color w:val="auto"/>
              </w:rPr>
              <w:t>$</w:t>
            </w:r>
          </w:p>
        </w:tc>
        <w:tc>
          <w:tcPr>
            <w:tcW w:w="1100" w:type="dxa"/>
            <w:vAlign w:val="bottom"/>
          </w:tcPr>
          <w:p>
            <w:pPr>
              <w:jc w:val="right"/>
              <w:spacing w:after="0" w:line="216" w:lineRule="exact"/>
              <w:rPr>
                <w:sz w:val="20"/>
                <w:szCs w:val="20"/>
                <w:color w:val="auto"/>
              </w:rPr>
            </w:pPr>
            <w:r>
              <w:rPr>
                <w:rFonts w:ascii="Arial" w:cs="Arial" w:eastAsia="Arial" w:hAnsi="Arial"/>
                <w:sz w:val="22"/>
                <w:szCs w:val="22"/>
                <w:color w:val="auto"/>
              </w:rPr>
              <w:t>1,649,214</w:t>
            </w:r>
          </w:p>
        </w:tc>
        <w:tc>
          <w:tcPr>
            <w:tcW w:w="0" w:type="dxa"/>
            <w:vAlign w:val="bottom"/>
          </w:tcPr>
          <w:p>
            <w:pPr>
              <w:spacing w:after="0"/>
              <w:rPr>
                <w:sz w:val="1"/>
                <w:szCs w:val="1"/>
                <w:color w:val="auto"/>
              </w:rPr>
            </w:pPr>
          </w:p>
        </w:tc>
      </w:tr>
      <w:tr>
        <w:trPr>
          <w:trHeight w:val="243"/>
        </w:trPr>
        <w:tc>
          <w:tcPr>
            <w:tcW w:w="4700" w:type="dxa"/>
            <w:vAlign w:val="bottom"/>
            <w:gridSpan w:val="3"/>
          </w:tcPr>
          <w:p>
            <w:pPr>
              <w:spacing w:after="0" w:line="243" w:lineRule="exact"/>
              <w:rPr>
                <w:sz w:val="20"/>
                <w:szCs w:val="20"/>
                <w:color w:val="auto"/>
              </w:rPr>
            </w:pPr>
            <w:r>
              <w:rPr>
                <w:rFonts w:ascii="Arial" w:cs="Arial" w:eastAsia="Arial" w:hAnsi="Arial"/>
                <w:sz w:val="22"/>
                <w:szCs w:val="22"/>
                <w:color w:val="auto"/>
              </w:rPr>
              <w:t>Less: AFF third-party sales</w:t>
            </w:r>
          </w:p>
        </w:tc>
        <w:tc>
          <w:tcPr>
            <w:tcW w:w="3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(6,623)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(6,174)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(11,280)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(11,713)</w:t>
            </w:r>
          </w:p>
        </w:tc>
        <w:tc>
          <w:tcPr>
            <w:tcW w:w="0" w:type="dxa"/>
            <w:vAlign w:val="bottom"/>
          </w:tcPr>
          <w:p>
            <w:pPr>
              <w:spacing w:after="0"/>
              <w:rPr>
                <w:sz w:val="1"/>
                <w:szCs w:val="1"/>
                <w:color w:val="auto"/>
              </w:rPr>
            </w:pPr>
          </w:p>
        </w:tc>
      </w:tr>
      <w:tr>
        <w:trPr>
          <w:trHeight w:val="21"/>
        </w:trPr>
        <w:tc>
          <w:tcPr>
            <w:tcW w:w="4700" w:type="dxa"/>
            <w:vAlign w:val="bottom"/>
            <w:gridSpan w:val="3"/>
            <w:vMerge w:val="restart"/>
          </w:tcPr>
          <w:p>
            <w:pPr>
              <w:spacing w:after="0" w:line="278" w:lineRule="exact"/>
              <w:rPr>
                <w:sz w:val="20"/>
                <w:szCs w:val="20"/>
                <w:color w:val="auto"/>
              </w:rPr>
            </w:pPr>
            <w:r>
              <w:rPr>
                <w:rFonts w:ascii="Arial" w:cs="Arial" w:eastAsia="Arial" w:hAnsi="Arial"/>
                <w:sz w:val="22"/>
                <w:szCs w:val="22"/>
                <w:color w:val="auto"/>
              </w:rPr>
              <w:t>Adjusted net sales</w:t>
            </w:r>
            <w:r>
              <w:rPr>
                <w:rFonts w:ascii="Arial" w:cs="Arial" w:eastAsia="Arial" w:hAnsi="Arial"/>
                <w:sz w:val="28"/>
                <w:szCs w:val="28"/>
                <w:color w:val="auto"/>
                <w:vertAlign w:val="superscript"/>
              </w:rPr>
              <w:t>2</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00" w:type="dxa"/>
            <w:vAlign w:val="bottom"/>
            <w:gridSpan w:val="3"/>
            <w:vMerge w:val="continue"/>
          </w:tcPr>
          <w:p>
            <w:pPr>
              <w:spacing w:after="0"/>
              <w:rPr>
                <w:sz w:val="20"/>
                <w:szCs w:val="20"/>
                <w:color w:val="auto"/>
              </w:rPr>
            </w:pPr>
          </w:p>
        </w:tc>
        <w:tc>
          <w:tcPr>
            <w:tcW w:w="360" w:type="dxa"/>
            <w:vAlign w:val="bottom"/>
            <w:tcBorders>
              <w:bottom w:val="single" w:sz="8" w:color="auto"/>
            </w:tcBorders>
          </w:tcPr>
          <w:p>
            <w:pPr>
              <w:jc w:val="right"/>
              <w:ind w:right="72"/>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1,009,250</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right"/>
              <w:ind w:right="112"/>
              <w:spacing w:after="0" w:line="237"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900,894</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1,855,513</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ind w:right="92"/>
              <w:spacing w:after="0" w:line="237"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1,637,501</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line="216" w:lineRule="exact"/>
              <w:rPr>
                <w:sz w:val="20"/>
                <w:szCs w:val="20"/>
                <w:color w:val="auto"/>
              </w:rPr>
            </w:pPr>
            <w:r>
              <w:rPr>
                <w:rFonts w:ascii="Arial" w:cs="Arial" w:eastAsia="Arial" w:hAnsi="Arial"/>
                <w:sz w:val="22"/>
                <w:szCs w:val="22"/>
                <w:color w:val="auto"/>
              </w:rPr>
              <w:t>Case sales by segment: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7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Monster Energy® Drinks</w:t>
            </w:r>
          </w:p>
        </w:tc>
        <w:tc>
          <w:tcPr>
            <w:tcW w:w="3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90,827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78,323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165,939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142,103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Strategic Brands</w:t>
            </w:r>
          </w:p>
        </w:tc>
        <w:tc>
          <w:tcPr>
            <w:tcW w:w="3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19,230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18,910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36,433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35,122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Other</w:t>
            </w:r>
            <w:r>
              <w:rPr>
                <w:rFonts w:ascii="Arial" w:cs="Arial" w:eastAsia="Arial" w:hAnsi="Arial"/>
                <w:sz w:val="28"/>
                <w:szCs w:val="28"/>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
        </w:trPr>
        <w:tc>
          <w:tcPr>
            <w:tcW w:w="4700" w:type="dxa"/>
            <w:vAlign w:val="bottom"/>
            <w:gridSpan w:val="3"/>
            <w:vMerge w:val="restart"/>
          </w:tcPr>
          <w:p>
            <w:pPr>
              <w:spacing w:after="0"/>
              <w:rPr>
                <w:sz w:val="20"/>
                <w:szCs w:val="20"/>
                <w:color w:val="auto"/>
              </w:rPr>
            </w:pPr>
            <w:r>
              <w:rPr>
                <w:rFonts w:ascii="Arial" w:cs="Arial" w:eastAsia="Arial" w:hAnsi="Arial"/>
                <w:sz w:val="22"/>
                <w:szCs w:val="22"/>
                <w:color w:val="auto"/>
              </w:rPr>
              <w:t>Total case sales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7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22"/>
                <w:szCs w:val="22"/>
                <w:color w:val="auto"/>
              </w:rPr>
              <w:t>110,057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2"/>
                <w:szCs w:val="22"/>
                <w:color w:val="auto"/>
              </w:rPr>
              <w:t>97,233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22"/>
                <w:szCs w:val="22"/>
                <w:color w:val="auto"/>
              </w:rPr>
              <w:t>202,372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2"/>
                <w:szCs w:val="22"/>
                <w:color w:val="auto"/>
              </w:rPr>
              <w:t>177,225</w:t>
            </w:r>
          </w:p>
        </w:tc>
        <w:tc>
          <w:tcPr>
            <w:tcW w:w="0" w:type="dxa"/>
            <w:vAlign w:val="bottom"/>
          </w:tcPr>
          <w:p>
            <w:pPr>
              <w:spacing w:after="0"/>
              <w:rPr>
                <w:sz w:val="1"/>
                <w:szCs w:val="1"/>
                <w:color w:val="auto"/>
              </w:rPr>
            </w:pPr>
          </w:p>
        </w:tc>
      </w:tr>
      <w:tr>
        <w:trPr>
          <w:trHeight w:val="21"/>
        </w:trPr>
        <w:tc>
          <w:tcPr>
            <w:tcW w:w="4700" w:type="dxa"/>
            <w:vAlign w:val="bottom"/>
            <w:gridSpan w:val="3"/>
            <w:vMerge w:val="restart"/>
          </w:tcPr>
          <w:p>
            <w:pPr>
              <w:spacing w:after="0" w:line="278" w:lineRule="exact"/>
              <w:rPr>
                <w:sz w:val="20"/>
                <w:szCs w:val="20"/>
                <w:color w:val="auto"/>
              </w:rPr>
            </w:pPr>
            <w:r>
              <w:rPr>
                <w:rFonts w:ascii="Arial" w:cs="Arial" w:eastAsia="Arial" w:hAnsi="Arial"/>
                <w:sz w:val="22"/>
                <w:szCs w:val="22"/>
                <w:color w:val="auto"/>
              </w:rPr>
              <w:t>Average net sales per case</w:t>
            </w:r>
            <w:r>
              <w:rPr>
                <w:rFonts w:ascii="Arial" w:cs="Arial" w:eastAsia="Arial" w:hAnsi="Arial"/>
                <w:sz w:val="28"/>
                <w:szCs w:val="28"/>
                <w:color w:val="auto"/>
                <w:vertAlign w:val="superscript"/>
              </w:rPr>
              <w:t>3</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00" w:type="dxa"/>
            <w:vAlign w:val="bottom"/>
            <w:gridSpan w:val="3"/>
            <w:vMerge w:val="continue"/>
          </w:tcPr>
          <w:p>
            <w:pPr>
              <w:spacing w:after="0"/>
              <w:rPr>
                <w:sz w:val="20"/>
                <w:szCs w:val="20"/>
                <w:color w:val="auto"/>
              </w:rPr>
            </w:pPr>
          </w:p>
        </w:tc>
        <w:tc>
          <w:tcPr>
            <w:tcW w:w="360" w:type="dxa"/>
            <w:vAlign w:val="bottom"/>
            <w:tcBorders>
              <w:bottom w:val="single" w:sz="8" w:color="auto"/>
            </w:tcBorders>
          </w:tcPr>
          <w:p>
            <w:pPr>
              <w:jc w:val="right"/>
              <w:ind w:right="72"/>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9.17</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right"/>
              <w:ind w:right="112"/>
              <w:spacing w:after="0" w:line="237"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9.27</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9.17</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ind w:right="92"/>
              <w:spacing w:after="0" w:line="237"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9.24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Includes $11.0 million and $10.2 million for the three-months ended June 30, 2018 and 2017, respectively, related to the recognition of deferred revenue. Includes $22.2 million and $20.1 million for the six-months ended June 30, 2018 and 2017, respectively, related to the recognition of deferred revenue.</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Excludes Other segment net sales of $6.6 million and $6.2 million for the three-months ended June 30, 2018 and 2017, respectively, comprised of net sales of AFF Third-Party Products to independent third-party customers, as these sales do not have unit case equivalents. Excludes Other segment net sales of $11.3 million and $11.7 million for the six-months ended June 30, 2018 and 2017, respectively, comprised of net sales of AFF Third-Party Products to independent third-party customers, as these sales do not have unit case equivalents.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i w:val="1"/>
          <w:iCs w:val="1"/>
          <w:color w:val="auto"/>
          <w:vertAlign w:val="superscript"/>
        </w:rPr>
        <w:t>3</w:t>
      </w:r>
      <w:r>
        <w:rPr>
          <w:rFonts w:ascii="Arial" w:cs="Arial" w:eastAsia="Arial" w:hAnsi="Arial"/>
          <w:sz w:val="15"/>
          <w:szCs w:val="15"/>
          <w:i w:val="1"/>
          <w:iCs w:val="1"/>
          <w:color w:val="auto"/>
        </w:rPr>
        <w:t>Without the adoption of ASC 606, the overall average net sales per case increased to $9.28 for the three-months ended June 30, 2018, which was 0.2% higher than the average net sales per case of $9.27 for the three-months ended June 30, 2017. Without the adoption of ASC 606, the overall average net sales per case increased to $9.28 for the six-months ended June 30, 2018, which was 0.4% higher than the average net sales per case of $9.24 for the six-months ended June 30, 2017.</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Cash flows provided by operating activities. </w:t>
      </w:r>
      <w:r>
        <w:rPr>
          <w:rFonts w:ascii="Arial" w:cs="Arial" w:eastAsia="Arial" w:hAnsi="Arial"/>
          <w:sz w:val="19"/>
          <w:szCs w:val="19"/>
          <w:color w:val="auto"/>
        </w:rPr>
        <w:t>Cash provided by operating activities was $501.3 million for the six-months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2018, as compared with cash provided by operating activities of $533.2 million for the six-months ended June 30, 2017.</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For the six-months ended June 30, 2018, cash provided by operating activities was primarily attributable to net income earned of $486.2 million and adjustments for certain non-cash expenses, consisting of $28.3 million of stock-based compensation and $28.2 million of depreciation and other amortization. For the six-months ended June 30, 2018, cash provided by operating activities also increased due to a $105.0 million decrease in prepaid income taxes, a $43.2 million increase in accrued promotional allowances, a $24.7 million increase in accounts payable, a $8.0 million increase in income taxes payable and a $5.8 million decrease in distributor receivables. For the six-months ended June 30, 2018, cash used in operating activities was primarily attributable to a $154.4 million increase in accounts receivable, a $22.8</w:t>
      </w:r>
    </w:p>
    <w:p>
      <w:pPr>
        <w:sectPr>
          <w:pgSz w:w="11900" w:h="16838" w:orient="portrait"/>
          <w:cols w:equalWidth="0" w:num="1">
            <w:col w:w="11420"/>
          </w:cols>
          <w:pgMar w:left="240" w:top="130" w:right="239" w:bottom="0" w:gutter="0" w:footer="0" w:header="0"/>
        </w:sectPr>
      </w:pPr>
    </w:p>
    <w:bookmarkStart w:id="28" w:name="page29"/>
    <w:bookmarkEnd w:id="28"/>
    <w:p>
      <w:pPr>
        <w:jc w:val="both"/>
        <w:spacing w:after="0" w:line="262" w:lineRule="auto"/>
        <w:rPr>
          <w:sz w:val="20"/>
          <w:szCs w:val="20"/>
          <w:color w:val="auto"/>
        </w:rPr>
      </w:pPr>
      <w:r>
        <w:rPr>
          <w:rFonts w:ascii="Arial" w:cs="Arial" w:eastAsia="Arial" w:hAnsi="Arial"/>
          <w:sz w:val="20"/>
          <w:szCs w:val="20"/>
          <w:color w:val="auto"/>
        </w:rPr>
        <w:t>million increase in inventories, a $16.0 million increase in prepaid expenses and other current assets, a $15.6 million decrease in accrued liabilities, a $12.3 million decrease in deferred revenue and an $8.4 million decrease in accrued compensation.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For the six-months ended June 30, 2017, cash provided by operating activities was primarily attributable to net income earned of $400.6 million and adjustments for certain non-cash expenses, consisting of $26.0 million of stock-based compensation and $22.8 million of depreciation and other amortization. For the six-months ended June 30, 2017, cash provided by operating activities also increased due to a $125.0 million decrease in the TCCC Transaction receivables, a $60.7 million decrease in prepaid income taxes, an $8.8 million increase in accounts payable and a $25.8 million increase in accrued promotional allowances. For the six-months ended June 30, 2017, cash used in operating activities was primarily attributable to a $75.2 million increase in accounts receivable, a $24.9 million increase in inventories, a $8.1 million increase in prepaid expenses and other current assets, a $7.9 million decrease in accrued distributor terminations, a $7.1 million decrease in deferred revenue, a $7.2 million decrease in accrued compensation and a $5.4 million decrease in income taxes payable.</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Cash flows provided by (used in) investing activities. </w:t>
      </w:r>
      <w:r>
        <w:rPr>
          <w:rFonts w:ascii="Arial" w:cs="Arial" w:eastAsia="Arial" w:hAnsi="Arial"/>
          <w:sz w:val="19"/>
          <w:szCs w:val="19"/>
          <w:color w:val="auto"/>
        </w:rPr>
        <w:t>Cash provided by investing activities was $426.2 million for the six-months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2018 as compared to cash used in investing activities of ($154.7) million for the six-months ended June 30, 2017.</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both the six-months ended June 30, 2018 and 2017, cash used in investing activities was primarily attributable to purchases of available-for-sale investments. For both the six-months ended June 30, 2018 and 2017, cash provided by investing activities was primarily attributable to sales of available-for-sale investments. For both the six-months ended June 30, 2018 and 2017,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 for other corporate purposes. From time to time, we may also use cash to purchase additional real property related to our beverage business and/or acquire compatible businesses.</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Cash flows (used in) provided by financing activities. </w:t>
      </w:r>
      <w:r>
        <w:rPr>
          <w:rFonts w:ascii="Arial" w:cs="Arial" w:eastAsia="Arial" w:hAnsi="Arial"/>
          <w:sz w:val="20"/>
          <w:szCs w:val="20"/>
          <w:color w:val="auto"/>
        </w:rPr>
        <w:t>Cash used in financing activities was ($792.5) million for the six-months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2018 as compared to cash provided by financing activities of $17.5 million for the six-months ended June 30, 2017. The cash flows used in financing activities for the six-months ended June 30, 2018 was primarily the result of the repurchases of our common stock. The cash flows provided by financing activities for both the six-months ended June 30, 2018, and 2017 was primarily attributable to the issuance of our common stock under our stock-based compensation plans.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20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Cash and cash equivalents, short-term and long-term investments. </w:t>
      </w:r>
      <w:r>
        <w:rPr>
          <w:rFonts w:ascii="Arial" w:cs="Arial" w:eastAsia="Arial" w:hAnsi="Arial"/>
          <w:sz w:val="20"/>
          <w:szCs w:val="20"/>
          <w:color w:val="auto"/>
        </w:rPr>
        <w:t>At June 30, 2018, we had $659.7 million in cash and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and $211.1 million in short-term investments. We have historically invested these amounts in U.S. Treasury bills, U.S. government agency securities and municipal securities, commercial paper, certificates of deposit,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Of our $659.7 million of cash and cash equivalents held at June 30, 2018, $285.1 million was held by our foreign subsidiaries. No short-term or long-term investments were held by our foreign subsidiaries at June 30, 2018. We do not currently intend, nor do we foresee a need, to repatriate undistributed earnings of our foreign subsidiaries other than to repay certain intercompany debt owed to our U.S. operations.</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and properties, and purchases of shares of our common stock, through at least the next 12 months. Based on our current plans, at this time we estimate that capital expenditures are likely to be less than $100.0 million through June 30, 2019. However, future business opportunities may cause a change in this estimate.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June 30, 2018:</w:t>
      </w:r>
    </w:p>
    <w:p>
      <w:pPr>
        <w:sectPr>
          <w:pgSz w:w="11900" w:h="16838" w:orient="portrait"/>
          <w:cols w:equalWidth="0" w:num="1">
            <w:col w:w="11420"/>
          </w:cols>
          <w:pgMar w:left="240" w:top="121" w:right="239" w:bottom="0" w:gutter="0" w:footer="0" w:header="0"/>
        </w:sectPr>
      </w:pPr>
    </w:p>
    <w:p>
      <w:pPr>
        <w:spacing w:after="0" w:line="248"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Payments due by period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29210</wp:posOffset>
            </wp:positionV>
            <wp:extent cx="48107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9" w:name="page30"/>
    <w:bookmarkEnd w:id="29"/>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40" w:type="dxa"/>
            <w:vAlign w:val="bottom"/>
            <w:gridSpan w:val="2"/>
          </w:tcPr>
          <w:p>
            <w:pPr>
              <w:ind w:left="1300"/>
              <w:spacing w:after="0"/>
              <w:rPr>
                <w:sz w:val="20"/>
                <w:szCs w:val="20"/>
                <w:color w:val="auto"/>
              </w:rPr>
            </w:pPr>
            <w:r>
              <w:rPr>
                <w:rFonts w:ascii="Arial" w:cs="Arial" w:eastAsia="Arial" w:hAnsi="Arial"/>
                <w:sz w:val="22"/>
                <w:szCs w:val="22"/>
                <w:color w:val="auto"/>
              </w:rPr>
              <w:t>Obligations</w:t>
            </w:r>
          </w:p>
        </w:tc>
        <w:tc>
          <w:tcPr>
            <w:tcW w:w="32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Arial" w:cs="Arial" w:eastAsia="Arial" w:hAnsi="Arial"/>
                <w:sz w:val="22"/>
                <w:szCs w:val="22"/>
                <w:color w:val="auto"/>
              </w:rPr>
              <w:t>Total</w:t>
            </w:r>
          </w:p>
        </w:tc>
        <w:tc>
          <w:tcPr>
            <w:tcW w:w="2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Arial" w:cs="Arial" w:eastAsia="Arial" w:hAnsi="Arial"/>
                <w:sz w:val="22"/>
                <w:szCs w:val="22"/>
                <w:color w:val="auto"/>
              </w:rPr>
              <w:t>Less than</w:t>
            </w:r>
          </w:p>
        </w:tc>
        <w:tc>
          <w:tcPr>
            <w:tcW w:w="320" w:type="dxa"/>
            <w:vAlign w:val="bottom"/>
          </w:tcPr>
          <w:p>
            <w:pPr>
              <w:spacing w:after="0"/>
              <w:rPr>
                <w:sz w:val="21"/>
                <w:szCs w:val="21"/>
                <w:color w:val="auto"/>
              </w:rPr>
            </w:pPr>
          </w:p>
        </w:tc>
        <w:tc>
          <w:tcPr>
            <w:tcW w:w="1100" w:type="dxa"/>
            <w:vAlign w:val="bottom"/>
          </w:tcPr>
          <w:p>
            <w:pPr>
              <w:jc w:val="right"/>
              <w:ind w:right="472"/>
              <w:spacing w:after="0"/>
              <w:rPr>
                <w:sz w:val="20"/>
                <w:szCs w:val="20"/>
                <w:color w:val="auto"/>
              </w:rPr>
            </w:pPr>
            <w:r>
              <w:rPr>
                <w:rFonts w:ascii="Arial" w:cs="Arial" w:eastAsia="Arial" w:hAnsi="Arial"/>
                <w:sz w:val="22"/>
                <w:szCs w:val="22"/>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52"/>
              <w:spacing w:after="0"/>
              <w:rPr>
                <w:sz w:val="20"/>
                <w:szCs w:val="20"/>
                <w:color w:val="auto"/>
              </w:rPr>
            </w:pPr>
            <w:r>
              <w:rPr>
                <w:rFonts w:ascii="Arial" w:cs="Arial" w:eastAsia="Arial" w:hAnsi="Arial"/>
                <w:sz w:val="22"/>
                <w:szCs w:val="22"/>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72"/>
              <w:spacing w:after="0"/>
              <w:rPr>
                <w:sz w:val="20"/>
                <w:szCs w:val="20"/>
                <w:color w:val="auto"/>
              </w:rPr>
            </w:pPr>
            <w:r>
              <w:rPr>
                <w:rFonts w:ascii="Arial" w:cs="Arial" w:eastAsia="Arial" w:hAnsi="Arial"/>
                <w:sz w:val="22"/>
                <w:szCs w:val="22"/>
                <w:color w:val="auto"/>
                <w:w w:val="92"/>
              </w:rPr>
              <w:t>More than</w:t>
            </w:r>
          </w:p>
        </w:tc>
      </w:tr>
      <w:tr>
        <w:trPr>
          <w:trHeight w:val="265"/>
        </w:trPr>
        <w:tc>
          <w:tcPr>
            <w:tcW w:w="36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1 year</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years</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5 years</w:t>
            </w:r>
          </w:p>
        </w:tc>
      </w:tr>
      <w:tr>
        <w:trPr>
          <w:trHeight w:val="458"/>
        </w:trPr>
        <w:tc>
          <w:tcPr>
            <w:tcW w:w="3740" w:type="dxa"/>
            <w:vAlign w:val="bottom"/>
            <w:gridSpan w:val="2"/>
          </w:tcPr>
          <w:p>
            <w:pPr>
              <w:spacing w:after="0"/>
              <w:rPr>
                <w:sz w:val="20"/>
                <w:szCs w:val="20"/>
                <w:color w:val="auto"/>
              </w:rPr>
            </w:pPr>
            <w:r>
              <w:rPr>
                <w:rFonts w:ascii="Arial" w:cs="Arial" w:eastAsia="Arial" w:hAnsi="Arial"/>
                <w:sz w:val="22"/>
                <w:szCs w:val="22"/>
                <w:color w:val="auto"/>
              </w:rPr>
              <w:t>Contractual Obligations</w:t>
            </w:r>
            <w:r>
              <w:rPr>
                <w:rFonts w:ascii="Arial" w:cs="Arial" w:eastAsia="Arial" w:hAnsi="Arial"/>
                <w:sz w:val="11"/>
                <w:szCs w:val="11"/>
                <w:color w:val="auto"/>
              </w:rPr>
              <w:t>1</w:t>
            </w: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154,220</w:t>
            </w:r>
          </w:p>
        </w:tc>
        <w:tc>
          <w:tcPr>
            <w:tcW w:w="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88,773</w:t>
            </w:r>
          </w:p>
        </w:tc>
        <w:tc>
          <w:tcPr>
            <w:tcW w:w="12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63,780</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1,667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940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940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43"/>
        </w:trPr>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16,286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2,756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3,665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2,899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6,966</w:t>
            </w:r>
          </w:p>
        </w:tc>
      </w:tr>
      <w:tr>
        <w:trPr>
          <w:trHeight w:val="265"/>
        </w:trPr>
        <w:tc>
          <w:tcPr>
            <w:tcW w:w="3740" w:type="dxa"/>
            <w:vAlign w:val="bottom"/>
            <w:gridSpan w:val="2"/>
          </w:tcPr>
          <w:p>
            <w:pPr>
              <w:spacing w:after="0"/>
              <w:rPr>
                <w:sz w:val="20"/>
                <w:szCs w:val="20"/>
                <w:color w:val="auto"/>
              </w:rPr>
            </w:pPr>
            <w:r>
              <w:rPr>
                <w:rFonts w:ascii="Arial" w:cs="Arial" w:eastAsia="Arial" w:hAnsi="Arial"/>
                <w:sz w:val="22"/>
                <w:szCs w:val="22"/>
                <w:color w:val="auto"/>
              </w:rPr>
              <w:t>Purchase Commitments</w:t>
            </w:r>
            <w:r>
              <w:rPr>
                <w:rFonts w:ascii="Arial" w:cs="Arial" w:eastAsia="Arial" w:hAnsi="Arial"/>
                <w:sz w:val="11"/>
                <w:szCs w:val="11"/>
                <w:color w:val="auto"/>
              </w:rPr>
              <w:t>2</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50,014</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50,014</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221,460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142,483</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67,445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4,566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6,966</w:t>
            </w: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Contractual obligations include our obligations related to sponsorships and other commitments.</w:t>
      </w:r>
    </w:p>
    <w:p>
      <w:pPr>
        <w:spacing w:after="0" w:line="16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$5.3 million of unrecognized tax benefits have been recorded as liabilities as of June 30, 2018. It is expected that the amount of unrecognized tax benefits will not significantly change within the next 12 months. As of June 30, 2018, we had $1.0 million of accrued interest and penalties related to unrecognized tax benefits.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2017 (“Form 10-K”).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concentrates and/or beverage bases, the costs of raw materials utilized in the</w:t>
      </w:r>
      <w:r>
        <w:rPr>
          <w:rFonts w:ascii="Arial" w:cs="Arial" w:eastAsia="Arial" w:hAnsi="Arial"/>
          <w:sz w:val="20"/>
          <w:szCs w:val="20"/>
          <w:i w:val="1"/>
          <w:iCs w:val="1"/>
          <w:color w:val="auto"/>
        </w:rPr>
        <w:t xml:space="preserve"> </w:t>
      </w:r>
      <w:r>
        <w:rPr>
          <w:rFonts w:ascii="Arial" w:cs="Arial" w:eastAsia="Arial" w:hAnsi="Arial"/>
          <w:sz w:val="20"/>
          <w:szCs w:val="20"/>
          <w:color w:val="auto"/>
        </w:rPr>
        <w:t>manufacture of products, co-packing fees, repacking fees, in-bound freight charges, as well as certain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Raw materials account for the largest portion of the cost of sales. Raw materials include cans, bottles, other containers, flavors, ingredients and packaging materials.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52525"/>
        </w:rPr>
        <w:t>Recently issued accounting pronouncements not yet adopted</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52525"/>
        </w:rPr>
        <w:t xml:space="preserve">In February 2018, the Financial Accounting Standards Board (the “FASB”) issued Accounting Standards Update (“ASU”) No. 2018-02, “Income Statement - Reporting Comprehensive Income (Topic 220)”, which amends the previous guidance to allow for certain tax effects “stranded” in accumulated other comprehensive income, which are impacted by the </w:t>
      </w:r>
      <w:r>
        <w:rPr>
          <w:rFonts w:ascii="Arial" w:cs="Arial" w:eastAsia="Arial" w:hAnsi="Arial"/>
          <w:sz w:val="20"/>
          <w:szCs w:val="20"/>
          <w:color w:val="000000"/>
        </w:rPr>
        <w:t>Tax Reform Act</w:t>
      </w:r>
      <w:r>
        <w:rPr>
          <w:rFonts w:ascii="Arial" w:cs="Arial" w:eastAsia="Arial" w:hAnsi="Arial"/>
          <w:sz w:val="20"/>
          <w:szCs w:val="20"/>
          <w:color w:val="252525"/>
        </w:rPr>
        <w:t xml:space="preserve">, to be reclassified from accumulated other comprehensive income into retained earnings. This amendment pertains only to those items impacted by the new tax law and will not apply to any future tax effects stranded in accumulated other comprehensive income. This standard is effective for fiscal years beginning after December 15, 2018, and allows for early adoption. </w:t>
      </w:r>
      <w:r>
        <w:rPr>
          <w:rFonts w:ascii="Arial" w:cs="Arial" w:eastAsia="Arial" w:hAnsi="Arial"/>
          <w:sz w:val="20"/>
          <w:szCs w:val="20"/>
          <w:color w:val="000000"/>
        </w:rPr>
        <w:t>The Company is currently evaluating the impact of ASU No. 2018-02 on its financial</w:t>
      </w:r>
      <w:r>
        <w:rPr>
          <w:rFonts w:ascii="Arial" w:cs="Arial" w:eastAsia="Arial" w:hAnsi="Arial"/>
          <w:sz w:val="20"/>
          <w:szCs w:val="20"/>
          <w:color w:val="252525"/>
        </w:rPr>
        <w:t xml:space="preserve"> </w:t>
      </w:r>
      <w:r>
        <w:rPr>
          <w:rFonts w:ascii="Arial" w:cs="Arial" w:eastAsia="Arial" w:hAnsi="Arial"/>
          <w:sz w:val="20"/>
          <w:szCs w:val="20"/>
          <w:color w:val="000000"/>
        </w:rPr>
        <w:t>position, results of operations and liquidity.</w:t>
      </w: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52525"/>
        </w:rPr>
        <w:t>In January 2017, the FASB issued ASU No. 2017-04, “Intangibles and Other (Topic 350): Simplifying the Test for Goodwill Impairment</w:t>
      </w:r>
      <w:r>
        <w:rPr>
          <w:rFonts w:ascii="Arial" w:cs="Arial" w:eastAsia="Arial" w:hAnsi="Arial"/>
          <w:sz w:val="19"/>
          <w:szCs w:val="19"/>
          <w:i w:val="1"/>
          <w:iCs w:val="1"/>
          <w:color w:val="252525"/>
        </w:rPr>
        <w:t>”</w:t>
      </w:r>
      <w:r>
        <w:rPr>
          <w:rFonts w:ascii="Arial" w:cs="Arial" w:eastAsia="Arial" w:hAnsi="Arial"/>
          <w:sz w:val="19"/>
          <w:szCs w:val="19"/>
          <w:color w:val="252525"/>
        </w:rPr>
        <w:t xml:space="preserve">,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w:t>
      </w:r>
      <w:r>
        <w:rPr>
          <w:rFonts w:ascii="Arial" w:cs="Arial" w:eastAsia="Arial" w:hAnsi="Arial"/>
          <w:sz w:val="19"/>
          <w:szCs w:val="19"/>
          <w:color w:val="000000"/>
        </w:rPr>
        <w:t>The Company is currently evaluating</w:t>
      </w:r>
      <w:r>
        <w:rPr>
          <w:rFonts w:ascii="Arial" w:cs="Arial" w:eastAsia="Arial" w:hAnsi="Arial"/>
          <w:sz w:val="19"/>
          <w:szCs w:val="19"/>
          <w:color w:val="252525"/>
        </w:rPr>
        <w:t xml:space="preserve"> </w:t>
      </w:r>
      <w:r>
        <w:rPr>
          <w:rFonts w:ascii="Arial" w:cs="Arial" w:eastAsia="Arial" w:hAnsi="Arial"/>
          <w:sz w:val="19"/>
          <w:szCs w:val="19"/>
          <w:color w:val="000000"/>
        </w:rPr>
        <w:t>the impact of ASU No. 2017-04 on its financial position, results of operations and liquidity.</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Recently adopted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252525"/>
        </w:rPr>
        <w:t xml:space="preserve">In May 2017, the Financial Accounting Standards Board (the “FASB”) issued Accounting Standards Update (“ASU”) No. 2017-09, “Compensation–Stock Compensation (Topic 718): Scope of Modification Accounting,” clarifying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new guidance was effective for the Company on a prospective basis beginning on January 1, 2018, with early adoption permitted. </w:t>
      </w:r>
      <w:r>
        <w:rPr>
          <w:rFonts w:ascii="Arial" w:cs="Arial" w:eastAsia="Arial" w:hAnsi="Arial"/>
          <w:sz w:val="18"/>
          <w:szCs w:val="18"/>
          <w:color w:val="000000"/>
        </w:rPr>
        <w:t>The adoption of ASU No. 2017-09 did not have a material impact on the Company’s financial position, results of operations and liquidity.</w:t>
      </w:r>
    </w:p>
    <w:p>
      <w:pPr>
        <w:sectPr>
          <w:pgSz w:w="11900" w:h="16931" w:orient="portrait"/>
          <w:cols w:equalWidth="0" w:num="1">
            <w:col w:w="11420"/>
          </w:cols>
          <w:pgMar w:left="240" w:top="108" w:right="239" w:bottom="0" w:gutter="0" w:footer="0" w:header="0"/>
        </w:sectPr>
      </w:pPr>
    </w:p>
    <w:bookmarkStart w:id="30" w:name="page31"/>
    <w:bookmarkEnd w:id="30"/>
    <w:p>
      <w:pPr>
        <w:spacing w:after="0" w:line="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52525"/>
        </w:rPr>
        <w:t>In January 2017, the FASB issued ASU No. 2017-01</w:t>
      </w:r>
      <w:r>
        <w:rPr>
          <w:rFonts w:ascii="Arial" w:cs="Arial" w:eastAsia="Arial" w:hAnsi="Arial"/>
          <w:sz w:val="20"/>
          <w:szCs w:val="20"/>
          <w:i w:val="1"/>
          <w:iCs w:val="1"/>
          <w:color w:val="252525"/>
        </w:rPr>
        <w:t>, “</w:t>
      </w:r>
      <w:r>
        <w:rPr>
          <w:rFonts w:ascii="Arial" w:cs="Arial" w:eastAsia="Arial" w:hAnsi="Arial"/>
          <w:sz w:val="20"/>
          <w:szCs w:val="20"/>
          <w:color w:val="252525"/>
        </w:rPr>
        <w:t>Business Combinations (Topic 805): Clarifying the Definition of a Business</w:t>
      </w:r>
      <w:r>
        <w:rPr>
          <w:rFonts w:ascii="Arial" w:cs="Arial" w:eastAsia="Arial" w:hAnsi="Arial"/>
          <w:sz w:val="20"/>
          <w:szCs w:val="20"/>
          <w:i w:val="1"/>
          <w:iCs w:val="1"/>
          <w:color w:val="252525"/>
        </w:rPr>
        <w:t>”</w:t>
      </w:r>
      <w:r>
        <w:rPr>
          <w:rFonts w:ascii="Arial" w:cs="Arial" w:eastAsia="Arial" w:hAnsi="Arial"/>
          <w:sz w:val="20"/>
          <w:szCs w:val="20"/>
          <w:color w:val="252525"/>
        </w:rPr>
        <w:t xml:space="preserve">, which clarifies the definition of a business with the objective of adding guidance to assist entities with evaluating whether transactions should be accounted for as acquisitions (or disposals) of assets or businesses. This amendment was effective for fiscal years beginning after December 15, 2017, and interim periods within those fiscal years. </w:t>
      </w:r>
      <w:r>
        <w:rPr>
          <w:rFonts w:ascii="Arial" w:cs="Arial" w:eastAsia="Arial" w:hAnsi="Arial"/>
          <w:sz w:val="20"/>
          <w:szCs w:val="20"/>
          <w:color w:val="000000"/>
        </w:rPr>
        <w:t>The adoption of ASU No. 2017-01 did not have a material impact on the</w:t>
      </w:r>
      <w:r>
        <w:rPr>
          <w:rFonts w:ascii="Arial" w:cs="Arial" w:eastAsia="Arial" w:hAnsi="Arial"/>
          <w:sz w:val="20"/>
          <w:szCs w:val="20"/>
          <w:color w:val="252525"/>
        </w:rPr>
        <w:t xml:space="preserve"> </w:t>
      </w:r>
      <w:r>
        <w:rPr>
          <w:rFonts w:ascii="Arial" w:cs="Arial" w:eastAsia="Arial" w:hAnsi="Arial"/>
          <w:sz w:val="20"/>
          <w:szCs w:val="20"/>
          <w:color w:val="000000"/>
        </w:rPr>
        <w:t>Company’s financial position, results of operations and liquidity.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52525"/>
        </w:rPr>
        <w:t xml:space="preserve">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recognizes the income tax consequences of an intra-entity transfer of an asset other than inventory when the transfer occurs. ASU No. 2016-16 was effective for financial statements issued for annual periods beginning after December 15, 2017 and interim periods within those annual periods. </w:t>
      </w:r>
      <w:r>
        <w:rPr>
          <w:rFonts w:ascii="Arial" w:cs="Arial" w:eastAsia="Arial" w:hAnsi="Arial"/>
          <w:sz w:val="18"/>
          <w:szCs w:val="18"/>
          <w:color w:val="000000"/>
        </w:rPr>
        <w:t>The Company adopted ASU No. 2016-16 effective</w:t>
      </w:r>
      <w:r>
        <w:rPr>
          <w:rFonts w:ascii="Arial" w:cs="Arial" w:eastAsia="Arial" w:hAnsi="Arial"/>
          <w:sz w:val="18"/>
          <w:szCs w:val="18"/>
          <w:color w:val="252525"/>
        </w:rPr>
        <w:t xml:space="preserve"> </w:t>
      </w:r>
      <w:r>
        <w:rPr>
          <w:rFonts w:ascii="Arial" w:cs="Arial" w:eastAsia="Arial" w:hAnsi="Arial"/>
          <w:sz w:val="18"/>
          <w:szCs w:val="18"/>
          <w:color w:val="000000"/>
        </w:rPr>
        <w:t>January 1, 2018 on a modified retrospective basis, resulting in a $6.6 million reclassification of the unrecognized income tax effects related to assets transfers that occurred prior to the adoption from deferred income taxes to opening retained earnings.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 adopted in the same period. The guidance requires application using a retrospective transition method. The adoption of ASU No. 2016-15 did not have a material impact on the Company’s financial position, results of operations and liquidity.</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May 2014, the FASB issued ASU No. 2014-09, “Revenue from Contracts with Customers (Topic 606)”, which superseded previous revenue recognition guidance. ASU No. 2014-09 and its amendments were included in Accounting Standards Codification (“ASC”) 606 “Revenue from Contracts with Customers”. ASC 606 requires that a company recognize revenue at an amount that reflects the consideration to which the company expects to be entitled in exchange for transferring goods or services to a customer. The Company adopted ASC 606 effective January 1, 2018, using the modified retrospective approach, with no impact to the opening retained earnings. Results for periods beginning on or after January 1, 2018 are presented under ASC 606, while prior periods are not adjusted and continue to be reported in accordance with the prior accounting guidance under ASC 605 “Revenue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recognize any and/or all of the benefits from the TCCC transaction and the AFF Transaction;</w:t>
      </w:r>
    </w:p>
    <w:p>
      <w:pPr>
        <w:spacing w:after="0" w:line="15" w:lineRule="exact"/>
        <w:rPr>
          <w:rFonts w:ascii="Arial" w:cs="Arial" w:eastAsia="Arial" w:hAnsi="Arial"/>
          <w:sz w:val="20"/>
          <w:szCs w:val="20"/>
          <w:color w:val="auto"/>
        </w:rPr>
      </w:pPr>
    </w:p>
    <w:p>
      <w:pPr>
        <w:ind w:left="380" w:hanging="372"/>
        <w:spacing w:after="0"/>
        <w:tabs>
          <w:tab w:leader="none" w:pos="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effect of our extensive commercial arrangements with TCCC on our future performance;</w:t>
      </w:r>
    </w:p>
    <w:p>
      <w:pPr>
        <w:ind w:left="380" w:hanging="372"/>
        <w:spacing w:after="0" w:line="239" w:lineRule="auto"/>
        <w:tabs>
          <w:tab w:leader="none" w:pos="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ind w:left="380" w:hanging="372"/>
        <w:spacing w:after="0" w:line="252" w:lineRule="auto"/>
        <w:tabs>
          <w:tab w:leader="none" w:pos="3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effect of TCCC’s refranchising initiative to transition from a TCCC owned system to an independent bottling system, including our ability to maintain relationships with the bottlers/distributors and manage their ongoing commitment to focus on our products;</w:t>
      </w:r>
    </w:p>
    <w:p>
      <w:pPr>
        <w:ind w:left="380" w:hanging="372"/>
        <w:spacing w:after="0" w:line="239" w:lineRule="auto"/>
        <w:tabs>
          <w:tab w:leader="none" w:pos="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potential slowing of and/or decline in the sales growth rates of the energy drink category and/or the U.S. convenience store market generally;</w:t>
      </w:r>
    </w:p>
    <w:p>
      <w:pPr>
        <w:spacing w:after="0" w:line="1" w:lineRule="exact"/>
        <w:rPr>
          <w:rFonts w:ascii="Arial" w:cs="Arial" w:eastAsia="Arial" w:hAnsi="Arial"/>
          <w:sz w:val="20"/>
          <w:szCs w:val="20"/>
          <w:color w:val="auto"/>
        </w:rPr>
      </w:pPr>
    </w:p>
    <w:p>
      <w:pPr>
        <w:ind w:left="380" w:hanging="372"/>
        <w:spacing w:after="0" w:line="244" w:lineRule="auto"/>
        <w:tabs>
          <w:tab w:leader="none" w:pos="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ectPr>
          <w:pgSz w:w="11900" w:h="16905" w:orient="portrait"/>
          <w:cols w:equalWidth="0" w:num="1">
            <w:col w:w="11420"/>
          </w:cols>
          <w:pgMar w:left="240" w:top="352" w:right="239" w:bottom="0" w:gutter="0" w:footer="0" w:header="0"/>
        </w:sectPr>
      </w:pPr>
    </w:p>
    <w:bookmarkStart w:id="31" w:name="page32"/>
    <w:bookmarkEnd w:id="31"/>
    <w:p>
      <w:pPr>
        <w:spacing w:after="0" w:line="22"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spacing w:after="0" w:line="16" w:lineRule="exact"/>
        <w:rPr>
          <w:rFonts w:ascii="Arial" w:cs="Arial" w:eastAsia="Arial" w:hAnsi="Arial"/>
          <w:sz w:val="20"/>
          <w:szCs w:val="20"/>
          <w:color w:val="auto"/>
        </w:rPr>
      </w:pPr>
    </w:p>
    <w:p>
      <w:pPr>
        <w:ind w:left="380" w:hanging="372"/>
        <w:spacing w:after="0"/>
        <w:tabs>
          <w:tab w:leader="none" w:pos="3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Fluctuations in the inventory levels of our bottlers/distributors, planned or otherwise, and the resultant impact on our revenues;</w:t>
      </w:r>
    </w:p>
    <w:p>
      <w:pPr>
        <w:spacing w:after="0" w:line="11" w:lineRule="exact"/>
        <w:rPr>
          <w:rFonts w:ascii="Arial" w:cs="Arial" w:eastAsia="Arial" w:hAnsi="Arial"/>
          <w:sz w:val="19"/>
          <w:szCs w:val="19"/>
          <w:color w:val="auto"/>
        </w:rPr>
      </w:pPr>
    </w:p>
    <w:p>
      <w:pPr>
        <w:ind w:left="380" w:right="2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Food and Drug Administration (the “FDA”), municipalities, city attorneys, other government agencies, quasi-government agencies and/or government officials (including members of Congress),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comply with regulations and evolving industry standards regarding consumer privacy and data use and security, including with respect to the General Data Protection Regulation approved by the European Union;</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achieve profitability from certain of our operations outside the United States;</w:t>
      </w:r>
    </w:p>
    <w:p>
      <w:pPr>
        <w:ind w:left="380" w:hanging="372"/>
        <w:spacing w:after="0" w:line="252" w:lineRule="auto"/>
        <w:tabs>
          <w:tab w:leader="none" w:pos="3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outcome and/or possibility of future shareholder derivative actions or shareholder securities litigation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jc w:val="both"/>
        <w:ind w:left="380" w:right="2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outcome of any other litigation;</w:t>
      </w: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Unfavorable resolution of tax matters;</w:t>
      </w: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Uncertainty and volatility in the domestic and global economies;</w:t>
      </w: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our expansion plans and general operating activities;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left="380" w:hanging="372"/>
        <w:spacing w:after="0" w:line="245" w:lineRule="auto"/>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in demand that are weather related and/or for other reasons, including changes in product category consumption;</w:t>
      </w:r>
    </w:p>
    <w:p>
      <w:pPr>
        <w:ind w:left="380" w:hanging="372"/>
        <w:spacing w:after="0" w:line="239" w:lineRule="auto"/>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impact on our business of 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80" w:hanging="372"/>
        <w:spacing w:after="0" w:line="239" w:lineRule="auto"/>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achieve growth for our Monster Energy® brand energy drinks and/or our other products, including the Strategic Brands acquired from TCCC;</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impact of criticism of our energy drink products and/or the energy drink market generally and/or legislation enacted (whether as a result of such criticism or otherwise) that restricts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and/or impose age restrictions for the sale of energy drinks;</w:t>
      </w:r>
    </w:p>
    <w:p>
      <w:pPr>
        <w:spacing w:after="0" w:line="2" w:lineRule="exact"/>
        <w:rPr>
          <w:rFonts w:ascii="Arial" w:cs="Arial" w:eastAsia="Arial" w:hAnsi="Arial"/>
          <w:sz w:val="20"/>
          <w:szCs w:val="20"/>
          <w:color w:val="auto"/>
        </w:rPr>
      </w:pPr>
    </w:p>
    <w:p>
      <w:pPr>
        <w:jc w:val="both"/>
        <w:ind w:left="380" w:hanging="372"/>
        <w:spacing w:after="0" w:line="266"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&amp; Cosmetic Act,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FDA, the Bureau of Alcohol, Tobacco and Firearms and Explosives and/or the FTC;</w:t>
      </w:r>
    </w:p>
    <w:p>
      <w:pPr>
        <w:spacing w:after="0" w:line="1" w:lineRule="exact"/>
        <w:rPr>
          <w:rFonts w:ascii="Arial" w:cs="Arial" w:eastAsia="Arial" w:hAnsi="Arial"/>
          <w:sz w:val="18"/>
          <w:szCs w:val="18"/>
          <w:color w:val="auto"/>
        </w:rPr>
      </w:pPr>
    </w:p>
    <w:p>
      <w:pPr>
        <w:jc w:val="both"/>
        <w:ind w:left="380" w:right="20" w:hanging="372"/>
        <w:spacing w:after="0" w:line="239" w:lineRule="auto"/>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press, articles, comments and/or media attention;</w:t>
      </w:r>
    </w:p>
    <w:p>
      <w:pPr>
        <w:jc w:val="both"/>
        <w:ind w:left="380" w:hanging="372"/>
        <w:spacing w:after="0" w:line="252" w:lineRule="auto"/>
        <w:tabs>
          <w:tab w:leader="none" w:pos="3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380" w:hanging="372"/>
        <w:spacing w:after="0" w:line="239" w:lineRule="auto"/>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shortages that may be experienced in the procurement of containers and/or other raw materials including, without limitation, the PET containers used for our Monster Hydro® energy drinks;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corporate activity among the limited number of suppliers from whom we purchase certain raw materials on our cost of sales;</w:t>
      </w:r>
    </w:p>
    <w:p>
      <w:pPr>
        <w:sectPr>
          <w:pgSz w:w="11900" w:h="16860" w:orient="portrait"/>
          <w:cols w:equalWidth="0" w:num="1">
            <w:col w:w="11420"/>
          </w:cols>
          <w:pgMar w:left="240" w:top="121" w:right="239" w:bottom="0" w:gutter="0" w:footer="0" w:header="0"/>
        </w:sectPr>
      </w:pPr>
    </w:p>
    <w:bookmarkStart w:id="32" w:name="page33"/>
    <w:bookmarkEnd w:id="32"/>
    <w:p>
      <w:pPr>
        <w:spacing w:after="0" w:line="128" w:lineRule="exact"/>
        <w:rPr>
          <w:sz w:val="20"/>
          <w:szCs w:val="20"/>
          <w:color w:val="auto"/>
        </w:rPr>
      </w:pPr>
    </w:p>
    <w:p>
      <w:pPr>
        <w:ind w:left="380" w:hanging="372"/>
        <w:spacing w:after="0" w:line="248" w:lineRule="auto"/>
        <w:tabs>
          <w:tab w:leader="none" w:pos="3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0"/>
          <w:szCs w:val="20"/>
          <w:color w:val="auto"/>
        </w:rPr>
      </w:pPr>
    </w:p>
    <w:p>
      <w:pPr>
        <w:ind w:left="380" w:hanging="372"/>
        <w:spacing w:after="0" w:line="244" w:lineRule="auto"/>
        <w:tabs>
          <w:tab w:leader="none" w:pos="3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spacing w:after="0" w:line="15"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by the full service bottlers/distributors of our products, most of whom distribute products that may be regarded as competitive with our products;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Unilateral decisions by full service bottlers/distributors,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effects of retailer consolidation on our business;</w:t>
      </w: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Unforeseen economic and political changes and local or international catastrophic events;</w:t>
      </w: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380" w:hanging="372"/>
        <w:spacing w:after="0" w:line="252" w:lineRule="auto"/>
        <w:tabs>
          <w:tab w:leader="none" w:pos="3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Our ability to make suitable arrangements for the co-packing of any of our products both domestically and internationally, the timely replacement of discontinued co-packing arrangements and/or limitations on co-packing availability, including for retort production;</w:t>
      </w: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380" w:hanging="372"/>
        <w:spacing w:after="0" w:line="239" w:lineRule="auto"/>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trade names or designs and/or trade dress in certain countries;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380" w:right="20" w:hanging="372"/>
        <w:spacing w:after="0" w:line="239" w:lineRule="auto"/>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80" w:hanging="372"/>
        <w:spacing w:after="0" w:line="239" w:lineRule="auto"/>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June 30, 2018 compared with the disclosures in Part II, Item 7A of our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w:t>
      </w:r>
    </w:p>
    <w:p>
      <w:pPr>
        <w:spacing w:after="0" w:line="2" w:lineRule="exact"/>
        <w:rPr>
          <w:sz w:val="20"/>
          <w:szCs w:val="20"/>
          <w:color w:val="auto"/>
        </w:rPr>
      </w:pPr>
    </w:p>
    <w:p>
      <w:pPr>
        <w:ind w:firstLine="8"/>
        <w:spacing w:after="0" w:line="244" w:lineRule="auto"/>
        <w:tabs>
          <w:tab w:leader="none" w:pos="304" w:val="left"/>
        </w:tabs>
        <w:numPr>
          <w:ilvl w:val="0"/>
          <w:numId w:val="34"/>
        </w:numPr>
        <w:rPr>
          <w:rFonts w:ascii="Arial" w:cs="Arial" w:eastAsia="Arial" w:hAnsi="Arial"/>
          <w:sz w:val="20"/>
          <w:szCs w:val="20"/>
          <w:color w:val="auto"/>
        </w:rPr>
      </w:pPr>
      <w:r>
        <w:rPr>
          <w:rFonts w:ascii="Arial" w:cs="Arial" w:eastAsia="Arial" w:hAnsi="Arial"/>
          <w:sz w:val="20"/>
          <w:szCs w:val="20"/>
          <w:color w:val="auto"/>
        </w:rPr>
        <w:t>accumulated and communicated to our management, including its principal executive and principal financial officers, as appropriate, to allow timely decisions regarding required disclosures.</w:t>
      </w:r>
    </w:p>
    <w:p>
      <w:pPr>
        <w:spacing w:after="0" w:line="205"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 There were no changes in the Company’s internal controls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during the quarter ended June 30, 2018, that have materially affected, or are reasonably likely to materially affect, our internal control</w:t>
      </w:r>
    </w:p>
    <w:p>
      <w:pPr>
        <w:sectPr>
          <w:pgSz w:w="11900" w:h="16966" w:orient="portrait"/>
          <w:cols w:equalWidth="0" w:num="1">
            <w:col w:w="11420"/>
          </w:cols>
          <w:pgMar w:left="240" w:top="121" w:right="239" w:bottom="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 Note 11. Commitments and Contingencies: Legal Proceedings in Part I, Item 1, of this Quarterly Report on Form 10-Q.</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risk factors are discussed in our Form 10-K. There have been no material changes with respect to the risk factors disclosed in our Form 10-K.</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February 27, 2018, the Company’s Board of Directors authorized a share repurchase program for the purchase of up to $250.0 million of the Company’s outstanding common stock (the “February 2018 Repurchase Program”). During the three-months ended June 30, 2018, the Company purchased 5.0 million shares of common stock at an average purchase price of $49.81 per share, for a total amount of $249.9 million (excluding broker commissions), under the February 2018 Repurchase Program, which exhausted the availability under the February 2018 Repurchase Program.</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May 29, 2018, the Company’s Board of Directors authorized a share repurchase program for the purchase of up to $500.0 million of the Company’s outstanding common stock (the “May 2018 Repurchase Program”). During the three-months ended June 30, 2018, the Company purchased 5.5 million shares of common stock at an average purchase price of $54.78 per share, for a total amount of $303.2 million (excluding broker commissions), under the May 2018 Repurchase Program. As of August 9, 2018, $196.7 million remained available for repurchase under the May 2018 Repurchase Program.</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August 7, 2018, the Company’s Board of Directors authorized a new repurchase program for the repurchase of up to an additional $500.0 million of the Company’s outstanding common stock (the “August 2018 Repurchase Program”). As of August 9, 2018, $500.0 million remained available for repurchase under the August 2018 Repurchase Program.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tabular summary reflects the Company’s repurchase activity during the quarter ended June 30,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20"/>
                <w:szCs w:val="20"/>
                <w:color w:val="auto"/>
                <w:w w:val="94"/>
              </w:rPr>
              <w:t>Maximum Number (or</w:t>
            </w: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20"/>
                <w:szCs w:val="20"/>
                <w:color w:val="auto"/>
                <w:w w:val="94"/>
              </w:rPr>
              <w:t>Approximate Dollar</w:t>
            </w: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20"/>
                <w:szCs w:val="20"/>
                <w:color w:val="auto"/>
                <w:w w:val="90"/>
              </w:rPr>
              <w:t>Total Number of</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Value) of Shares that</w:t>
            </w: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20"/>
                <w:szCs w:val="20"/>
                <w:color w:val="auto"/>
                <w:w w:val="83"/>
              </w:rPr>
              <w:t>Shares Purchased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May Yet Be Purchased</w:t>
            </w: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20"/>
                <w:szCs w:val="20"/>
                <w:color w:val="auto"/>
                <w:w w:val="90"/>
              </w:rPr>
              <w:t>Total Number</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20"/>
                <w:szCs w:val="20"/>
                <w:color w:val="auto"/>
                <w:w w:val="91"/>
              </w:rPr>
              <w:t>as Part of Publicly</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20"/>
                <w:szCs w:val="20"/>
                <w:color w:val="auto"/>
                <w:w w:val="88"/>
              </w:rPr>
              <w:t>Under the Plans or</w:t>
            </w: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20"/>
                <w:szCs w:val="20"/>
                <w:color w:val="auto"/>
                <w:w w:val="86"/>
              </w:rPr>
              <w:t>of Shares</w:t>
            </w:r>
          </w:p>
        </w:tc>
        <w:tc>
          <w:tcPr>
            <w:tcW w:w="220" w:type="dxa"/>
            <w:vAlign w:val="bottom"/>
          </w:tcPr>
          <w:p>
            <w:pPr>
              <w:spacing w:after="0"/>
              <w:rPr>
                <w:sz w:val="19"/>
                <w:szCs w:val="19"/>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20"/>
                <w:szCs w:val="20"/>
                <w:color w:val="auto"/>
                <w:w w:val="87"/>
              </w:rPr>
              <w:t>Average Price</w:t>
            </w:r>
          </w:p>
        </w:tc>
        <w:tc>
          <w:tcPr>
            <w:tcW w:w="1840" w:type="dxa"/>
            <w:vAlign w:val="bottom"/>
            <w:gridSpan w:val="2"/>
          </w:tcPr>
          <w:p>
            <w:pPr>
              <w:jc w:val="center"/>
              <w:ind w:right="20"/>
              <w:spacing w:after="0"/>
              <w:rPr>
                <w:sz w:val="20"/>
                <w:szCs w:val="20"/>
                <w:color w:val="auto"/>
              </w:rPr>
            </w:pPr>
            <w:r>
              <w:rPr>
                <w:rFonts w:ascii="Arial" w:cs="Arial" w:eastAsia="Arial" w:hAnsi="Arial"/>
                <w:sz w:val="20"/>
                <w:szCs w:val="20"/>
                <w:color w:val="auto"/>
                <w:w w:val="88"/>
              </w:rPr>
              <w:t>Announced Plans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Programs (In</w:t>
            </w:r>
          </w:p>
        </w:tc>
      </w:tr>
      <w:tr>
        <w:trPr>
          <w:trHeight w:val="246"/>
        </w:trPr>
        <w:tc>
          <w:tcPr>
            <w:tcW w:w="3340" w:type="dxa"/>
            <w:vAlign w:val="bottom"/>
            <w:gridSpan w:val="3"/>
          </w:tcPr>
          <w:p>
            <w:pPr>
              <w:spacing w:after="0"/>
              <w:rPr>
                <w:sz w:val="20"/>
                <w:szCs w:val="20"/>
                <w:color w:val="auto"/>
              </w:rPr>
            </w:pPr>
            <w:r>
              <w:rPr>
                <w:rFonts w:ascii="Arial" w:cs="Arial" w:eastAsia="Arial" w:hAnsi="Arial"/>
                <w:sz w:val="20"/>
                <w:szCs w:val="20"/>
                <w:color w:val="auto"/>
              </w:rPr>
              <w:t>Period</w:t>
            </w:r>
          </w:p>
        </w:tc>
        <w:tc>
          <w:tcPr>
            <w:tcW w:w="1820" w:type="dxa"/>
            <w:vAlign w:val="bottom"/>
            <w:gridSpan w:val="2"/>
          </w:tcPr>
          <w:p>
            <w:pPr>
              <w:jc w:val="center"/>
              <w:ind w:right="240"/>
              <w:spacing w:after="0"/>
              <w:rPr>
                <w:sz w:val="20"/>
                <w:szCs w:val="20"/>
                <w:color w:val="auto"/>
              </w:rPr>
            </w:pPr>
            <w:r>
              <w:rPr>
                <w:rFonts w:ascii="Arial" w:cs="Arial" w:eastAsia="Arial" w:hAnsi="Arial"/>
                <w:sz w:val="20"/>
                <w:szCs w:val="20"/>
                <w:color w:val="auto"/>
                <w:w w:val="85"/>
              </w:rPr>
              <w:t>Purchased</w:t>
            </w:r>
          </w:p>
        </w:tc>
        <w:tc>
          <w:tcPr>
            <w:tcW w:w="220" w:type="dxa"/>
            <w:vAlign w:val="bottom"/>
          </w:tcPr>
          <w:p>
            <w:pPr>
              <w:spacing w:after="0"/>
              <w:rPr>
                <w:sz w:val="21"/>
                <w:szCs w:val="21"/>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20"/>
                <w:szCs w:val="20"/>
                <w:color w:val="auto"/>
              </w:rPr>
              <w:t>per Share¹</w:t>
            </w:r>
          </w:p>
        </w:tc>
        <w:tc>
          <w:tcPr>
            <w:tcW w:w="184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or Programs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20"/>
                <w:szCs w:val="20"/>
                <w:color w:val="auto"/>
                <w:w w:val="85"/>
              </w:rPr>
              <w:t>thousands)²</w:t>
            </w:r>
          </w:p>
        </w:tc>
      </w:tr>
      <w:tr>
        <w:trPr>
          <w:trHeight w:val="206"/>
        </w:trPr>
        <w:tc>
          <w:tcPr>
            <w:tcW w:w="20" w:type="dxa"/>
            <w:vAlign w:val="bottom"/>
          </w:tcPr>
          <w:p>
            <w:pPr>
              <w:spacing w:after="0"/>
              <w:rPr>
                <w:sz w:val="17"/>
                <w:szCs w:val="17"/>
                <w:color w:val="auto"/>
              </w:rPr>
            </w:pPr>
          </w:p>
        </w:tc>
        <w:tc>
          <w:tcPr>
            <w:tcW w:w="30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Apr 1 - Apr 30</w:t>
            </w:r>
          </w:p>
        </w:tc>
        <w:tc>
          <w:tcPr>
            <w:tcW w:w="260" w:type="dxa"/>
            <w:vAlign w:val="bottom"/>
          </w:tcPr>
          <w:p>
            <w:pPr>
              <w:spacing w:after="0"/>
              <w:rPr>
                <w:sz w:val="17"/>
                <w:szCs w:val="17"/>
                <w:color w:val="auto"/>
              </w:rPr>
            </w:pPr>
          </w:p>
        </w:tc>
        <w:tc>
          <w:tcPr>
            <w:tcW w:w="16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18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0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250,000</w:t>
            </w:r>
          </w:p>
        </w:tc>
        <w:tc>
          <w:tcPr>
            <w:tcW w:w="20" w:type="dxa"/>
            <w:vAlign w:val="bottom"/>
          </w:tcPr>
          <w:p>
            <w:pPr>
              <w:spacing w:after="0"/>
              <w:rPr>
                <w:sz w:val="17"/>
                <w:szCs w:val="17"/>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20"/>
                <w:szCs w:val="20"/>
                <w:color w:val="auto"/>
              </w:rPr>
              <w:t>May 1 - May 28</w:t>
            </w:r>
          </w:p>
        </w:tc>
        <w:tc>
          <w:tcPr>
            <w:tcW w:w="1600" w:type="dxa"/>
            <w:vAlign w:val="bottom"/>
          </w:tcPr>
          <w:p>
            <w:pPr>
              <w:jc w:val="right"/>
              <w:spacing w:after="0"/>
              <w:rPr>
                <w:sz w:val="20"/>
                <w:szCs w:val="20"/>
                <w:color w:val="auto"/>
              </w:rPr>
            </w:pPr>
            <w:r>
              <w:rPr>
                <w:rFonts w:ascii="Arial" w:cs="Arial" w:eastAsia="Arial" w:hAnsi="Arial"/>
                <w:sz w:val="20"/>
                <w:szCs w:val="20"/>
                <w:color w:val="auto"/>
              </w:rPr>
              <w:t>5,017,554</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20"/>
                <w:szCs w:val="20"/>
                <w:color w:val="auto"/>
              </w:rPr>
              <w:t>49.81</w:t>
            </w:r>
          </w:p>
        </w:tc>
        <w:tc>
          <w:tcPr>
            <w:tcW w:w="1840" w:type="dxa"/>
            <w:vAlign w:val="bottom"/>
            <w:gridSpan w:val="2"/>
          </w:tcPr>
          <w:p>
            <w:pPr>
              <w:jc w:val="right"/>
              <w:ind w:right="20"/>
              <w:spacing w:after="0"/>
              <w:rPr>
                <w:sz w:val="20"/>
                <w:szCs w:val="20"/>
                <w:color w:val="auto"/>
              </w:rPr>
            </w:pPr>
            <w:r>
              <w:rPr>
                <w:rFonts w:ascii="Arial" w:cs="Arial" w:eastAsia="Arial" w:hAnsi="Arial"/>
                <w:sz w:val="20"/>
                <w:szCs w:val="20"/>
                <w:color w:val="auto"/>
              </w:rPr>
              <w:t>5,017,554</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1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r>
      <w:tr>
        <w:trPr>
          <w:trHeight w:val="230"/>
        </w:trPr>
        <w:tc>
          <w:tcPr>
            <w:tcW w:w="3340" w:type="dxa"/>
            <w:vAlign w:val="bottom"/>
            <w:gridSpan w:val="3"/>
          </w:tcPr>
          <w:p>
            <w:pPr>
              <w:spacing w:after="0"/>
              <w:rPr>
                <w:sz w:val="20"/>
                <w:szCs w:val="20"/>
                <w:color w:val="auto"/>
              </w:rPr>
            </w:pPr>
            <w:r>
              <w:rPr>
                <w:rFonts w:ascii="Arial" w:cs="Arial" w:eastAsia="Arial" w:hAnsi="Arial"/>
                <w:sz w:val="20"/>
                <w:szCs w:val="20"/>
                <w:color w:val="auto"/>
              </w:rPr>
              <w:t>May 29, 2018 Authorization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100" w:type="dxa"/>
            <w:vAlign w:val="bottom"/>
            <w:gridSpan w:val="2"/>
          </w:tcPr>
          <w:p>
            <w:pPr>
              <w:jc w:val="right"/>
              <w:ind w:right="20"/>
              <w:spacing w:after="0"/>
              <w:rPr>
                <w:sz w:val="20"/>
                <w:szCs w:val="20"/>
                <w:color w:val="auto"/>
              </w:rPr>
            </w:pPr>
            <w:r>
              <w:rPr>
                <w:rFonts w:ascii="Arial" w:cs="Arial" w:eastAsia="Arial" w:hAnsi="Arial"/>
                <w:sz w:val="20"/>
                <w:szCs w:val="20"/>
                <w:color w:val="auto"/>
              </w:rPr>
              <w:t>500,000</w:t>
            </w:r>
          </w:p>
        </w:tc>
      </w:tr>
      <w:tr>
        <w:trPr>
          <w:trHeight w:val="230"/>
        </w:trPr>
        <w:tc>
          <w:tcPr>
            <w:tcW w:w="3340" w:type="dxa"/>
            <w:vAlign w:val="bottom"/>
            <w:gridSpan w:val="3"/>
          </w:tcPr>
          <w:p>
            <w:pPr>
              <w:spacing w:after="0"/>
              <w:rPr>
                <w:sz w:val="20"/>
                <w:szCs w:val="20"/>
                <w:color w:val="auto"/>
              </w:rPr>
            </w:pPr>
            <w:r>
              <w:rPr>
                <w:rFonts w:ascii="Arial" w:cs="Arial" w:eastAsia="Arial" w:hAnsi="Arial"/>
                <w:sz w:val="20"/>
                <w:szCs w:val="20"/>
                <w:color w:val="auto"/>
              </w:rPr>
              <w:t>May 29 - May 31</w:t>
            </w:r>
          </w:p>
        </w:tc>
        <w:tc>
          <w:tcPr>
            <w:tcW w:w="18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100" w:type="dxa"/>
            <w:vAlign w:val="bottom"/>
            <w:gridSpan w:val="2"/>
          </w:tcPr>
          <w:p>
            <w:pPr>
              <w:jc w:val="right"/>
              <w:ind w:right="20"/>
              <w:spacing w:after="0"/>
              <w:rPr>
                <w:sz w:val="20"/>
                <w:szCs w:val="20"/>
                <w:color w:val="auto"/>
              </w:rPr>
            </w:pPr>
            <w:r>
              <w:rPr>
                <w:rFonts w:ascii="Arial" w:cs="Arial" w:eastAsia="Arial" w:hAnsi="Arial"/>
                <w:sz w:val="20"/>
                <w:szCs w:val="20"/>
                <w:color w:val="auto"/>
              </w:rPr>
              <w:t>500,000</w:t>
            </w:r>
          </w:p>
        </w:tc>
      </w:tr>
      <w:tr>
        <w:trPr>
          <w:trHeight w:val="240"/>
        </w:trPr>
        <w:tc>
          <w:tcPr>
            <w:tcW w:w="3340" w:type="dxa"/>
            <w:vAlign w:val="bottom"/>
            <w:gridSpan w:val="3"/>
          </w:tcPr>
          <w:p>
            <w:pPr>
              <w:spacing w:after="0"/>
              <w:rPr>
                <w:sz w:val="20"/>
                <w:szCs w:val="20"/>
                <w:color w:val="auto"/>
              </w:rPr>
            </w:pPr>
            <w:r>
              <w:rPr>
                <w:rFonts w:ascii="Arial" w:cs="Arial" w:eastAsia="Arial" w:hAnsi="Arial"/>
                <w:sz w:val="20"/>
                <w:szCs w:val="20"/>
                <w:color w:val="auto"/>
              </w:rPr>
              <w:t>Jun 1 - Jun 30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5,535,936</w:t>
            </w:r>
          </w:p>
        </w:tc>
        <w:tc>
          <w:tcPr>
            <w:tcW w:w="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20"/>
                <w:szCs w:val="20"/>
                <w:color w:val="auto"/>
              </w:rPr>
              <w:t>54.78</w:t>
            </w:r>
          </w:p>
        </w:tc>
        <w:tc>
          <w:tcPr>
            <w:tcW w:w="1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5,535,936</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100" w:type="dxa"/>
            <w:vAlign w:val="bottom"/>
            <w:gridSpan w:val="2"/>
          </w:tcPr>
          <w:p>
            <w:pPr>
              <w:jc w:val="right"/>
              <w:ind w:right="20"/>
              <w:spacing w:after="0"/>
              <w:rPr>
                <w:sz w:val="20"/>
                <w:szCs w:val="20"/>
                <w:color w:val="auto"/>
              </w:rPr>
            </w:pPr>
            <w:r>
              <w:rPr>
                <w:rFonts w:ascii="Arial" w:cs="Arial" w:eastAsia="Arial" w:hAnsi="Arial"/>
                <w:sz w:val="20"/>
                <w:szCs w:val="20"/>
                <w:color w:val="auto"/>
              </w:rPr>
              <w:t>196,670</w:t>
            </w:r>
          </w:p>
        </w:tc>
      </w:tr>
      <w:tr>
        <w:trPr>
          <w:trHeight w:val="250"/>
        </w:trPr>
        <w:tc>
          <w:tcPr>
            <w:tcW w:w="20" w:type="dxa"/>
            <w:vAlign w:val="bottom"/>
          </w:tcPr>
          <w:p>
            <w:pPr>
              <w:spacing w:after="0"/>
              <w:rPr>
                <w:sz w:val="21"/>
                <w:szCs w:val="21"/>
                <w:color w:val="auto"/>
              </w:rPr>
            </w:pPr>
          </w:p>
        </w:tc>
        <w:tc>
          <w:tcPr>
            <w:tcW w:w="3320" w:type="dxa"/>
            <w:vAlign w:val="bottom"/>
            <w:gridSpan w:val="2"/>
          </w:tcPr>
          <w:p>
            <w:pPr>
              <w:ind w:left="1320"/>
              <w:spacing w:after="0" w:line="220" w:lineRule="exact"/>
              <w:rPr>
                <w:sz w:val="20"/>
                <w:szCs w:val="20"/>
                <w:color w:val="auto"/>
              </w:rPr>
            </w:pPr>
            <w:r>
              <w:rPr>
                <w:rFonts w:ascii="Arial" w:cs="Arial" w:eastAsia="Arial" w:hAnsi="Arial"/>
                <w:sz w:val="20"/>
                <w:szCs w:val="20"/>
                <w:color w:val="auto"/>
              </w:rPr>
              <w:t>Total</w:t>
            </w:r>
          </w:p>
        </w:tc>
        <w:tc>
          <w:tcPr>
            <w:tcW w:w="1600" w:type="dxa"/>
            <w:vAlign w:val="bottom"/>
          </w:tcPr>
          <w:p>
            <w:pPr>
              <w:jc w:val="right"/>
              <w:spacing w:after="0"/>
              <w:rPr>
                <w:sz w:val="20"/>
                <w:szCs w:val="20"/>
                <w:color w:val="auto"/>
              </w:rPr>
            </w:pPr>
            <w:r>
              <w:rPr>
                <w:rFonts w:ascii="Arial" w:cs="Arial" w:eastAsia="Arial" w:hAnsi="Arial"/>
                <w:sz w:val="20"/>
                <w:szCs w:val="20"/>
                <w:color w:val="auto"/>
              </w:rPr>
              <w:t>10,553,490</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20"/>
                <w:szCs w:val="20"/>
                <w:color w:val="auto"/>
              </w:rPr>
              <w:t>52.42</w:t>
            </w:r>
          </w:p>
        </w:tc>
        <w:tc>
          <w:tcPr>
            <w:tcW w:w="1840" w:type="dxa"/>
            <w:vAlign w:val="bottom"/>
            <w:gridSpan w:val="2"/>
          </w:tcPr>
          <w:p>
            <w:pPr>
              <w:jc w:val="right"/>
              <w:ind w:right="20"/>
              <w:spacing w:after="0"/>
              <w:rPr>
                <w:sz w:val="20"/>
                <w:szCs w:val="20"/>
                <w:color w:val="auto"/>
              </w:rPr>
            </w:pPr>
            <w:r>
              <w:rPr>
                <w:rFonts w:ascii="Arial" w:cs="Arial" w:eastAsia="Arial" w:hAnsi="Arial"/>
                <w:sz w:val="20"/>
                <w:szCs w:val="20"/>
                <w:color w:val="auto"/>
              </w:rPr>
              <w:t>10,553,490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¹Excluding broker commissions paid.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²Net of broker commissions paid.</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three-months ended June 30, 2018, 504 shares were purchased from employees in lieu of cash payments for options exercised or withholding taxes due, for a total amount of $0.03 million. While such purchases are considered common stock repurchases, they are not counted as purchases against the Company’s authorized share repurchase programs.</w:t>
      </w:r>
    </w:p>
    <w:p>
      <w:pPr>
        <w:spacing w:after="0" w:line="19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color w:val="auto"/>
        </w:rPr>
        <w:t>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1420"/>
          </w:cols>
          <w:pgMar w:left="240" w:top="121" w:right="23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58"/>
        </w:trPr>
        <w:tc>
          <w:tcPr>
            <w:tcW w:w="100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420" w:type="dxa"/>
            <w:vAlign w:val="bottom"/>
            <w:gridSpan w:val="8"/>
          </w:tcPr>
          <w:p>
            <w:pPr>
              <w:ind w:left="280"/>
              <w:spacing w:after="0"/>
              <w:rPr>
                <w:sz w:val="20"/>
                <w:szCs w:val="20"/>
                <w:color w:val="auto"/>
              </w:rPr>
            </w:pPr>
            <w:r>
              <w:rPr>
                <w:rFonts w:ascii="Arial" w:cs="Arial" w:eastAsia="Arial" w:hAnsi="Arial"/>
                <w:sz w:val="20"/>
                <w:szCs w:val="20"/>
                <w:b w:val="1"/>
                <w:bCs w:val="1"/>
                <w:color w:val="auto"/>
              </w:rPr>
              <w:t>EXHIBITS</w:t>
            </w:r>
          </w:p>
        </w:tc>
      </w:tr>
      <w:tr>
        <w:trPr>
          <w:trHeight w:val="415"/>
        </w:trPr>
        <w:tc>
          <w:tcPr>
            <w:tcW w:w="1000" w:type="dxa"/>
            <w:vAlign w:val="bottom"/>
          </w:tcPr>
          <w:p>
            <w:pPr>
              <w:spacing w:after="0"/>
              <w:rPr>
                <w:sz w:val="20"/>
                <w:szCs w:val="20"/>
                <w:color w:val="auto"/>
              </w:rPr>
            </w:pPr>
            <w:r>
              <w:rPr>
                <w:rFonts w:ascii="Arial" w:cs="Arial" w:eastAsia="Arial" w:hAnsi="Arial"/>
                <w:sz w:val="20"/>
                <w:szCs w:val="20"/>
                <w:color w:val="auto"/>
              </w:rPr>
              <w:t>31.1*</w:t>
            </w:r>
          </w:p>
        </w:tc>
        <w:tc>
          <w:tcPr>
            <w:tcW w:w="580" w:type="dxa"/>
            <w:vAlign w:val="bottom"/>
          </w:tcPr>
          <w:p>
            <w:pPr>
              <w:spacing w:after="0"/>
              <w:rPr>
                <w:sz w:val="24"/>
                <w:szCs w:val="24"/>
                <w:color w:val="auto"/>
              </w:rPr>
            </w:pPr>
          </w:p>
        </w:tc>
        <w:tc>
          <w:tcPr>
            <w:tcW w:w="9840" w:type="dxa"/>
            <w:vAlign w:val="bottom"/>
            <w:gridSpan w:val="7"/>
          </w:tcPr>
          <w:p>
            <w:pPr>
              <w:spacing w:after="0"/>
              <w:rPr>
                <w:rFonts w:ascii="Arial" w:cs="Arial" w:eastAsia="Arial" w:hAnsi="Arial"/>
                <w:sz w:val="20"/>
                <w:szCs w:val="20"/>
                <w:color w:val="0000EE"/>
              </w:rPr>
            </w:pPr>
            <w:hyperlink w:anchor="page35">
              <w:r>
                <w:rPr>
                  <w:rFonts w:ascii="Arial" w:cs="Arial" w:eastAsia="Arial" w:hAnsi="Arial"/>
                  <w:sz w:val="20"/>
                  <w:szCs w:val="20"/>
                  <w:color w:val="0000EE"/>
                </w:rPr>
                <w:t>Certification of Chief Executive Officer Pursuant to Section 302 of the Sarbanes- Oxley Act of 2002</w:t>
              </w:r>
            </w:hyperlink>
          </w:p>
        </w:tc>
      </w:tr>
      <w:tr>
        <w:trPr>
          <w:trHeight w:val="426"/>
        </w:trPr>
        <w:tc>
          <w:tcPr>
            <w:tcW w:w="1000" w:type="dxa"/>
            <w:vAlign w:val="bottom"/>
          </w:tcPr>
          <w:p>
            <w:pPr>
              <w:spacing w:after="0"/>
              <w:rPr>
                <w:sz w:val="20"/>
                <w:szCs w:val="20"/>
                <w:color w:val="auto"/>
              </w:rPr>
            </w:pPr>
            <w:r>
              <w:rPr>
                <w:rFonts w:ascii="Arial" w:cs="Arial" w:eastAsia="Arial" w:hAnsi="Arial"/>
                <w:sz w:val="20"/>
                <w:szCs w:val="20"/>
                <w:color w:val="auto"/>
              </w:rPr>
              <w:t>31.2*</w:t>
            </w:r>
          </w:p>
        </w:tc>
        <w:tc>
          <w:tcPr>
            <w:tcW w:w="580" w:type="dxa"/>
            <w:vAlign w:val="bottom"/>
          </w:tcPr>
          <w:p>
            <w:pPr>
              <w:spacing w:after="0"/>
              <w:rPr>
                <w:sz w:val="24"/>
                <w:szCs w:val="24"/>
                <w:color w:val="auto"/>
              </w:rPr>
            </w:pPr>
          </w:p>
        </w:tc>
        <w:tc>
          <w:tcPr>
            <w:tcW w:w="7920" w:type="dxa"/>
            <w:vAlign w:val="bottom"/>
            <w:tcBorders>
              <w:top w:val="single" w:sz="8" w:color="0000EE"/>
              <w:bottom w:val="single" w:sz="8" w:color="0000EE"/>
            </w:tcBorders>
            <w:gridSpan w:val="3"/>
          </w:tcPr>
          <w:p>
            <w:pPr>
              <w:spacing w:after="0"/>
              <w:rPr>
                <w:rFonts w:ascii="Arial" w:cs="Arial" w:eastAsia="Arial" w:hAnsi="Arial"/>
                <w:sz w:val="20"/>
                <w:szCs w:val="20"/>
                <w:color w:val="0000EE"/>
                <w:w w:val="91"/>
              </w:rPr>
            </w:pPr>
            <w:hyperlink w:anchor="page36">
              <w:r>
                <w:rPr>
                  <w:rFonts w:ascii="Arial" w:cs="Arial" w:eastAsia="Arial" w:hAnsi="Arial"/>
                  <w:sz w:val="20"/>
                  <w:szCs w:val="20"/>
                  <w:color w:val="0000EE"/>
                  <w:w w:val="91"/>
                </w:rPr>
                <w:t>Certification of Chief Financial Officer Pursuant to Section 302 of the Sarbanes- Oxley Act of 2002</w:t>
              </w:r>
            </w:hyperlink>
          </w:p>
        </w:tc>
        <w:tc>
          <w:tcPr>
            <w:tcW w:w="40" w:type="dxa"/>
            <w:vAlign w:val="bottom"/>
            <w:tcBorders>
              <w:top w:val="single" w:sz="8" w:color="0000EE"/>
            </w:tcBorders>
          </w:tcPr>
          <w:p>
            <w:pPr>
              <w:spacing w:after="0"/>
              <w:rPr>
                <w:sz w:val="24"/>
                <w:szCs w:val="24"/>
                <w:color w:val="auto"/>
              </w:rPr>
            </w:pPr>
          </w:p>
        </w:tc>
        <w:tc>
          <w:tcPr>
            <w:tcW w:w="1880" w:type="dxa"/>
            <w:vAlign w:val="bottom"/>
            <w:gridSpan w:val="3"/>
          </w:tcPr>
          <w:p>
            <w:pPr>
              <w:spacing w:after="0"/>
              <w:rPr>
                <w:sz w:val="24"/>
                <w:szCs w:val="24"/>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20"/>
                <w:szCs w:val="20"/>
                <w:color w:val="auto"/>
              </w:rPr>
              <w:t>32.1*</w:t>
            </w:r>
          </w:p>
        </w:tc>
        <w:tc>
          <w:tcPr>
            <w:tcW w:w="580" w:type="dxa"/>
            <w:vAlign w:val="bottom"/>
          </w:tcPr>
          <w:p>
            <w:pPr>
              <w:spacing w:after="0"/>
              <w:rPr>
                <w:sz w:val="24"/>
                <w:szCs w:val="24"/>
                <w:color w:val="auto"/>
              </w:rPr>
            </w:pPr>
          </w:p>
        </w:tc>
        <w:tc>
          <w:tcPr>
            <w:tcW w:w="9480" w:type="dxa"/>
            <w:vAlign w:val="bottom"/>
            <w:tcBorders>
              <w:bottom w:val="single" w:sz="8" w:color="0000EE"/>
            </w:tcBorders>
            <w:gridSpan w:val="6"/>
          </w:tcPr>
          <w:p>
            <w:pPr>
              <w:spacing w:after="0"/>
              <w:rPr>
                <w:rFonts w:ascii="Arial" w:cs="Arial" w:eastAsia="Arial" w:hAnsi="Arial"/>
                <w:sz w:val="20"/>
                <w:szCs w:val="20"/>
                <w:color w:val="0000EE"/>
                <w:w w:val="90"/>
              </w:rPr>
            </w:pPr>
            <w:hyperlink w:anchor="page37">
              <w:r>
                <w:rPr>
                  <w:rFonts w:ascii="Arial" w:cs="Arial" w:eastAsia="Arial" w:hAnsi="Arial"/>
                  <w:sz w:val="20"/>
                  <w:szCs w:val="20"/>
                  <w:color w:val="0000EE"/>
                  <w:w w:val="90"/>
                </w:rPr>
                <w:t>Certification of Chief Executive Officer Pursuant to 18 U.S.C. Section 1350, as Adopted Pursuant to Section 906 of the</w:t>
              </w:r>
            </w:hyperlink>
          </w:p>
        </w:tc>
        <w:tc>
          <w:tcPr>
            <w:tcW w:w="360" w:type="dxa"/>
            <w:vAlign w:val="bottom"/>
          </w:tcPr>
          <w:p>
            <w:pPr>
              <w:spacing w:after="0"/>
              <w:rPr>
                <w:sz w:val="24"/>
                <w:szCs w:val="24"/>
                <w:color w:val="auto"/>
              </w:rPr>
            </w:pPr>
          </w:p>
        </w:tc>
      </w:tr>
      <w:tr>
        <w:trPr>
          <w:trHeight w:val="210"/>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Borders>
              <w:bottom w:val="single" w:sz="8" w:color="0000EE"/>
            </w:tcBorders>
            <w:gridSpan w:val="2"/>
          </w:tcPr>
          <w:p>
            <w:pPr>
              <w:spacing w:after="0" w:line="209" w:lineRule="exact"/>
              <w:rPr>
                <w:rFonts w:ascii="Arial" w:cs="Arial" w:eastAsia="Arial" w:hAnsi="Arial"/>
                <w:sz w:val="20"/>
                <w:szCs w:val="20"/>
                <w:color w:val="0000EE"/>
                <w:w w:val="90"/>
              </w:rPr>
            </w:pPr>
            <w:hyperlink w:anchor="page37">
              <w:r>
                <w:rPr>
                  <w:rFonts w:ascii="Arial" w:cs="Arial" w:eastAsia="Arial" w:hAnsi="Arial"/>
                  <w:sz w:val="20"/>
                  <w:szCs w:val="20"/>
                  <w:color w:val="0000EE"/>
                  <w:w w:val="90"/>
                </w:rPr>
                <w:t>Sarbanes-Oxley Act of 2002</w:t>
              </w:r>
            </w:hyperlink>
          </w:p>
        </w:tc>
        <w:tc>
          <w:tcPr>
            <w:tcW w:w="7560" w:type="dxa"/>
            <w:vAlign w:val="bottom"/>
            <w:gridSpan w:val="5"/>
          </w:tcPr>
          <w:p>
            <w:pPr>
              <w:spacing w:after="0"/>
              <w:rPr>
                <w:sz w:val="18"/>
                <w:szCs w:val="18"/>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20"/>
                <w:szCs w:val="20"/>
                <w:color w:val="auto"/>
              </w:rPr>
              <w:t>32.2*</w:t>
            </w:r>
          </w:p>
        </w:tc>
        <w:tc>
          <w:tcPr>
            <w:tcW w:w="580" w:type="dxa"/>
            <w:vAlign w:val="bottom"/>
          </w:tcPr>
          <w:p>
            <w:pPr>
              <w:spacing w:after="0"/>
              <w:rPr>
                <w:sz w:val="24"/>
                <w:szCs w:val="24"/>
                <w:color w:val="auto"/>
              </w:rPr>
            </w:pPr>
          </w:p>
        </w:tc>
        <w:tc>
          <w:tcPr>
            <w:tcW w:w="9840" w:type="dxa"/>
            <w:vAlign w:val="bottom"/>
            <w:gridSpan w:val="7"/>
          </w:tcPr>
          <w:p>
            <w:pPr>
              <w:spacing w:after="0"/>
              <w:rPr>
                <w:rFonts w:ascii="Arial" w:cs="Arial" w:eastAsia="Arial" w:hAnsi="Arial"/>
                <w:sz w:val="20"/>
                <w:szCs w:val="20"/>
                <w:color w:val="0000EE"/>
                <w:w w:val="94"/>
              </w:rPr>
            </w:pPr>
            <w:hyperlink w:anchor="page38">
              <w:r>
                <w:rPr>
                  <w:rFonts w:ascii="Arial" w:cs="Arial" w:eastAsia="Arial" w:hAnsi="Arial"/>
                  <w:sz w:val="20"/>
                  <w:szCs w:val="20"/>
                  <w:color w:val="0000EE"/>
                  <w:w w:val="94"/>
                </w:rPr>
                <w:t>Certification by Chief Financial Officer Pursuant to 18 U.S.C. Section 1350, as Adopted Pursuant to Section 906 of the</w:t>
              </w:r>
            </w:hyperlink>
          </w:p>
        </w:tc>
      </w:tr>
      <w:tr>
        <w:trPr>
          <w:trHeight w:val="210"/>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40" w:type="dxa"/>
            <w:vAlign w:val="bottom"/>
            <w:tcBorders>
              <w:top w:val="single" w:sz="8" w:color="0000EE"/>
            </w:tcBorders>
            <w:gridSpan w:val="5"/>
          </w:tcPr>
          <w:p>
            <w:pPr>
              <w:spacing w:after="0" w:line="209" w:lineRule="exact"/>
              <w:rPr>
                <w:rFonts w:ascii="Arial" w:cs="Arial" w:eastAsia="Arial" w:hAnsi="Arial"/>
                <w:sz w:val="20"/>
                <w:szCs w:val="20"/>
                <w:color w:val="0000EE"/>
              </w:rPr>
            </w:pPr>
            <w:hyperlink w:anchor="page38">
              <w:r>
                <w:rPr>
                  <w:rFonts w:ascii="Arial" w:cs="Arial" w:eastAsia="Arial" w:hAnsi="Arial"/>
                  <w:sz w:val="20"/>
                  <w:szCs w:val="20"/>
                  <w:color w:val="0000EE"/>
                </w:rPr>
                <w:t>Sarbanes-Oxley Act of 2002</w:t>
              </w:r>
            </w:hyperlink>
          </w:p>
        </w:tc>
        <w:tc>
          <w:tcPr>
            <w:tcW w:w="400" w:type="dxa"/>
            <w:vAlign w:val="bottom"/>
            <w:gridSpan w:val="2"/>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580" w:type="dxa"/>
            <w:vAlign w:val="bottom"/>
            <w:gridSpan w:val="6"/>
          </w:tcPr>
          <w:p>
            <w:pPr>
              <w:spacing w:after="0" w:line="20" w:lineRule="exact"/>
              <w:rPr>
                <w:sz w:val="1"/>
                <w:szCs w:val="1"/>
                <w:color w:val="auto"/>
              </w:rPr>
            </w:pPr>
          </w:p>
        </w:tc>
      </w:tr>
      <w:tr>
        <w:trPr>
          <w:trHeight w:val="449"/>
        </w:trPr>
        <w:tc>
          <w:tcPr>
            <w:tcW w:w="1000" w:type="dxa"/>
            <w:vAlign w:val="bottom"/>
          </w:tcPr>
          <w:p>
            <w:pPr>
              <w:spacing w:after="0"/>
              <w:rPr>
                <w:sz w:val="20"/>
                <w:szCs w:val="20"/>
                <w:color w:val="auto"/>
              </w:rPr>
            </w:pPr>
            <w:r>
              <w:rPr>
                <w:rFonts w:ascii="Arial" w:cs="Arial" w:eastAsia="Arial" w:hAnsi="Arial"/>
                <w:sz w:val="20"/>
                <w:szCs w:val="20"/>
                <w:color w:val="auto"/>
              </w:rPr>
              <w:t>101*</w:t>
            </w:r>
          </w:p>
        </w:tc>
        <w:tc>
          <w:tcPr>
            <w:tcW w:w="58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Arial" w:cs="Arial" w:eastAsia="Arial" w:hAnsi="Arial"/>
                <w:sz w:val="20"/>
                <w:szCs w:val="20"/>
                <w:color w:val="auto"/>
                <w:w w:val="93"/>
              </w:rPr>
              <w:t>The following financial information from Monster Beverage Corporation’s Quarterly Report on Form 10-Q for the quarter</w:t>
            </w:r>
          </w:p>
        </w:tc>
      </w:tr>
      <w:tr>
        <w:trPr>
          <w:trHeight w:val="230"/>
        </w:trPr>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40" w:type="dxa"/>
            <w:vAlign w:val="bottom"/>
            <w:gridSpan w:val="7"/>
          </w:tcPr>
          <w:p>
            <w:pPr>
              <w:spacing w:after="0"/>
              <w:rPr>
                <w:sz w:val="20"/>
                <w:szCs w:val="20"/>
                <w:color w:val="auto"/>
              </w:rPr>
            </w:pPr>
            <w:r>
              <w:rPr>
                <w:rFonts w:ascii="Arial" w:cs="Arial" w:eastAsia="Arial" w:hAnsi="Arial"/>
                <w:sz w:val="20"/>
                <w:szCs w:val="20"/>
                <w:color w:val="auto"/>
                <w:w w:val="90"/>
              </w:rPr>
              <w:t>ended June 30, 2018, formatted in XBRL (eXtensible Business Reporting Language): (i) Condensed Consolidated Balance</w:t>
            </w:r>
          </w:p>
        </w:tc>
      </w:tr>
      <w:tr>
        <w:trPr>
          <w:trHeight w:val="246"/>
        </w:trPr>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40" w:type="dxa"/>
            <w:vAlign w:val="bottom"/>
            <w:gridSpan w:val="7"/>
          </w:tcPr>
          <w:p>
            <w:pPr>
              <w:spacing w:after="0"/>
              <w:rPr>
                <w:sz w:val="20"/>
                <w:szCs w:val="20"/>
                <w:color w:val="auto"/>
              </w:rPr>
            </w:pPr>
            <w:r>
              <w:rPr>
                <w:rFonts w:ascii="Arial" w:cs="Arial" w:eastAsia="Arial" w:hAnsi="Arial"/>
                <w:sz w:val="20"/>
                <w:szCs w:val="20"/>
                <w:color w:val="auto"/>
                <w:w w:val="90"/>
              </w:rPr>
              <w:t>Sheets as of June 30, 2018 and December 31, 2017, (ii) Condensed Consolidated Statements of Income for the three- and</w:t>
            </w:r>
          </w:p>
        </w:tc>
      </w:tr>
    </w:tbl>
    <w:p>
      <w:pPr>
        <w:jc w:val="both"/>
        <w:ind w:left="1580" w:right="40"/>
        <w:spacing w:after="0" w:line="282" w:lineRule="auto"/>
        <w:rPr>
          <w:sz w:val="20"/>
          <w:szCs w:val="20"/>
          <w:color w:val="auto"/>
        </w:rPr>
      </w:pPr>
      <w:r>
        <w:rPr>
          <w:rFonts w:ascii="Arial" w:cs="Arial" w:eastAsia="Arial" w:hAnsi="Arial"/>
          <w:sz w:val="18"/>
          <w:szCs w:val="18"/>
          <w:color w:val="auto"/>
        </w:rPr>
        <w:t>six-months ended June 30, 2018 and 2017, (iii) Condensed Consolidated Statements of Comprehensive Income for the three- and six-months ended June 30, 2018 and 2017, (iv) Condensed Consolidated Statements of Cash Flows for the six-months ended June 30, 2018 and 2017, and (v) the Notes to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MONSTER BEVERAGE CORPORATION</w:t>
            </w:r>
          </w:p>
        </w:tc>
      </w:tr>
      <w:tr>
        <w:trPr>
          <w:trHeight w:val="250"/>
        </w:trPr>
        <w:tc>
          <w:tcPr>
            <w:tcW w:w="36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3660" w:type="dxa"/>
            <w:vAlign w:val="bottom"/>
          </w:tcPr>
          <w:p>
            <w:pPr>
              <w:spacing w:after="0"/>
              <w:rPr>
                <w:sz w:val="20"/>
                <w:szCs w:val="20"/>
                <w:color w:val="auto"/>
              </w:rPr>
            </w:pPr>
            <w:r>
              <w:rPr>
                <w:rFonts w:ascii="Arial" w:cs="Arial" w:eastAsia="Arial" w:hAnsi="Arial"/>
                <w:sz w:val="20"/>
                <w:szCs w:val="20"/>
                <w:color w:val="auto"/>
              </w:rPr>
              <w:t>Date: August 9, 2018</w:t>
            </w:r>
          </w:p>
        </w:tc>
        <w:tc>
          <w:tcPr>
            <w:tcW w:w="2080" w:type="dxa"/>
            <w:vAlign w:val="bottom"/>
          </w:tcPr>
          <w:p>
            <w:pPr>
              <w:spacing w:after="0"/>
              <w:rPr>
                <w:sz w:val="24"/>
                <w:szCs w:val="24"/>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2"/>
              </w:rPr>
              <w:t>/s/ RODNEY C. SACKS</w:t>
            </w:r>
          </w:p>
        </w:tc>
        <w:tc>
          <w:tcPr>
            <w:tcW w:w="3740" w:type="dxa"/>
            <w:vAlign w:val="bottom"/>
          </w:tcPr>
          <w:p>
            <w:pPr>
              <w:spacing w:after="0"/>
              <w:rPr>
                <w:sz w:val="24"/>
                <w:szCs w:val="24"/>
                <w:color w:val="auto"/>
              </w:rPr>
            </w:pPr>
          </w:p>
        </w:tc>
      </w:tr>
      <w:tr>
        <w:trPr>
          <w:trHeight w:val="233"/>
        </w:trPr>
        <w:tc>
          <w:tcPr>
            <w:tcW w:w="3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Rodney C. Sacks</w:t>
            </w:r>
          </w:p>
        </w:tc>
      </w:tr>
      <w:tr>
        <w:trPr>
          <w:trHeight w:val="230"/>
        </w:trPr>
        <w:tc>
          <w:tcPr>
            <w:tcW w:w="3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6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59"/>
        </w:trPr>
        <w:tc>
          <w:tcPr>
            <w:tcW w:w="3660" w:type="dxa"/>
            <w:vAlign w:val="bottom"/>
          </w:tcPr>
          <w:p>
            <w:pPr>
              <w:spacing w:after="0"/>
              <w:rPr>
                <w:sz w:val="24"/>
                <w:szCs w:val="24"/>
                <w:color w:val="auto"/>
              </w:rPr>
            </w:pPr>
          </w:p>
        </w:tc>
        <w:tc>
          <w:tcPr>
            <w:tcW w:w="4060" w:type="dxa"/>
            <w:vAlign w:val="bottom"/>
            <w:gridSpan w:val="2"/>
          </w:tcPr>
          <w:p>
            <w:pPr>
              <w:jc w:val="right"/>
              <w:ind w:right="1801"/>
              <w:spacing w:after="0"/>
              <w:rPr>
                <w:sz w:val="20"/>
                <w:szCs w:val="20"/>
                <w:color w:val="auto"/>
              </w:rPr>
            </w:pPr>
            <w:r>
              <w:rPr>
                <w:rFonts w:ascii="Arial" w:cs="Arial" w:eastAsia="Arial" w:hAnsi="Arial"/>
                <w:sz w:val="20"/>
                <w:szCs w:val="20"/>
                <w:color w:val="auto"/>
              </w:rPr>
              <w:t>52</w:t>
            </w:r>
          </w:p>
        </w:tc>
        <w:tc>
          <w:tcPr>
            <w:tcW w:w="3740" w:type="dxa"/>
            <w:vAlign w:val="bottom"/>
          </w:tcPr>
          <w:p>
            <w:pPr>
              <w:spacing w:after="0"/>
              <w:rPr>
                <w:sz w:val="24"/>
                <w:szCs w:val="24"/>
                <w:color w:val="auto"/>
              </w:rPr>
            </w:pPr>
          </w:p>
        </w:tc>
      </w:tr>
      <w:tr>
        <w:trPr>
          <w:trHeight w:val="128"/>
        </w:trPr>
        <w:tc>
          <w:tcPr>
            <w:tcW w:w="366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Rodney Sacks, certify that:</w:t>
      </w:r>
    </w:p>
    <w:p>
      <w:pPr>
        <w:spacing w:after="0" w:line="225"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ind w:left="340" w:right="40" w:hanging="332"/>
        <w:spacing w:after="0" w:line="342" w:lineRule="auto"/>
        <w:tabs>
          <w:tab w:leader="none" w:pos="414"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 w:hanging="332"/>
        <w:spacing w:after="0" w:line="277"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40" w:hanging="332"/>
        <w:spacing w:after="0" w:line="264" w:lineRule="auto"/>
        <w:tabs>
          <w:tab w:leader="none" w:pos="4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9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40" w:hanging="315"/>
        <w:spacing w:after="0" w:line="342" w:lineRule="auto"/>
        <w:tabs>
          <w:tab w:leader="none" w:pos="1664"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right="40" w:hanging="315"/>
        <w:spacing w:after="0" w:line="264" w:lineRule="auto"/>
        <w:tabs>
          <w:tab w:leader="none" w:pos="1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340" w:right="40" w:hanging="332"/>
        <w:spacing w:after="0" w:line="308" w:lineRule="auto"/>
        <w:tabs>
          <w:tab w:leader="none" w:pos="46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right="40" w:hanging="315"/>
        <w:spacing w:after="0" w:line="308" w:lineRule="auto"/>
        <w:tabs>
          <w:tab w:leader="none" w:pos="1758"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right="40" w:hanging="315"/>
        <w:spacing w:after="0" w:line="277" w:lineRule="auto"/>
        <w:tabs>
          <w:tab w:leader="none" w:pos="163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280"/>
              <w:spacing w:after="0"/>
              <w:rPr>
                <w:sz w:val="20"/>
                <w:szCs w:val="20"/>
                <w:color w:val="auto"/>
              </w:rPr>
            </w:pPr>
            <w:r>
              <w:rPr>
                <w:rFonts w:ascii="Arial" w:cs="Arial" w:eastAsia="Arial" w:hAnsi="Arial"/>
                <w:sz w:val="18"/>
                <w:szCs w:val="18"/>
                <w:color w:val="auto"/>
              </w:rPr>
              <w:t>August 9, 2018</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/s/Rodney C. Sacks</w:t>
            </w:r>
          </w:p>
        </w:tc>
        <w:tc>
          <w:tcPr>
            <w:tcW w:w="40" w:type="dxa"/>
            <w:vAlign w:val="bottom"/>
          </w:tcPr>
          <w:p>
            <w:pPr>
              <w:spacing w:after="0"/>
              <w:rPr>
                <w:sz w:val="20"/>
                <w:szCs w:val="20"/>
                <w:color w:val="auto"/>
              </w:rPr>
            </w:pPr>
          </w:p>
        </w:tc>
      </w:tr>
      <w:tr>
        <w:trPr>
          <w:trHeight w:val="195"/>
        </w:trPr>
        <w:tc>
          <w:tcPr>
            <w:tcW w:w="6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c>
          <w:tcPr>
            <w:tcW w:w="4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40" w:type="dxa"/>
            <w:vAlign w:val="bottom"/>
          </w:tcPr>
          <w:p>
            <w:pPr>
              <w:spacing w:after="0"/>
              <w:rPr>
                <w:sz w:val="20"/>
                <w:szCs w:val="20"/>
                <w:color w:val="auto"/>
              </w:rPr>
            </w:pPr>
          </w:p>
        </w:tc>
      </w:tr>
      <w:tr>
        <w:trPr>
          <w:trHeight w:val="348"/>
        </w:trPr>
        <w:tc>
          <w:tcPr>
            <w:tcW w:w="66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Hilton Schlosberg, certify that:</w:t>
      </w:r>
    </w:p>
    <w:p>
      <w:pPr>
        <w:spacing w:after="0" w:line="225"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ind w:left="340" w:right="40" w:hanging="332"/>
        <w:spacing w:after="0" w:line="342" w:lineRule="auto"/>
        <w:tabs>
          <w:tab w:leader="none" w:pos="4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 w:hanging="332"/>
        <w:spacing w:after="0" w:line="277"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40" w:hanging="332"/>
        <w:spacing w:after="0" w:line="264" w:lineRule="auto"/>
        <w:tabs>
          <w:tab w:leader="none" w:pos="4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9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40" w:hanging="315"/>
        <w:spacing w:after="0" w:line="342" w:lineRule="auto"/>
        <w:tabs>
          <w:tab w:leader="none" w:pos="1664"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right="40" w:hanging="315"/>
        <w:spacing w:after="0" w:line="264" w:lineRule="auto"/>
        <w:tabs>
          <w:tab w:leader="none" w:pos="1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340" w:right="40" w:hanging="332"/>
        <w:spacing w:after="0" w:line="308" w:lineRule="auto"/>
        <w:tabs>
          <w:tab w:leader="none" w:pos="46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right="40" w:hanging="315"/>
        <w:spacing w:after="0" w:line="308" w:lineRule="auto"/>
        <w:tabs>
          <w:tab w:leader="none" w:pos="1758"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right="40" w:hanging="315"/>
        <w:spacing w:after="0" w:line="277" w:lineRule="auto"/>
        <w:tabs>
          <w:tab w:leader="none" w:pos="163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240"/>
              <w:spacing w:after="0"/>
              <w:rPr>
                <w:sz w:val="20"/>
                <w:szCs w:val="20"/>
                <w:color w:val="auto"/>
              </w:rPr>
            </w:pPr>
            <w:r>
              <w:rPr>
                <w:rFonts w:ascii="Arial" w:cs="Arial" w:eastAsia="Arial" w:hAnsi="Arial"/>
                <w:sz w:val="18"/>
                <w:szCs w:val="18"/>
                <w:color w:val="auto"/>
              </w:rPr>
              <w:t>August 9,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0"/>
                <w:szCs w:val="20"/>
                <w:color w:val="auto"/>
              </w:rPr>
            </w:pPr>
          </w:p>
        </w:tc>
      </w:tr>
      <w:tr>
        <w:trPr>
          <w:trHeight w:val="195"/>
        </w:trPr>
        <w:tc>
          <w:tcPr>
            <w:tcW w:w="6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6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Operating Officer, Chief</w:t>
            </w:r>
          </w:p>
        </w:tc>
        <w:tc>
          <w:tcPr>
            <w:tcW w:w="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Financial Officer and Secretary</w:t>
            </w:r>
          </w:p>
        </w:tc>
        <w:tc>
          <w:tcPr>
            <w:tcW w:w="4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Monster Beverage Corporation (the “Company”) on Form 10-Q for the quarter ended June 30, 2018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66"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12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80"/>
              <w:spacing w:after="0"/>
              <w:rPr>
                <w:sz w:val="20"/>
                <w:szCs w:val="20"/>
                <w:color w:val="auto"/>
              </w:rPr>
            </w:pPr>
            <w:r>
              <w:rPr>
                <w:rFonts w:ascii="Arial" w:cs="Arial" w:eastAsia="Arial" w:hAnsi="Arial"/>
                <w:sz w:val="18"/>
                <w:szCs w:val="18"/>
                <w:color w:val="auto"/>
              </w:rPr>
              <w:t>August 9,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c>
          <w:tcPr>
            <w:tcW w:w="40" w:type="dxa"/>
            <w:vAlign w:val="bottom"/>
          </w:tcPr>
          <w:p>
            <w:pPr>
              <w:spacing w:after="0"/>
              <w:rPr>
                <w:sz w:val="20"/>
                <w:szCs w:val="20"/>
                <w:color w:val="auto"/>
              </w:rPr>
            </w:pPr>
          </w:p>
        </w:tc>
      </w:tr>
      <w:tr>
        <w:trPr>
          <w:trHeight w:val="195"/>
        </w:trPr>
        <w:tc>
          <w:tcPr>
            <w:tcW w:w="7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c>
          <w:tcPr>
            <w:tcW w:w="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40" w:type="dxa"/>
            <w:vAlign w:val="bottom"/>
          </w:tcPr>
          <w:p>
            <w:pPr>
              <w:spacing w:after="0"/>
              <w:rPr>
                <w:sz w:val="20"/>
                <w:szCs w:val="20"/>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June 30, 2018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12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80"/>
              <w:spacing w:after="0"/>
              <w:rPr>
                <w:sz w:val="20"/>
                <w:szCs w:val="20"/>
                <w:color w:val="auto"/>
              </w:rPr>
            </w:pPr>
            <w:r>
              <w:rPr>
                <w:rFonts w:ascii="Arial" w:cs="Arial" w:eastAsia="Arial" w:hAnsi="Arial"/>
                <w:sz w:val="18"/>
                <w:szCs w:val="18"/>
                <w:color w:val="auto"/>
              </w:rPr>
              <w:t>August 9,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0"/>
                <w:szCs w:val="20"/>
                <w:color w:val="auto"/>
              </w:rPr>
            </w:pPr>
          </w:p>
        </w:tc>
      </w:tr>
      <w:tr>
        <w:trPr>
          <w:trHeight w:val="195"/>
        </w:trPr>
        <w:tc>
          <w:tcPr>
            <w:tcW w:w="7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Operating Officer, Chief</w:t>
            </w:r>
          </w:p>
        </w:tc>
        <w:tc>
          <w:tcPr>
            <w:tcW w:w="4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Financial Officer and Secretary</w:t>
            </w:r>
          </w:p>
        </w:tc>
        <w:tc>
          <w:tcPr>
            <w:tcW w:w="40" w:type="dxa"/>
            <w:vAlign w:val="bottom"/>
          </w:tcPr>
          <w:p>
            <w:pPr>
              <w:spacing w:after="0"/>
              <w:rPr>
                <w:sz w:val="20"/>
                <w:szCs w:val="20"/>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2"/>
    </w:lvl>
  </w:abstractNum>
  <w:abstractNum w:abstractNumId="2">
    <w:nsid w:val="436C6125"/>
    <w:multiLevelType w:val="hybridMultilevel"/>
    <w:lvl w:ilvl="0">
      <w:lvlJc w:val="left"/>
      <w:lvlText w:val="%1."/>
      <w:numFmt w:val="decimal"/>
      <w:start w:val="3"/>
    </w:lvl>
  </w:abstractNum>
  <w:abstractNum w:abstractNumId="3">
    <w:nsid w:val="628C895D"/>
    <w:multiLevelType w:val="hybridMultilevel"/>
    <w:lvl w:ilvl="0">
      <w:lvlJc w:val="left"/>
      <w:lvlText w:val="(%1)"/>
      <w:numFmt w:val="lowerRoman"/>
      <w:start w:val="3"/>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Roman"/>
      <w:start w:val="1"/>
    </w:lvl>
  </w:abstractNum>
  <w:abstractNum w:abstractNumId="6">
    <w:nsid w:val="2443A858"/>
    <w:multiLevelType w:val="hybridMultilevel"/>
    <w:lvl w:ilvl="0">
      <w:lvlJc w:val="left"/>
      <w:lvlText w:val="1"/>
      <w:numFmt w:val="bullet"/>
      <w:start w:val="1"/>
    </w:lvl>
  </w:abstractNum>
  <w:abstractNum w:abstractNumId="7">
    <w:nsid w:val="2D1D5AE9"/>
    <w:multiLevelType w:val="hybridMultilevel"/>
    <w:lvl w:ilvl="0">
      <w:lvlJc w:val="left"/>
      <w:lvlText w:val="%1."/>
      <w:numFmt w:val="decimal"/>
      <w:start w:val="4"/>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decimal"/>
      <w:start w:val="7"/>
    </w:lvl>
  </w:abstractNum>
  <w:abstractNum w:abstractNumId="12">
    <w:nsid w:val="4353D0CD"/>
    <w:multiLevelType w:val="hybridMultilevel"/>
    <w:lvl w:ilvl="0">
      <w:lvlJc w:val="left"/>
      <w:lvlText w:val="%1."/>
      <w:numFmt w:val="decimal"/>
      <w:start w:val="8"/>
    </w:lvl>
  </w:abstractNum>
  <w:abstractNum w:abstractNumId="13">
    <w:nsid w:val="B03E0C6"/>
    <w:multiLevelType w:val="hybridMultilevel"/>
    <w:lvl w:ilvl="0">
      <w:lvlJc w:val="left"/>
      <w:lvlText w:val="%1."/>
      <w:numFmt w:val="decimal"/>
      <w:start w:val="9"/>
    </w:lvl>
  </w:abstractNum>
  <w:abstractNum w:abstractNumId="14">
    <w:nsid w:val="189A769B"/>
    <w:multiLevelType w:val="hybridMultilevel"/>
    <w:lvl w:ilvl="0">
      <w:lvlJc w:val="left"/>
      <w:lvlText w:val="%1."/>
      <w:numFmt w:val="decimal"/>
      <w:start w:val="10"/>
    </w:lvl>
  </w:abstractNum>
  <w:abstractNum w:abstractNumId="15">
    <w:nsid w:val="54E49EB4"/>
    <w:multiLevelType w:val="hybridMultilevel"/>
    <w:lvl w:ilvl="0">
      <w:lvlJc w:val="left"/>
      <w:lvlText w:val="%1."/>
      <w:numFmt w:val="decimal"/>
      <w:start w:val="11"/>
    </w:lvl>
  </w:abstractNum>
  <w:abstractNum w:abstractNumId="16">
    <w:nsid w:val="71F32454"/>
    <w:multiLevelType w:val="hybridMultilevel"/>
    <w:lvl w:ilvl="0">
      <w:lvlJc w:val="left"/>
      <w:lvlText w:val="%1."/>
      <w:numFmt w:val="decimal"/>
      <w:start w:val="12"/>
    </w:lvl>
  </w:abstractNum>
  <w:abstractNum w:abstractNumId="17">
    <w:nsid w:val="2CA88611"/>
    <w:multiLevelType w:val="hybridMultilevel"/>
    <w:lvl w:ilvl="0">
      <w:lvlJc w:val="left"/>
      <w:lvlText w:val="%1."/>
      <w:numFmt w:val="decimal"/>
      <w:start w:val="13"/>
    </w:lvl>
  </w:abstractNum>
  <w:abstractNum w:abstractNumId="18">
    <w:nsid w:val="836C40E"/>
    <w:multiLevelType w:val="hybridMultilevel"/>
    <w:lvl w:ilvl="0">
      <w:lvlJc w:val="left"/>
      <w:lvlText w:val="%1."/>
      <w:numFmt w:val="decimal"/>
      <w:start w:val="14"/>
    </w:lvl>
  </w:abstractNum>
  <w:abstractNum w:abstractNumId="19">
    <w:nsid w:val="2901D82"/>
    <w:multiLevelType w:val="hybridMultilevel"/>
    <w:lvl w:ilvl="0">
      <w:lvlJc w:val="left"/>
      <w:lvlText w:val="%1."/>
      <w:numFmt w:val="decimal"/>
      <w:start w:val="15"/>
    </w:lvl>
  </w:abstractNum>
  <w:abstractNum w:abstractNumId="20">
    <w:nsid w:val="3A95F874"/>
    <w:multiLevelType w:val="hybridMultilevel"/>
    <w:lvl w:ilvl="0">
      <w:lvlJc w:val="left"/>
      <w:lvlText w:val="%1."/>
      <w:numFmt w:val="decimal"/>
      <w:start w:val="16"/>
    </w:lvl>
  </w:abstractNum>
  <w:abstractNum w:abstractNumId="21">
    <w:nsid w:val="8138641"/>
    <w:multiLevelType w:val="hybridMultilevel"/>
    <w:lvl w:ilvl="0">
      <w:lvlJc w:val="left"/>
      <w:lvlText w:val="%1."/>
      <w:numFmt w:val="decimal"/>
      <w:start w:val="17"/>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8"/>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Roman"/>
      <w:start w:val="5"/>
    </w:lvl>
  </w:abstractNum>
  <w:abstractNum w:abstractNumId="27">
    <w:nsid w:val="4516DDE9"/>
    <w:multiLevelType w:val="hybridMultilevel"/>
    <w:lvl w:ilvl="0">
      <w:lvlJc w:val="left"/>
      <w:lvlText w:val="(%1)"/>
      <w:numFmt w:val="lowerRoman"/>
      <w:start w:val="3"/>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2019-12-28T19:55:25Z</dcterms:created>
  <dcterms:modified xsi:type="dcterms:W3CDTF">2019-12-28T19:55:25Z</dcterms:modified>
</cp:coreProperties>
</file>