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spacing w:after="0"/>
        <w:tabs>
          <w:tab w:leader="none" w:pos="6660" w:val="left"/>
        </w:tabs>
        <w:rPr>
          <w:sz w:val="20"/>
          <w:szCs w:val="20"/>
          <w:color w:val="auto"/>
        </w:rPr>
      </w:pPr>
      <w:r>
        <w:rPr>
          <w:rFonts w:ascii="Arial" w:cs="Arial" w:eastAsia="Arial" w:hAnsi="Arial"/>
          <w:sz w:val="18"/>
          <w:szCs w:val="18"/>
          <w:color w:val="auto"/>
        </w:rPr>
        <w:t>For the quarterly period ended June 30, 2020</w:t>
      </w:r>
      <w:r>
        <w:rPr>
          <w:sz w:val="20"/>
          <w:szCs w:val="20"/>
          <w:color w:val="auto"/>
        </w:rPr>
        <w:tab/>
      </w:r>
      <w:r>
        <w:rPr>
          <w:rFonts w:ascii="Arial" w:cs="Arial" w:eastAsia="Arial" w:hAnsi="Arial"/>
          <w:sz w:val="16"/>
          <w:szCs w:val="16"/>
          <w:color w:val="auto"/>
        </w:rPr>
        <w:t>Commission File Number 001-18761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47-1809393</w:t>
            </w:r>
          </w:p>
        </w:tc>
      </w:tr>
      <w:tr>
        <w:trPr>
          <w:trHeight w:val="216"/>
        </w:trPr>
        <w:tc>
          <w:tcPr>
            <w:tcW w:w="2340" w:type="dxa"/>
            <w:vAlign w:val="bottom"/>
          </w:tcPr>
          <w:p>
            <w:pPr>
              <w:spacing w:after="0"/>
              <w:rPr>
                <w:sz w:val="18"/>
                <w:szCs w:val="18"/>
                <w:color w:val="auto"/>
              </w:rPr>
            </w:pP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(State or other jurisdiction of</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(I.R.S. Employer</w:t>
            </w:r>
          </w:p>
        </w:tc>
      </w:tr>
      <w:tr>
        <w:trPr>
          <w:trHeight w:val="230"/>
        </w:trPr>
        <w:tc>
          <w:tcPr>
            <w:tcW w:w="2340" w:type="dxa"/>
            <w:vAlign w:val="bottom"/>
          </w:tcPr>
          <w:p>
            <w:pPr>
              <w:spacing w:after="0"/>
              <w:rPr>
                <w:sz w:val="20"/>
                <w:szCs w:val="20"/>
                <w:color w:val="auto"/>
              </w:rPr>
            </w:pP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incorporation or organization)</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Identification No.)</w:t>
            </w:r>
          </w:p>
        </w:tc>
      </w:tr>
      <w:tr>
        <w:trPr>
          <w:trHeight w:val="418"/>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jc w:val="center"/>
              <w:ind w:left="696"/>
              <w:spacing w:after="0"/>
              <w:rPr>
                <w:sz w:val="20"/>
                <w:szCs w:val="20"/>
                <w:color w:val="auto"/>
              </w:rPr>
            </w:pPr>
            <w:r>
              <w:rPr>
                <w:rFonts w:ascii="Arial" w:cs="Arial" w:eastAsia="Arial" w:hAnsi="Arial"/>
                <w:sz w:val="18"/>
                <w:szCs w:val="18"/>
                <w:color w:val="auto"/>
                <w:w w:val="90"/>
              </w:rPr>
              <w:t>1 Monster Way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ind w:left="676"/>
              <w:spacing w:after="0"/>
              <w:rPr>
                <w:sz w:val="20"/>
                <w:szCs w:val="20"/>
                <w:color w:val="auto"/>
              </w:rPr>
            </w:pPr>
            <w:r>
              <w:rPr>
                <w:rFonts w:ascii="Arial" w:cs="Arial" w:eastAsia="Arial" w:hAnsi="Arial"/>
                <w:sz w:val="18"/>
                <w:szCs w:val="18"/>
                <w:color w:val="auto"/>
                <w:w w:val="91"/>
              </w:rPr>
              <w:t>Corona, California 92879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40" w:type="dxa"/>
            <w:vAlign w:val="bottom"/>
            <w:gridSpan w:val="4"/>
          </w:tcPr>
          <w:p>
            <w:pPr>
              <w:jc w:val="center"/>
              <w:ind w:right="309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40" w:type="dxa"/>
            <w:vAlign w:val="bottom"/>
          </w:tcPr>
          <w:p>
            <w:pPr>
              <w:spacing w:after="0"/>
              <w:rPr>
                <w:sz w:val="24"/>
                <w:szCs w:val="24"/>
                <w:color w:val="auto"/>
              </w:rPr>
            </w:pPr>
          </w:p>
        </w:tc>
        <w:tc>
          <w:tcPr>
            <w:tcW w:w="3640" w:type="dxa"/>
            <w:vAlign w:val="bottom"/>
            <w:gridSpan w:val="3"/>
          </w:tcPr>
          <w:p>
            <w:pPr>
              <w:jc w:val="center"/>
              <w:ind w:left="1530"/>
              <w:spacing w:after="0"/>
              <w:rPr>
                <w:sz w:val="20"/>
                <w:szCs w:val="20"/>
                <w:color w:val="auto"/>
              </w:rPr>
            </w:pPr>
            <w:r>
              <w:rPr>
                <w:rFonts w:ascii="Arial" w:cs="Arial" w:eastAsia="Arial" w:hAnsi="Arial"/>
                <w:sz w:val="18"/>
                <w:szCs w:val="18"/>
                <w:color w:val="auto"/>
                <w:w w:val="91"/>
              </w:rPr>
              <w:t>(951) 739 - 6200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40" w:type="dxa"/>
            <w:vAlign w:val="bottom"/>
            <w:gridSpan w:val="4"/>
          </w:tcPr>
          <w:p>
            <w:pPr>
              <w:jc w:val="center"/>
              <w:ind w:right="309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5980" w:type="dxa"/>
            <w:vAlign w:val="bottom"/>
            <w:gridSpan w:val="4"/>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4"/>
        </w:trPr>
        <w:tc>
          <w:tcPr>
            <w:tcW w:w="23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2"/>
              </w:rPr>
              <w:t>Trading Symbol(s)</w:t>
            </w: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340" w:type="dxa"/>
            <w:vAlign w:val="bottom"/>
          </w:tcPr>
          <w:p>
            <w:pPr>
              <w:jc w:val="center"/>
              <w:ind w:left="570"/>
              <w:spacing w:after="0"/>
              <w:rPr>
                <w:sz w:val="20"/>
                <w:szCs w:val="20"/>
                <w:color w:val="auto"/>
              </w:rPr>
            </w:pPr>
            <w:r>
              <w:rPr>
                <w:rFonts w:ascii="Arial" w:cs="Arial" w:eastAsia="Arial" w:hAnsi="Arial"/>
                <w:sz w:val="18"/>
                <w:szCs w:val="18"/>
                <w:color w:val="auto"/>
                <w:w w:val="90"/>
              </w:rPr>
              <w:t>Common Stock</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tcPr>
          <w:p>
            <w:pPr>
              <w:jc w:val="center"/>
              <w:ind w:left="96"/>
              <w:spacing w:after="0"/>
              <w:rPr>
                <w:sz w:val="20"/>
                <w:szCs w:val="20"/>
                <w:color w:val="auto"/>
              </w:rPr>
            </w:pPr>
            <w:r>
              <w:rPr>
                <w:rFonts w:ascii="Arial" w:cs="Arial" w:eastAsia="Arial" w:hAnsi="Arial"/>
                <w:sz w:val="18"/>
                <w:szCs w:val="18"/>
                <w:color w:val="auto"/>
                <w:w w:val="97"/>
              </w:rPr>
              <w:t>MNST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9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01"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left="4380" w:right="1080" w:hanging="3731"/>
        <w:spacing w:after="0" w:line="38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-105410</wp:posOffset>
            </wp:positionV>
            <wp:extent cx="168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7"/>
          <w:szCs w:val="17"/>
          <w:color w:val="auto"/>
        </w:rPr>
        <w:t>The registrant had 527,396,445 shares of common stock, par value $0.005 per share, outstanding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656590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160" w:type="dxa"/>
            <w:vAlign w:val="bottom"/>
            <w:gridSpan w:val="11"/>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15"/>
        </w:trPr>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8"/>
          </w:tcPr>
          <w:p>
            <w:pPr>
              <w:jc w:val="center"/>
              <w:ind w:right="1640"/>
              <w:spacing w:after="0"/>
              <w:rPr>
                <w:sz w:val="20"/>
                <w:szCs w:val="20"/>
                <w:color w:val="auto"/>
              </w:rPr>
            </w:pPr>
            <w:r>
              <w:rPr>
                <w:rFonts w:ascii="Arial" w:cs="Arial" w:eastAsia="Arial" w:hAnsi="Arial"/>
                <w:sz w:val="18"/>
                <w:szCs w:val="18"/>
                <w:b w:val="1"/>
                <w:bCs w:val="1"/>
                <w:color w:val="auto"/>
                <w:w w:val="99"/>
              </w:rPr>
              <w:t>MONSTER BEVERAGE CORPORATION AND SUBSIDIARIES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JUNE 30, 2020</w:t>
            </w:r>
          </w:p>
        </w:tc>
        <w:tc>
          <w:tcPr>
            <w:tcW w:w="1980" w:type="dxa"/>
            <w:vAlign w:val="bottom"/>
            <w:tcBorders>
              <w:top w:val="single" w:sz="8" w:color="auto"/>
            </w:tcBorders>
          </w:tcPr>
          <w:p>
            <w:pPr>
              <w:spacing w:after="0"/>
              <w:rPr>
                <w:sz w:val="17"/>
                <w:szCs w:val="17"/>
                <w:color w:val="auto"/>
              </w:rPr>
            </w:pPr>
          </w:p>
        </w:tc>
        <w:tc>
          <w:tcPr>
            <w:tcW w:w="16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9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8080" w:type="dxa"/>
            <w:vAlign w:val="bottom"/>
            <w:gridSpan w:val="10"/>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Page No.</w:t>
            </w:r>
          </w:p>
        </w:tc>
      </w:tr>
      <w:tr>
        <w:trPr>
          <w:trHeight w:val="453"/>
        </w:trPr>
        <w:tc>
          <w:tcPr>
            <w:tcW w:w="10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08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Condensed Consolidated Statements of Income for the Three- and Six-Months Ended June 30, 2020 and 2019</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91"/>
        </w:trPr>
        <w:tc>
          <w:tcPr>
            <w:tcW w:w="1080" w:type="dxa"/>
            <w:vAlign w:val="bottom"/>
          </w:tcPr>
          <w:p>
            <w:pPr>
              <w:spacing w:after="0"/>
              <w:rPr>
                <w:sz w:val="24"/>
                <w:szCs w:val="24"/>
                <w:color w:val="auto"/>
              </w:rPr>
            </w:pPr>
          </w:p>
        </w:tc>
        <w:tc>
          <w:tcPr>
            <w:tcW w:w="80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for the Three- and Six-Months Ended June 30,</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8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80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Stockholders’ Equity for the Three- and Six-Months Ended June 30,</w:t>
              </w:r>
            </w:hyperlink>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8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and 2019</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u w:val="single" w:color="auto"/>
                <w:color w:val="0000EE"/>
                <w:w w:val="97"/>
              </w:rPr>
            </w:pPr>
            <w:hyperlink w:anchor="page8">
              <w:r>
                <w:rPr>
                  <w:rFonts w:ascii="Arial" w:cs="Arial" w:eastAsia="Arial" w:hAnsi="Arial"/>
                  <w:sz w:val="18"/>
                  <w:szCs w:val="18"/>
                  <w:u w:val="single" w:color="auto"/>
                  <w:color w:val="0000EE"/>
                  <w:w w:val="97"/>
                </w:rPr>
                <w:t>Condensed Consolidated Statements of Cash Flows for the Six-Months Ended June 30, 2020 and 2019</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8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2.</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3.</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4.</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Controls and Procedures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080" w:type="dxa"/>
            <w:vAlign w:val="bottom"/>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Part II.</w:t>
              </w:r>
            </w:hyperlink>
          </w:p>
        </w:tc>
        <w:tc>
          <w:tcPr>
            <w:tcW w:w="8080" w:type="dxa"/>
            <w:vAlign w:val="bottom"/>
            <w:gridSpan w:val="10"/>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OTHER INFORMATION</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Proceedings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080" w:type="dxa"/>
            <w:vAlign w:val="bottom"/>
          </w:tcPr>
          <w:p>
            <w:pPr>
              <w:spacing w:after="0"/>
              <w:rPr>
                <w:rFonts w:ascii="Arial" w:cs="Arial" w:eastAsia="Arial" w:hAnsi="Arial"/>
                <w:sz w:val="18"/>
                <w:szCs w:val="18"/>
                <w:color w:val="0000EE"/>
              </w:rPr>
            </w:pPr>
            <w:hyperlink w:anchor="page49">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Risk Factors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2.</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Unregistered Sales of Equity Securities and Use of Proceeds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3.</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Defaults Upon Senior Securities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4.</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Mine Safety Disclosures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5.</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Other Information</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6.</w:t>
              </w:r>
            </w:hyperlink>
          </w:p>
        </w:tc>
        <w:tc>
          <w:tcPr>
            <w:tcW w:w="8080" w:type="dxa"/>
            <w:vAlign w:val="bottom"/>
            <w:gridSpan w:val="10"/>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Exhibits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08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Signatures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7" w:lineRule="auto"/>
        <w:rPr>
          <w:sz w:val="20"/>
          <w:szCs w:val="20"/>
          <w:color w:val="auto"/>
        </w:rPr>
      </w:pPr>
      <w:r>
        <w:rPr>
          <w:rFonts w:ascii="Arial" w:cs="Arial" w:eastAsia="Arial" w:hAnsi="Arial"/>
          <w:sz w:val="18"/>
          <w:szCs w:val="18"/>
          <w:b w:val="1"/>
          <w:bCs w:val="1"/>
          <w:color w:val="auto"/>
        </w:rPr>
        <w:t>MONSTER BEVERAGE CORPORATION AND SUBSIDIARIES CONDENSED CONSOLIDATED BALANCE SHEETS AS OF JUNE 30, 2020 AND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940" w:type="dxa"/>
            <w:vAlign w:val="bottom"/>
            <w:gridSpan w:val="3"/>
            <w:shd w:val="clear" w:color="auto" w:fill="CCEEFF"/>
          </w:tcPr>
          <w:p>
            <w:pPr>
              <w:jc w:val="center"/>
              <w:ind w:right="3340"/>
              <w:spacing w:after="0" w:line="158" w:lineRule="exact"/>
              <w:rPr>
                <w:sz w:val="20"/>
                <w:szCs w:val="20"/>
                <w:color w:val="auto"/>
              </w:rPr>
            </w:pPr>
            <w:r>
              <w:rPr>
                <w:rFonts w:ascii="Arial" w:cs="Arial" w:eastAsia="Arial" w:hAnsi="Arial"/>
                <w:sz w:val="16"/>
                <w:szCs w:val="16"/>
                <w:b w:val="1"/>
                <w:bCs w:val="1"/>
                <w:color w:val="auto"/>
                <w:w w:val="93"/>
              </w:rPr>
              <w:t>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17"/>
                <w:szCs w:val="17"/>
                <w:color w:val="auto"/>
              </w:rPr>
            </w:pPr>
          </w:p>
        </w:tc>
        <w:tc>
          <w:tcPr>
            <w:tcW w:w="334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921,326</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250,753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760,433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340,536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Prepaid income taxes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2,371,450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2,316,309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301,946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INCOME TAXES,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1,331,643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1,055,544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400" w:type="dxa"/>
            <w:vAlign w:val="bottom"/>
            <w:tcBorders>
              <w:bottom w:val="single" w:sz="8" w:color="CCEEFF"/>
            </w:tcBorders>
            <w:gridSpan w:val="4"/>
            <w:shd w:val="clear" w:color="auto" w:fill="CCEEFF"/>
          </w:tcPr>
          <w:p>
            <w:pPr>
              <w:jc w:val="center"/>
              <w:ind w:right="1880"/>
              <w:spacing w:after="0"/>
              <w:rPr>
                <w:sz w:val="20"/>
                <w:szCs w:val="20"/>
                <w:color w:val="auto"/>
              </w:rPr>
            </w:pPr>
            <w:r>
              <w:rPr>
                <w:rFonts w:ascii="Arial" w:cs="Arial" w:eastAsia="Arial" w:hAnsi="Arial"/>
                <w:sz w:val="16"/>
                <w:szCs w:val="16"/>
                <w:b w:val="1"/>
                <w:bCs w:val="1"/>
                <w:color w:val="auto"/>
                <w:w w:val="88"/>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5,193,813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auto"/>
            </w:tcBorders>
            <w:gridSpan w:val="3"/>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1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261,969</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142,848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Accrued promotional allowances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167,011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44,894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Income taxes payable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661,097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w w:val="93"/>
              </w:rPr>
              <w:t>Common stock - $0.005 par value; 1,250,000 shares authorized; 637,924 shares issued and 527,361 shares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ind w:left="120"/>
              <w:spacing w:after="0"/>
              <w:rPr>
                <w:sz w:val="20"/>
                <w:szCs w:val="20"/>
                <w:color w:val="auto"/>
              </w:rPr>
            </w:pPr>
            <w:r>
              <w:rPr>
                <w:rFonts w:ascii="Arial" w:cs="Arial" w:eastAsia="Arial" w:hAnsi="Arial"/>
                <w:sz w:val="16"/>
                <w:szCs w:val="16"/>
                <w:color w:val="auto"/>
                <w:w w:val="90"/>
              </w:rPr>
              <w:t>outstanding as of June 30, 2020; 636,460 shares issued and 536,698 shares outstanding as of December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0" w:type="dxa"/>
            <w:vAlign w:val="bottom"/>
            <w:gridSpan w:val="2"/>
          </w:tcPr>
          <w:p>
            <w:pPr>
              <w:ind w:left="140"/>
              <w:spacing w:after="0"/>
              <w:rPr>
                <w:sz w:val="20"/>
                <w:szCs w:val="20"/>
                <w:color w:val="auto"/>
              </w:rPr>
            </w:pPr>
            <w:r>
              <w:rPr>
                <w:rFonts w:ascii="Arial" w:cs="Arial" w:eastAsia="Arial" w:hAnsi="Arial"/>
                <w:sz w:val="16"/>
                <w:szCs w:val="16"/>
                <w:color w:val="auto"/>
              </w:rPr>
              <w:t>2019</w:t>
            </w: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4,474,379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5,612,684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5,022,480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(53,438)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80" w:type="dxa"/>
            <w:vAlign w:val="bottom"/>
            <w:gridSpan w:val="5"/>
          </w:tcPr>
          <w:p>
            <w:pPr>
              <w:spacing w:after="0"/>
              <w:rPr>
                <w:sz w:val="20"/>
                <w:szCs w:val="20"/>
                <w:color w:val="auto"/>
              </w:rPr>
            </w:pPr>
            <w:r>
              <w:rPr>
                <w:rFonts w:ascii="Arial" w:cs="Arial" w:eastAsia="Arial" w:hAnsi="Arial"/>
                <w:sz w:val="16"/>
                <w:szCs w:val="16"/>
                <w:color w:val="auto"/>
                <w:w w:val="91"/>
              </w:rPr>
              <w:t>Common stock in treasury, at cost; 110,563 shares and 99,762 shares as of June 30, 2020 and December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5"/>
          </w:tcPr>
          <w:p>
            <w:pPr>
              <w:ind w:left="120"/>
              <w:spacing w:after="0"/>
              <w:rPr>
                <w:sz w:val="20"/>
                <w:szCs w:val="20"/>
                <w:color w:val="auto"/>
              </w:rPr>
            </w:pPr>
            <w:r>
              <w:rPr>
                <w:rFonts w:ascii="Arial" w:cs="Arial" w:eastAsia="Arial" w:hAnsi="Arial"/>
                <w:sz w:val="16"/>
                <w:szCs w:val="16"/>
                <w:color w:val="auto"/>
              </w:rPr>
              <w:t>2019,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(5,815,275)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(5,219,505)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4,221,540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0" w:type="dxa"/>
            <w:vAlign w:val="bottom"/>
            <w:gridSpan w:val="4"/>
          </w:tcPr>
          <w:p>
            <w:pPr>
              <w:jc w:val="center"/>
              <w:ind w:right="188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5,193,813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800"/>
        <w:spacing w:after="0" w:line="276" w:lineRule="auto"/>
        <w:rPr>
          <w:sz w:val="20"/>
          <w:szCs w:val="20"/>
          <w:color w:val="auto"/>
        </w:rPr>
      </w:pPr>
      <w:r>
        <w:rPr>
          <w:rFonts w:ascii="Arial" w:cs="Arial" w:eastAsia="Arial" w:hAnsi="Arial"/>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4020"/>
        <w:spacing w:after="0" w:line="260" w:lineRule="auto"/>
        <w:rPr>
          <w:sz w:val="20"/>
          <w:szCs w:val="20"/>
          <w:color w:val="auto"/>
        </w:rPr>
      </w:pPr>
      <w:r>
        <w:rPr>
          <w:rFonts w:ascii="Arial" w:cs="Arial" w:eastAsia="Arial" w:hAnsi="Arial"/>
          <w:sz w:val="18"/>
          <w:szCs w:val="18"/>
          <w:b w:val="1"/>
          <w:bCs w:val="1"/>
          <w:color w:val="auto"/>
        </w:rPr>
        <w:t>FOR THE THREE- AND SIX-MONTHS ENDED JUNE 30, 2020 AND 2019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6"/>
              </w:rPr>
              <w:t>Three-Months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2,155,993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2,050,037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859,329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1,234,816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282,293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524,412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544,364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311,369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WEIGHTED AVERAGE NUMBER OF SHARES OF COMMON STOCK AND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62560"/>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526,911</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544,156</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531,486</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543,466</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531,191</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548,218</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535,897</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548,299</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220"/>
            <w:col w:w="4260"/>
          </w:cols>
          <w:pgMar w:left="980" w:top="665" w:right="99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328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 AND SIX-MONTHS ENDED JUNE 30,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Three-Months Ended</w:t>
            </w:r>
          </w:p>
        </w:tc>
        <w:tc>
          <w:tcPr>
            <w:tcW w:w="180" w:type="dxa"/>
            <w:vAlign w:val="bottom"/>
          </w:tcPr>
          <w:p>
            <w:pPr>
              <w:spacing w:after="0"/>
              <w:rPr>
                <w:sz w:val="18"/>
                <w:szCs w:val="18"/>
                <w:color w:val="auto"/>
              </w:rPr>
            </w:pPr>
          </w:p>
        </w:tc>
        <w:tc>
          <w:tcPr>
            <w:tcW w:w="1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Six-Months Ended</w:t>
            </w:r>
          </w:p>
        </w:tc>
      </w:tr>
      <w:tr>
        <w:trPr>
          <w:trHeight w:val="234"/>
        </w:trPr>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7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5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2019</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$ 311,369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$ 292,473</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$ 590,204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$ 553,958</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w:t>
            </w: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gains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5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r>
      <w:tr>
        <w:trPr>
          <w:trHeight w:val="209"/>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$ 320,613</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$ 297,842</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$ 569,153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$ 558,066</w:t>
            </w:r>
          </w:p>
        </w:tc>
      </w:tr>
      <w:tr>
        <w:trPr>
          <w:trHeight w:val="20"/>
        </w:trPr>
        <w:tc>
          <w:tcPr>
            <w:tcW w:w="5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38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 AND SIX-MONTHS ENDED JUNE 30,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Additional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Arial" w:cs="Arial" w:eastAsia="Arial" w:hAnsi="Arial"/>
                <w:sz w:val="16"/>
                <w:szCs w:val="16"/>
                <w:b w:val="1"/>
                <w:bCs w:val="1"/>
                <w:color w:val="auto"/>
              </w:rPr>
              <w:t>Common stock</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Paid-in</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84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Capital</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8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Shares</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636,460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$ 3,182</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$ 4,397,511</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$ 5,022,480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(32,387)</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(99,762)</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(5,219,505)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net on</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(10,503)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(579,948)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(30,599)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278,835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637,104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$ 3,186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$ 4,428,580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$ 5,301,315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(110,265)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(5,799,453)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3,870,946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net on</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637,924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$ 3,190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$ 4,474,379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$ 5,612,684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(53,438)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(110,563)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(5,815,275)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38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 AND SIX-MONTHS ENDED JUNE 30, 2020 AND 2019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80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Shares</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630,970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3,155</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$ 4,238,170</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$ 3,914,645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(32,864)</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(87,294)</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(4,512,205)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15,324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35,144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net on</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(222,792)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261,485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2019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634,841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3,174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$ 4,288,638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$ 4,176,130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(4,734,997)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15,575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45,964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net on</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292,473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30, 2019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636,129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3,180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$ 4,350,177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$ 4,468,603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(91,304)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(4,735,618)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SIX-MONTHS ENDED JUNE 30,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590,204</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553,958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32,057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32,444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loss on disposal of property and equipment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Impairment of intangibles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33,034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(231,782)</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(204,393)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Distributor receivables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14,181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(21,505)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(23,394)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Prepaid income taxes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7,245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(6,772)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31,691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promotional allowances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Accrued distributor terminations</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(10,932)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8,278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(10,383)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(14,418)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440,458</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454,785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719,616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346,464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(425,973)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(29,116)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(21,077)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Additions to intangibles</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(13,085)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other assets</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ind w:left="5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250,694</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(56,042)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debt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43,842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(595,770)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ind w:left="520"/>
              <w:spacing w:after="0" w:line="142" w:lineRule="exact"/>
              <w:rPr>
                <w:sz w:val="20"/>
                <w:szCs w:val="20"/>
                <w:color w:val="auto"/>
              </w:rPr>
            </w:pPr>
            <w:r>
              <w:rPr>
                <w:rFonts w:ascii="Arial" w:cs="Arial" w:eastAsia="Arial" w:hAnsi="Arial"/>
                <w:sz w:val="14"/>
                <w:szCs w:val="14"/>
                <w:color w:val="auto"/>
              </w:rPr>
              <w:t>Net cash used in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(553,608)</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(151,354)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(14,175)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123,369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797,957</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637,513</w:t>
            </w:r>
          </w:p>
        </w:tc>
        <w:tc>
          <w:tcPr>
            <w:tcW w:w="0" w:type="dxa"/>
            <w:vAlign w:val="bottom"/>
          </w:tcPr>
          <w:p>
            <w:pPr>
              <w:spacing w:after="0"/>
              <w:rPr>
                <w:sz w:val="1"/>
                <w:szCs w:val="1"/>
                <w:color w:val="auto"/>
              </w:rPr>
            </w:pPr>
          </w:p>
        </w:tc>
      </w:tr>
      <w:tr>
        <w:trPr>
          <w:trHeight w:val="182"/>
        </w:trPr>
        <w:tc>
          <w:tcPr>
            <w:tcW w:w="774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921,326</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888,247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7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during the period for:</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2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164,956</w:t>
            </w: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133,122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SIX-MONTHS ENDED JUNE 30, 2020 AND 2019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Included in accrued liabilities as of June 30, 2020 and 2019 were $12.6 million and $10.6 million, respectively, related to additions to other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payable as of June 30, 2019 were available-for-sale short-term investment purchases of $13.6 million.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receivable as of June 30, 2019 were available-for-sale short-term investment sales of $4.0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the Notes to Consolidated Financial Statements, in Monster Beverage Corporation and Subsidiaries (the “Company”) Annual Report on Form 10-K for the year ended December 31, 2019 for a summary of significant accounting policies utilized by the Company and its consolidated subsidiaries and other disclosures, which should be read in conjunction with this Quarterly Report on Form 10-Q (“Form 10-Q”).</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2020 and 2019,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No. 2019-12, “Simplifying the Accounting for Income Taxes”, as part of its simplification initiative to reduce the cost and complexity in accounting for income taxes. ASU No. 2019-12 removes certain exceptions related to the approach for intra-period tax allocation, the methodology for calculating income taxes in an interim period and the recognition of deferred tax liabilities for outside basis differences. ASU No. 2019-12 also amends other aspects of the guidance to help simplify and promote consistent application of GAAP. The guidance is effective for interim and annual periods beginning after December 15, 2020, with early adoption permitted. The Company is currently evaluating the impact of ASU No. 2019-12 on its financial position, results of operations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was effective for the Company on a prospective or retrospective basis beginning on January 1, 2020. The adoption of ASU No. 2018-15 did not have a material impact on the Company’s financial position, results of operations and liquidity.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The adoption of ASU No. 2018-14 did not have a material impact on the Company’s financial position,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was effective for the Company beginning on January 1, 2020. Certain disclosures in the new guidance will need to be applied on a retrospective basis and others on a prospective basis. The adoption of ASU No. 2018-13 did not have a material impact on the Company’s financial position, results of operations and liquidity.</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The adoption of ASU No. 2017-04 did not have a material impact on the Company’s financial position, results of operations and liquidity.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was effective for fiscal years, and interim periods within those years, beginning after December 15, 2019. The adoption of ASU No. 2016-13 did not have a material impact on the Company’s disclosures, financial position, results of operations and liquidity.</w:t>
      </w:r>
    </w:p>
    <w:p>
      <w:pPr>
        <w:spacing w:after="0" w:line="1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three operating and reportable segments: (i) Monster Energy® Drinks segment (“Monster Energy® Drinks”), which is primarily comprised of the Company’s Monster Energy® drinks and Reign Total Body Fuel® high performance energy drinks</w:t>
      </w:r>
    </w:p>
    <w:p>
      <w:pPr>
        <w:jc w:val="both"/>
        <w:ind w:firstLine="8"/>
        <w:spacing w:after="0" w:line="253"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Brands segment (“Strategic Brands”), which is primarily comprised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2020 and December 31, 2019.</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slotting, shelf space allowances and other fees given directly to retailers, club stores and/or wholesalers;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jc w:val="both"/>
        <w:ind w:left="1000" w:hanging="317"/>
        <w:spacing w:after="0" w:line="32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commissions paid to TCCC based on the Company’s sales to certain wholly-owned subsidiaries of TCCC (the “TCCC Subsidiaries”) and/or to certain companies accounted for under the equity method by TCCC (the “TCCC Related Parties”).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Amounts received pursuant to new and/or amended distribution agreements entered into with certain bottlers/distributors relating to the costs associated with terminating the Company’s prior distributors, are accounted for as revenue ratably over the anticipated life of the respective distribution agreements, generally over 20 years.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89"/>
              </w:rPr>
              <w:t>Three-Months Ended June 30, 2020</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1,027,686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59,566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794,745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142,715</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1,093,896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89"/>
              </w:rPr>
              <w:t>Three-Months Ended June 30, 2019</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1,019,110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79,144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791,765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179,241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1,104,045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90"/>
              </w:rPr>
              <w:t>Six-Months Ended June 30, 2020</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1,436,964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2,020,139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124,105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1,527,739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327,833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209,239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2,155,993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90"/>
              </w:rPr>
              <w:t>Six-Months Ended June 30, 2019</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1,381,380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82,621</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1,889,495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149,430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1,481,663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325,787</w:t>
            </w:r>
          </w:p>
        </w:tc>
        <w:tc>
          <w:tcPr>
            <w:tcW w:w="2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159,188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83,399</w:t>
            </w:r>
          </w:p>
        </w:tc>
        <w:tc>
          <w:tcPr>
            <w:tcW w:w="240" w:type="dxa"/>
            <w:vAlign w:val="bottom"/>
            <w:gridSpan w:val="2"/>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2,050,037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Amounts received from certain bottlers/distributors at inception of their distribution contracts or at the inception of certain sales/marketing programs are accounted for as deferred revenue. As of June 30, 2020, the Company had $317.8 million of deferred revenue, which is included in current and long-term deferred revenue in the Company’s condensed consolidated balance sheet. As of December 31, 2019, the Company had $331.7 million of deferred revenue, which is included in current and long-term deferred revenue in the Company’s condensed consolidated balance sheet. During the three-months ended June 30, 2020 and 2019, $10.5 million and $10.6 million, respectively, of deferred revenue was recognized in net sales. See Note 11. During the six-months ended June 30, 2020 and 2019, $21.1 million and $24.8 million, respectively, of deferred revenue was recognized in net sales. See Note 11.</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Leases are classified as either finance leases or operating leases based on criteria in Accounting Standards Codification (“ASC”)</w:t>
      </w:r>
    </w:p>
    <w:p>
      <w:pPr>
        <w:spacing w:after="0" w:line="46" w:lineRule="exact"/>
        <w:rPr>
          <w:sz w:val="20"/>
          <w:szCs w:val="20"/>
          <w:color w:val="auto"/>
        </w:rPr>
      </w:pPr>
    </w:p>
    <w:p>
      <w:pPr>
        <w:ind w:firstLine="8"/>
        <w:spacing w:after="0" w:line="260"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operating leases are comprised of real estate and warehouse equipment, and the Company’s finance leases are comprised of vehicles.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income, net in the condensed consolidated statement of income.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leases have remaining lease terms of less than one year to 14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were comprised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Three-Months</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2"/>
              </w:rPr>
              <w:t>Three-Months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Six-Months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5"/>
              </w:rPr>
              <w:t>Six-Months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Ended June 30,</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w w:val="85"/>
              </w:rPr>
              <w:t>Ended June 30,</w:t>
            </w:r>
          </w:p>
        </w:tc>
        <w:tc>
          <w:tcPr>
            <w:tcW w:w="130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Ended June 30,</w:t>
            </w: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w w:val="87"/>
              </w:rPr>
              <w:t>Ended June 30,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Amortization of ROU assets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Total lease cost</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0"/>
        </w:trPr>
        <w:tc>
          <w:tcPr>
            <w:tcW w:w="324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gridSpan w:val="6"/>
          </w:tcPr>
          <w:p>
            <w:pPr>
              <w:spacing w:after="0"/>
              <w:rPr>
                <w:sz w:val="20"/>
                <w:szCs w:val="20"/>
                <w:color w:val="auto"/>
              </w:rPr>
            </w:pPr>
            <w:r>
              <w:rPr>
                <w:rFonts w:ascii="Arial" w:cs="Arial" w:eastAsia="Arial" w:hAnsi="Arial"/>
                <w:sz w:val="18"/>
                <w:szCs w:val="18"/>
                <w:color w:val="auto"/>
                <w:w w:val="93"/>
              </w:rPr>
              <w:t>Supplemental cash flow information for the following periods: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Six-Months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5"/>
              </w:rPr>
              <w:t>Six-Months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Ended June 30,</w:t>
            </w: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w w:val="87"/>
              </w:rPr>
              <w:t>Ended June 30,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w w:val="90"/>
              </w:rPr>
              <w:t>Operating cash flows from operating leases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Operating cash flows from finance leases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w w:val="95"/>
              </w:rPr>
              <w:t>Financing cash flows from finance leases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200" w:type="dxa"/>
            <w:vAlign w:val="bottom"/>
            <w:gridSpan w:val="5"/>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w w:val="94"/>
              </w:rPr>
              <w:t>ROU assets obtained in exchange for lease obligations: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27,224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 assets for operating and finance leases were comprised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June 30, 2020</w:t>
            </w: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2"/>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83"/>
              </w:rPr>
              <w:t>Real Estate</w:t>
            </w:r>
          </w:p>
        </w:tc>
        <w:tc>
          <w:tcPr>
            <w:tcW w:w="1100" w:type="dxa"/>
            <w:vAlign w:val="bottom"/>
            <w:gridSpan w:val="4"/>
          </w:tcPr>
          <w:p>
            <w:pPr>
              <w:ind w:left="20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$ 23,760</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w w:val="92"/>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color w:val="auto"/>
                <w:w w:val="89"/>
              </w:rPr>
              <w:t>December 31, 2019</w:t>
            </w:r>
          </w:p>
        </w:tc>
        <w:tc>
          <w:tcPr>
            <w:tcW w:w="180" w:type="dxa"/>
            <w:vAlign w:val="bottom"/>
          </w:tcPr>
          <w:p>
            <w:pPr>
              <w:spacing w:after="0"/>
              <w:rPr>
                <w:sz w:val="24"/>
                <w:szCs w:val="24"/>
                <w:color w:val="auto"/>
              </w:rPr>
            </w:pPr>
          </w:p>
        </w:tc>
        <w:tc>
          <w:tcPr>
            <w:tcW w:w="3120" w:type="dxa"/>
            <w:vAlign w:val="bottom"/>
            <w:gridSpan w:val="2"/>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83"/>
              </w:rPr>
              <w:t>Real Estate</w:t>
            </w:r>
          </w:p>
        </w:tc>
        <w:tc>
          <w:tcPr>
            <w:tcW w:w="1100" w:type="dxa"/>
            <w:vAlign w:val="bottom"/>
            <w:gridSpan w:val="4"/>
          </w:tcPr>
          <w:p>
            <w:pPr>
              <w:ind w:left="20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$ 31,342</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w w:val="92"/>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and finance lease liabilities recognized in the condensed consolidated balance sheets were as follows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7"/>
              </w:rPr>
              <w:t>June 30, 2020</w:t>
            </w:r>
          </w:p>
        </w:tc>
        <w:tc>
          <w:tcPr>
            <w:tcW w:w="54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Finance Leases</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8"/>
              </w:rPr>
              <w:t>December 31, 2019</w:t>
            </w:r>
          </w:p>
        </w:tc>
        <w:tc>
          <w:tcPr>
            <w:tcW w:w="540" w:type="dxa"/>
            <w:vAlign w:val="bottom"/>
            <w:tcBorders>
              <w:bottom w:val="single" w:sz="8" w:color="auto"/>
            </w:tcBorders>
          </w:tcPr>
          <w:p>
            <w:pPr>
              <w:spacing w:after="0"/>
              <w:rPr>
                <w:sz w:val="24"/>
                <w:szCs w:val="24"/>
                <w:color w:val="auto"/>
              </w:rPr>
            </w:pPr>
          </w:p>
        </w:tc>
      </w:tr>
      <w:tr>
        <w:trPr>
          <w:trHeight w:val="209"/>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Finance Leases</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25,651</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28,463</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at June 30, 2020 and December 31, 2019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820" w:type="dxa"/>
            <w:vAlign w:val="bottom"/>
            <w:gridSpan w:val="4"/>
          </w:tcPr>
          <w:p>
            <w:pPr>
              <w:jc w:val="center"/>
              <w:ind w:right="180"/>
              <w:spacing w:after="0"/>
              <w:rPr>
                <w:sz w:val="20"/>
                <w:szCs w:val="20"/>
                <w:color w:val="auto"/>
              </w:rPr>
            </w:pPr>
            <w:r>
              <w:rPr>
                <w:rFonts w:ascii="Arial" w:cs="Arial" w:eastAsia="Arial" w:hAnsi="Arial"/>
                <w:sz w:val="18"/>
                <w:szCs w:val="18"/>
                <w:color w:val="auto"/>
                <w:w w:val="87"/>
              </w:rPr>
              <w:t>June 30, 2020</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7"/>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2.3 %</w:t>
            </w:r>
          </w:p>
        </w:tc>
      </w:tr>
      <w:tr>
        <w:trPr>
          <w:trHeight w:val="431"/>
        </w:trPr>
        <w:tc>
          <w:tcPr>
            <w:tcW w:w="5120" w:type="dxa"/>
            <w:vAlign w:val="bottom"/>
          </w:tcPr>
          <w:p>
            <w:pPr>
              <w:spacing w:after="0"/>
              <w:rPr>
                <w:sz w:val="24"/>
                <w:szCs w:val="24"/>
                <w:color w:val="auto"/>
              </w:rPr>
            </w:pPr>
          </w:p>
        </w:tc>
        <w:tc>
          <w:tcPr>
            <w:tcW w:w="282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December 31, 2019</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7"/>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2.9 %</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condensed consolidated balance sheet at June 30,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0"/>
              </w:rPr>
              <w:t>Undiscounted Future Lease Payments</w:t>
            </w:r>
          </w:p>
        </w:tc>
      </w:tr>
      <w:tr>
        <w:trPr>
          <w:trHeight w:val="210"/>
        </w:trPr>
        <w:tc>
          <w:tcPr>
            <w:tcW w:w="4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Operating Leases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Finance Leases</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2020 (excluding the six-months ended June 30, 2020)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16"/>
        </w:trPr>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0"/>
        </w:trPr>
        <w:tc>
          <w:tcPr>
            <w:tcW w:w="4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2020,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Holding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Holding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9"/>
              </w:rPr>
              <w:t>Fair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greater than 12</w:t>
            </w:r>
          </w:p>
        </w:tc>
      </w:tr>
      <w:tr>
        <w:trPr>
          <w:trHeight w:val="167"/>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2020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Cost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Gains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0"/>
              </w:rPr>
              <w:t>Losses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Value</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Commercial paper</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58,540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58,540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143,081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143,706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8"/>
        </w:trPr>
        <w:tc>
          <w:tcPr>
            <w:tcW w:w="31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2,077</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310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252,173</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674</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252,830</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40"/>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Holding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Holding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9"/>
              </w:rPr>
              <w:t>Fair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greater than 12</w:t>
            </w:r>
          </w:p>
        </w:tc>
      </w:tr>
      <w:tr>
        <w:trPr>
          <w:trHeight w:val="167"/>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Cost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Gains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0"/>
              </w:rPr>
              <w:t>Losses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Value</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Commercial paper</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28,049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28,049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148,108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40,620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40,590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211,055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Variable rate demand notes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21,680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21,680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6,077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6,078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310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545,771</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545,968</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six-months ended June 30, 2020 and 2019, realized gains or losses recognized on the sale of investments were not significant.</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investments at June 30, 2020 and December 31, 2019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5"/>
          </w:tcPr>
          <w:p>
            <w:pPr>
              <w:ind w:left="440"/>
              <w:spacing w:after="0"/>
              <w:rPr>
                <w:sz w:val="20"/>
                <w:szCs w:val="20"/>
                <w:color w:val="auto"/>
              </w:rPr>
            </w:pPr>
            <w:r>
              <w:rPr>
                <w:rFonts w:ascii="Arial" w:cs="Arial" w:eastAsia="Arial" w:hAnsi="Arial"/>
                <w:sz w:val="18"/>
                <w:szCs w:val="18"/>
                <w:color w:val="auto"/>
              </w:rPr>
              <w:t>June 30, 2020</w:t>
            </w:r>
          </w:p>
        </w:tc>
        <w:tc>
          <w:tcPr>
            <w:tcW w:w="320" w:type="dxa"/>
            <w:vAlign w:val="bottom"/>
          </w:tcPr>
          <w:p>
            <w:pPr>
              <w:spacing w:after="0"/>
              <w:rPr>
                <w:sz w:val="20"/>
                <w:szCs w:val="20"/>
                <w:color w:val="auto"/>
              </w:rPr>
            </w:pPr>
          </w:p>
        </w:tc>
        <w:tc>
          <w:tcPr>
            <w:tcW w:w="2180" w:type="dxa"/>
            <w:vAlign w:val="bottom"/>
            <w:gridSpan w:val="4"/>
          </w:tcPr>
          <w:p>
            <w:pPr>
              <w:jc w:val="right"/>
              <w:ind w:right="450"/>
              <w:spacing w:after="0"/>
              <w:rPr>
                <w:sz w:val="20"/>
                <w:szCs w:val="20"/>
                <w:color w:val="auto"/>
              </w:rPr>
            </w:pPr>
            <w:r>
              <w:rPr>
                <w:rFonts w:ascii="Arial" w:cs="Arial" w:eastAsia="Arial" w:hAnsi="Arial"/>
                <w:sz w:val="18"/>
                <w:szCs w:val="18"/>
                <w:color w:val="auto"/>
              </w:rPr>
              <w:t>December 31, 2019</w:t>
            </w:r>
          </w:p>
        </w:tc>
      </w:tr>
      <w:tr>
        <w:trPr>
          <w:trHeight w:val="209"/>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Fair Value</w:t>
            </w:r>
          </w:p>
        </w:tc>
        <w:tc>
          <w:tcPr>
            <w:tcW w:w="20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Fair 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58,540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58,540</w:t>
            </w:r>
          </w:p>
        </w:tc>
        <w:tc>
          <w:tcPr>
            <w:tcW w:w="2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83,478</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83,478</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148,108</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40,590</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211,055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211,158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Due 1 - 10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Due 11 - 20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Due 21 - 30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Due 31 - 40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10"/>
        </w:trPr>
        <w:tc>
          <w:tcPr>
            <w:tcW w:w="3740" w:type="dxa"/>
            <w:vAlign w:val="bottom"/>
          </w:tcPr>
          <w:p>
            <w:pPr>
              <w:ind w:left="12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252,173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252,830</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545,771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545,968</w:t>
            </w: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4"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right="2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related assets or liabilities.</w:t>
      </w:r>
    </w:p>
    <w:p>
      <w:pPr>
        <w:spacing w:after="0" w:line="175" w:lineRule="exact"/>
        <w:rPr>
          <w:rFonts w:ascii="Arial" w:cs="Arial" w:eastAsia="Arial" w:hAnsi="Arial"/>
          <w:sz w:val="18"/>
          <w:szCs w:val="18"/>
          <w:color w:val="auto"/>
        </w:rPr>
      </w:pPr>
    </w:p>
    <w:p>
      <w:pPr>
        <w:ind w:left="680" w:right="20" w:hanging="321"/>
        <w:spacing w:after="0" w:line="28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314,405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870,602</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303,609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1,174,211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Amounts included in: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870,602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1,174,211</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3"/>
          </w:tcPr>
          <w:p>
            <w:pPr>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demand notes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709,309</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633,929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1,343,238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Amounts included in: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533,063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709,309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1,343,238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the Company’s short-term and long-term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six-months ended June 30, 2020 or during the year-ended December 31, 2019, and there were no changes in the Company’s valuation techniques.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currency exchange rate risks related primarily to its foreign business operations. During the six-months ended June 30, 2020 and the year-ended December 31, 2019,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2020 have terms of one month or less. The Company does not enter into forward currency exchange contracts for speculation or trading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Derivatives not designated as</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hedging instruments under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Fair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ASC 815-20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Value</w:t>
            </w:r>
          </w:p>
        </w:tc>
        <w:tc>
          <w:tcPr>
            <w:tcW w:w="1960" w:type="dxa"/>
            <w:vAlign w:val="bottom"/>
          </w:tcPr>
          <w:p>
            <w:pPr>
              <w:ind w:left="120"/>
              <w:spacing w:after="0"/>
              <w:rPr>
                <w:sz w:val="20"/>
                <w:szCs w:val="20"/>
                <w:color w:val="auto"/>
              </w:rPr>
            </w:pPr>
            <w:r>
              <w:rPr>
                <w:rFonts w:ascii="Arial" w:cs="Arial" w:eastAsia="Arial" w:hAnsi="Arial"/>
                <w:sz w:val="18"/>
                <w:szCs w:val="18"/>
                <w:color w:val="auto"/>
                <w:w w:val="95"/>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RUB</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Receive USD/pay ZAR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SGD/pay USD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Receive USD/pay COP</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DKK</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GBP</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Receive RSD/pay USD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AUD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Receive EUR/pay USD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NZD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80" w:type="dxa"/>
            <w:vAlign w:val="bottom"/>
            <w:tcBorders>
              <w:top w:val="single" w:sz="8" w:color="auto"/>
            </w:tcBorders>
            <w:gridSpan w:val="2"/>
          </w:tcPr>
          <w:p>
            <w:pPr>
              <w:ind w:left="1340"/>
              <w:spacing w:after="0" w:line="195" w:lineRule="exact"/>
              <w:rPr>
                <w:sz w:val="20"/>
                <w:szCs w:val="20"/>
                <w:color w:val="auto"/>
              </w:rPr>
            </w:pPr>
            <w:r>
              <w:rPr>
                <w:rFonts w:ascii="Arial" w:cs="Arial" w:eastAsia="Arial" w:hAnsi="Arial"/>
                <w:sz w:val="18"/>
                <w:szCs w:val="18"/>
                <w:color w:val="auto"/>
              </w:rPr>
              <w:t>Derivatives not designated as</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500"/>
              <w:spacing w:after="0"/>
              <w:rPr>
                <w:sz w:val="20"/>
                <w:szCs w:val="20"/>
                <w:color w:val="auto"/>
              </w:rPr>
            </w:pPr>
            <w:r>
              <w:rPr>
                <w:rFonts w:ascii="Arial" w:cs="Arial" w:eastAsia="Arial" w:hAnsi="Arial"/>
                <w:sz w:val="18"/>
                <w:szCs w:val="18"/>
                <w:color w:val="auto"/>
              </w:rPr>
              <w:t>hedging instruments under</w:t>
            </w: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Fair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ind w:left="1960"/>
              <w:spacing w:after="0"/>
              <w:rPr>
                <w:sz w:val="20"/>
                <w:szCs w:val="20"/>
                <w:color w:val="auto"/>
              </w:rPr>
            </w:pPr>
            <w:r>
              <w:rPr>
                <w:rFonts w:ascii="Arial" w:cs="Arial" w:eastAsia="Arial" w:hAnsi="Arial"/>
                <w:sz w:val="18"/>
                <w:szCs w:val="18"/>
                <w:color w:val="auto"/>
              </w:rPr>
              <w:t>ASC 815-20</w:t>
            </w:r>
          </w:p>
        </w:tc>
        <w:tc>
          <w:tcPr>
            <w:tcW w:w="18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Value</w:t>
            </w:r>
          </w:p>
        </w:tc>
        <w:tc>
          <w:tcPr>
            <w:tcW w:w="1960" w:type="dxa"/>
            <w:vAlign w:val="bottom"/>
          </w:tcPr>
          <w:p>
            <w:pPr>
              <w:ind w:left="120"/>
              <w:spacing w:after="0"/>
              <w:rPr>
                <w:sz w:val="20"/>
                <w:szCs w:val="20"/>
                <w:color w:val="auto"/>
              </w:rPr>
            </w:pPr>
            <w:r>
              <w:rPr>
                <w:rFonts w:ascii="Arial" w:cs="Arial" w:eastAsia="Arial" w:hAnsi="Arial"/>
                <w:sz w:val="18"/>
                <w:szCs w:val="18"/>
                <w:color w:val="auto"/>
                <w:w w:val="95"/>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Receive EUR/pay USD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Receive RSD/pay USD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Receive NOK/pay USD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Receive USD/pay SGD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Receive USD/pay GBP</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38,406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(695)</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Receive USD/pay AUD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Receive USD/pay RUB</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Receive USD/pay NZD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Receive USD/pay ZAR</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Receive USD/pay COP</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Receive USD/pay DKK</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gains (losses) on derivative instruments in the condensed consolidated statements of income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70"/>
              <w:spacing w:after="0"/>
              <w:rPr>
                <w:sz w:val="20"/>
                <w:szCs w:val="20"/>
                <w:color w:val="auto"/>
              </w:rPr>
            </w:pPr>
            <w:r>
              <w:rPr>
                <w:rFonts w:ascii="Arial" w:cs="Arial" w:eastAsia="Arial" w:hAnsi="Arial"/>
                <w:sz w:val="18"/>
                <w:szCs w:val="18"/>
                <w:color w:val="auto"/>
                <w:w w:val="92"/>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7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Derivatives not designated as</w:t>
            </w: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gain (loss)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89"/>
              </w:rPr>
              <w:t>Three-months ended</w:t>
            </w:r>
          </w:p>
        </w:tc>
        <w:tc>
          <w:tcPr>
            <w:tcW w:w="0" w:type="dxa"/>
            <w:vAlign w:val="bottom"/>
          </w:tcPr>
          <w:p>
            <w:pPr>
              <w:spacing w:after="0"/>
              <w:rPr>
                <w:sz w:val="1"/>
                <w:szCs w:val="1"/>
                <w:color w:val="auto"/>
              </w:rPr>
            </w:pPr>
          </w:p>
        </w:tc>
      </w:tr>
      <w:tr>
        <w:trPr>
          <w:trHeight w:val="195"/>
        </w:trPr>
        <w:tc>
          <w:tcPr>
            <w:tcW w:w="4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ASC 815-20</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and other (expense)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70"/>
              <w:spacing w:after="0"/>
              <w:rPr>
                <w:sz w:val="20"/>
                <w:szCs w:val="20"/>
                <w:color w:val="auto"/>
              </w:rPr>
            </w:pPr>
            <w:r>
              <w:rPr>
                <w:rFonts w:ascii="Arial" w:cs="Arial" w:eastAsia="Arial" w:hAnsi="Arial"/>
                <w:sz w:val="18"/>
                <w:szCs w:val="18"/>
                <w:color w:val="auto"/>
                <w:w w:val="92"/>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7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Derivatives not designated as</w:t>
            </w: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gain (loss)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89"/>
              </w:rPr>
              <w:t>Six-months ended</w:t>
            </w:r>
          </w:p>
        </w:tc>
        <w:tc>
          <w:tcPr>
            <w:tcW w:w="0" w:type="dxa"/>
            <w:vAlign w:val="bottom"/>
          </w:tcPr>
          <w:p>
            <w:pPr>
              <w:spacing w:after="0"/>
              <w:rPr>
                <w:sz w:val="1"/>
                <w:szCs w:val="1"/>
                <w:color w:val="auto"/>
              </w:rPr>
            </w:pPr>
          </w:p>
        </w:tc>
      </w:tr>
      <w:tr>
        <w:trPr>
          <w:trHeight w:val="195"/>
        </w:trPr>
        <w:tc>
          <w:tcPr>
            <w:tcW w:w="4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ASC 815-20</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and other (expense)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w w:val="98"/>
              </w:rPr>
              <w:t>June 30,</w:t>
            </w:r>
          </w:p>
        </w:tc>
        <w:tc>
          <w:tcPr>
            <w:tcW w:w="2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December 31,</w:t>
            </w:r>
          </w:p>
        </w:tc>
      </w:tr>
      <w:tr>
        <w:trPr>
          <w:trHeight w:val="230"/>
        </w:trPr>
        <w:tc>
          <w:tcPr>
            <w:tcW w:w="31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134,885</w:t>
            </w: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225,846</w:t>
            </w:r>
          </w:p>
        </w:tc>
      </w:tr>
      <w:tr>
        <w:trPr>
          <w:trHeight w:val="210"/>
        </w:trPr>
        <w:tc>
          <w:tcPr>
            <w:tcW w:w="31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340,536</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360,731</w:t>
            </w:r>
          </w:p>
        </w:tc>
      </w:tr>
      <w:tr>
        <w:trPr>
          <w:trHeight w:val="20"/>
        </w:trPr>
        <w:tc>
          <w:tcPr>
            <w:tcW w:w="3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9.</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consist of the following at: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24"/>
                <w:szCs w:val="24"/>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December 31,</w:t>
            </w: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10,417</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22,766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194,882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214,293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506,074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(209,966)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(207,434)</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301,946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298,640</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depreciation and amortization expense recorded was $12.3 million and $12.7 million for the three-months ended June 30, 2020 and 2019, respectively. Total depreciation and amortization expense recorded was $24.7 million and $24.6 million for the six-months ended June 30, 2020 and 2019, respectively.</w:t>
      </w:r>
    </w:p>
    <w:p>
      <w:pPr>
        <w:spacing w:after="0" w:line="18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following is a roll-forward of goodwill for the six-months ended June 30, 2020 and June 30, 2019 by reportable segment:</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Monster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Energy®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Strategic</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Drinks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rPr>
              <w:t>Brands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$ 693,644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637,999</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Acquisitions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$ 693,644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637,999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1,331,643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Monster</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Energy®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5"/>
          </w:tcPr>
          <w:p>
            <w:pPr>
              <w:ind w:left="60"/>
              <w:spacing w:after="0"/>
              <w:rPr>
                <w:sz w:val="20"/>
                <w:szCs w:val="20"/>
                <w:color w:val="auto"/>
              </w:rPr>
            </w:pPr>
            <w:r>
              <w:rPr>
                <w:rFonts w:ascii="Arial" w:cs="Arial" w:eastAsia="Arial" w:hAnsi="Arial"/>
                <w:sz w:val="18"/>
                <w:szCs w:val="18"/>
                <w:color w:val="auto"/>
              </w:rPr>
              <w:t>Strategic</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Drinks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4"/>
          </w:tcPr>
          <w:p>
            <w:pPr>
              <w:ind w:left="20"/>
              <w:spacing w:after="0"/>
              <w:rPr>
                <w:sz w:val="20"/>
                <w:szCs w:val="20"/>
                <w:color w:val="auto"/>
              </w:rPr>
            </w:pPr>
            <w:r>
              <w:rPr>
                <w:rFonts w:ascii="Arial" w:cs="Arial" w:eastAsia="Arial" w:hAnsi="Arial"/>
                <w:sz w:val="18"/>
                <w:szCs w:val="18"/>
                <w:color w:val="auto"/>
              </w:rPr>
              <w:t>Brands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693,644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637,999</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Acquisitions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693,644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637,999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1,331,643</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consist of the following at:</w:t>
            </w: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6"/>
          </w:tcPr>
          <w:p>
            <w:pPr>
              <w:ind w:left="40"/>
              <w:spacing w:after="0"/>
              <w:rPr>
                <w:sz w:val="20"/>
                <w:szCs w:val="20"/>
                <w:color w:val="auto"/>
              </w:rPr>
            </w:pPr>
            <w:r>
              <w:rPr>
                <w:rFonts w:ascii="Arial" w:cs="Arial" w:eastAsia="Arial" w:hAnsi="Arial"/>
                <w:sz w:val="18"/>
                <w:szCs w:val="18"/>
                <w:color w:val="auto"/>
              </w:rPr>
              <w:t>June 30,</w:t>
            </w:r>
          </w:p>
        </w:tc>
        <w:tc>
          <w:tcPr>
            <w:tcW w:w="1180" w:type="dxa"/>
            <w:vAlign w:val="bottom"/>
            <w:gridSpan w:val="5"/>
          </w:tcPr>
          <w:p>
            <w:pPr>
              <w:ind w:left="10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66,953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(54,548)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Non-amortizing intangibles</w:t>
            </w:r>
          </w:p>
        </w:tc>
        <w:tc>
          <w:tcPr>
            <w:tcW w:w="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1,043,139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1,034,284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1,055,544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1,052,105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$2.5 million and $3.0 million for the three- months ended June 30, 2020 and 2019, respectively. Total amortization expense recorded was $5.4 million and $5.9 million for the six- months ended June 30, 2020 and 2019, respectively. The Company recorded impairment charges of $1.0 million and $4.0 million on a Strategic Brand trademark during the three- and six-months ended June 30, 2020,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June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2020 (excluding the six-months ended June 30, 2020)</w:t>
            </w:r>
          </w:p>
        </w:tc>
        <w:tc>
          <w:tcPr>
            <w:tcW w:w="1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2021</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2023</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1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color w:val="auto"/>
                <w:w w:val="81"/>
              </w:rPr>
              <w:t>11</w:t>
            </w:r>
            <w:r>
              <w:rPr>
                <w:rFonts w:ascii="Arial" w:cs="Arial" w:eastAsia="Arial" w:hAnsi="Arial"/>
                <w:sz w:val="17"/>
                <w:szCs w:val="17"/>
                <w:color w:val="auto"/>
                <w:w w:val="81"/>
              </w:rPr>
              <w:t>.</w:t>
            </w:r>
          </w:p>
        </w:tc>
        <w:tc>
          <w:tcPr>
            <w:tcW w:w="5980" w:type="dxa"/>
            <w:vAlign w:val="bottom"/>
            <w:gridSpan w:val="2"/>
            <w:vMerge w:val="restart"/>
          </w:tcPr>
          <w:p>
            <w:pPr>
              <w:ind w:left="200"/>
              <w:spacing w:after="0"/>
              <w:rPr>
                <w:sz w:val="20"/>
                <w:szCs w:val="20"/>
                <w:color w:val="auto"/>
              </w:rPr>
            </w:pPr>
            <w:r>
              <w:rPr>
                <w:rFonts w:ascii="Arial" w:cs="Arial" w:eastAsia="Arial" w:hAnsi="Arial"/>
                <w:sz w:val="18"/>
                <w:szCs w:val="18"/>
                <w:color w:val="auto"/>
              </w:rPr>
              <w:t>DISTRIBUTION AGREEMENTS</w:t>
            </w: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59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420, the Company expenses distributor termination costs in the period in which the written notification of termination occurs. The Company incurred termination costs of $0.2 million and $0.3 million for the three- months ended June 30, 2020 and 2019, respectively. The Company incurred termination costs of $0.2 million and $11.0 million for the six-months ended June 30, 2020 and 2019, respectively.</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$10.5 million and $10.6 million for the three- months ended June 30, 2020 and 2019, respectively. Revenue recognized was $21.1 million and $24.8 million for the six-months ended June 30, 2020 and 2019, respectively.</w:t>
      </w:r>
    </w:p>
    <w:p>
      <w:pPr>
        <w:spacing w:after="0" w:line="161"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had purchase commitments aggregating approximately $59.2 million at June 30, 2020, which represented commitments made by the Company and its subsidiaries to various suppliers of raw materials for the production of its products. These obligations vary in terms, but are generally satisfied within one year.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$182.1 million at June 30, 2020, which related primarily to sponsorships and other marketing activities.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2018, the working capital line limit for the Company’s credit facility with HSBC Bank (China) Company Limited, Shanghai Branch, was increased from $9.0 million to $15.0 million. At June 30, 2020, the interest rate on borrowings under the line of credit was 5.5%. As of June 30, 2020, the Company had no amounts outstanding on this line of credit.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From time to time in the normal course of business, the Company is named in litigation, including labor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2020, the Company’s consolidated balance sheet included accrued loss contingencies of approximately $17.5 million.</w:t>
      </w:r>
    </w:p>
    <w:p>
      <w:pPr>
        <w:spacing w:after="0" w:line="16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OTHER COMPREHENSIVE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accumulated other comprehensive loss (income) by component, after tax, for the six-months ended June 30, 2020 and 2019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Losses (Gains)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0" w:type="dxa"/>
            <w:vAlign w:val="bottom"/>
          </w:tcPr>
          <w:p>
            <w:pPr>
              <w:spacing w:after="0"/>
              <w:rPr>
                <w:sz w:val="1"/>
                <w:szCs w:val="1"/>
                <w:color w:val="auto"/>
              </w:rPr>
            </w:pPr>
          </w:p>
        </w:tc>
      </w:tr>
      <w:tr>
        <w:trPr>
          <w:trHeight w:val="216"/>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Losses (Gains)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16"/>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28,756</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280" w:type="dxa"/>
            <w:vAlign w:val="bottom"/>
            <w:vMerge w:val="restart"/>
          </w:tcPr>
          <w:p>
            <w:pPr>
              <w:ind w:left="20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13, 2020, the Company’s Board of Directors authorized a new share repurchase program for the purchase of up to $500.0 million of the Company’s outstanding common stock (the “March 2020 Repurchase Plan”). During the three- months ended June 30, 2020, the Company purchased 0.3 million shares of common stock at an average purchase price of $52.88 per share, for a total amount of $15.6 million (excluding broker commissions), under the March 2020 Repurchase Plan. Such shares are included in common stock in treasury in the accompanying condensed consolidated balance sheet at June 30, 2020. As of August 6, 2020, $441.5 million remained available for repurchase under the March 2020 Repurchase Plan.</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 months ended June 30, 2020, 3,231 shares of common stock were purchased from employees in lieu of cash payments for options exercised or withholding taxes due for a total amount of $0.2 million. While such purchases are considered common stock repurchases, they are not counted as purchases against our authorized share repurchase programs. Such shares are included in common stock in treasury in the accompanying condensed consolidated balance sheet at June 30, 2020.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two stock-based compensation plans under which shares were available for grant at June 30, 2020: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2020 Omnibus Incentive Plan provides for the granting of stock options, stock appreciation rights, restricted stock, restricted stock units, performance awards, and other share-based awards up to an aggregate of 46,169,367 shares of the Company's common stock, comprised of 32,000,000 new shares of common stock reserved under the 2020 Omnibus Incentive Plan and 14,169,367 shares of common stock that were available for grant under the 2011 Omnibus Incentive Plan as of December 31, 2019.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 qualified stock option, or a stock appreciation right, which is settled by the issuance of shares. Options granted under the 2020 Omnibus Incentive Plan may be incentive stock options under Section 422 of the Internal Revenue Code, as amended, or non-qualified stock options.</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Shares previously granted under the 2011 Omnibus Incentive Plan after December 31, 2019 and prior to the Effective Date of the 2020 Omnibus Incentive Plan reduced the number of shares available for grant under the 2020 Omnibus Incentive Plan. As of June 30, 2020, 1,401,750 shares of the Company's common stock have been granted, net of cancellations, and 44,173,226 shares (as adjusted for Full Value Awards) of the Company's common stock remain available for grant under the 2020 Omnibus Incentive Plan.</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Compensation Committee of the Board of Directors (the "Compensation Committee") has sole and exclusive authority to grant stock awards to all employees who are not new hires and to all new hires who are subject to Section 16 of the Exchange Act. Each of the Compensation Committee and the Executive Committee of the Board of Directors (the "Executive Committee") independently has the authority to grant stock awards to new hires and employees receiving a promotion who are not Section 16 employees. Awards granted by the Executive Committee are not subject to approval or ratification by the Board of Directors or the Compensation Committee. Options granted under the 2020 Omnibus Incentive Plan generally vest over a three- to five-year period from the grant date and are generally exercisable up to 10 years after the grant date. Restricted stock units and performance share units granted under the 2020 Omnibus Incentive Plan generally vest over a three- or five-year period from the grant date.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$15.9 million and $15.6 million of compensation expense relating to outstanding options, restricted stock units and performance share units during the three- months ended June 30, 2020 and 2019, respectively. The Company recorded $33.0 million and $30.9 million of compensation expense relating to outstanding options, restricted stock units and performance share units during the six- months ended June 30, 2020 and 2019, respectively.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and performance share units for the three- months ended June 30, 2020 and 2019 was $4.0 million and $3.8 million, respectively. The tax benefit for tax deductions from non-qualified stock option exercises, disqualifying dispositions of incentive stock options and vesting of restricted stock units and performance share units for the six-months ended June 30, 2020 and 2019 was $5.7 million and $26.2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stock-based compensation plans, all stock options granted as of June 30, 2020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480" w:type="dxa"/>
            <w:vAlign w:val="bottom"/>
            <w:gridSpan w:val="6"/>
          </w:tcPr>
          <w:p>
            <w:pPr>
              <w:ind w:left="2100"/>
              <w:spacing w:after="0"/>
              <w:rPr>
                <w:sz w:val="20"/>
                <w:szCs w:val="20"/>
                <w:color w:val="auto"/>
              </w:rPr>
            </w:pPr>
            <w:r>
              <w:rPr>
                <w:rFonts w:ascii="Arial" w:cs="Arial" w:eastAsia="Arial" w:hAnsi="Arial"/>
                <w:sz w:val="18"/>
                <w:szCs w:val="18"/>
                <w:color w:val="auto"/>
                <w:w w:val="97"/>
              </w:rPr>
              <w:t>Three-Months Ended June 30,</w:t>
            </w:r>
          </w:p>
        </w:tc>
        <w:tc>
          <w:tcPr>
            <w:tcW w:w="2460" w:type="dxa"/>
            <w:vAlign w:val="bottom"/>
            <w:gridSpan w:val="4"/>
          </w:tcPr>
          <w:p>
            <w:pPr>
              <w:jc w:val="right"/>
              <w:ind w:right="350"/>
              <w:spacing w:after="0"/>
              <w:rPr>
                <w:sz w:val="20"/>
                <w:szCs w:val="20"/>
                <w:color w:val="auto"/>
              </w:rPr>
            </w:pPr>
            <w:r>
              <w:rPr>
                <w:rFonts w:ascii="Arial" w:cs="Arial" w:eastAsia="Arial" w:hAnsi="Arial"/>
                <w:sz w:val="18"/>
                <w:szCs w:val="18"/>
                <w:color w:val="auto"/>
                <w:w w:val="90"/>
              </w:rPr>
              <w:t>Six-Months Ended June 30,</w:t>
            </w:r>
          </w:p>
        </w:tc>
      </w:tr>
      <w:tr>
        <w:trPr>
          <w:trHeight w:val="210"/>
        </w:trPr>
        <w:tc>
          <w:tcPr>
            <w:tcW w:w="2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tcPr>
          <w:p>
            <w:pPr>
              <w:spacing w:after="0"/>
              <w:rPr>
                <w:sz w:val="18"/>
                <w:szCs w:val="18"/>
                <w:color w:val="auto"/>
              </w:rPr>
            </w:pPr>
          </w:p>
        </w:tc>
      </w:tr>
      <w:tr>
        <w:trPr>
          <w:trHeight w:val="209"/>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30.5 %</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30.2 %</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0.7 %</w:t>
            </w: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2.4 %</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 years</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options were granted during the three-months ended June 30, 2020 and 2019.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is based on the most recent volatility of the stock price over a period of time equivalent to the expected term of the option.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gridSpan w:val="3"/>
          </w:tcPr>
          <w:p>
            <w:pPr>
              <w:ind w:left="18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Exercise</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Price Per</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Term (In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1"/>
              </w:rPr>
              <w:t>Aggregate</w:t>
            </w:r>
          </w:p>
        </w:tc>
      </w:tr>
      <w:tr>
        <w:trPr>
          <w:trHeight w:val="230"/>
        </w:trPr>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Options</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Share</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years)</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Intrinsic Value</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308,884</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Granted 01/01/20 - 03/31/20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62.45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 04/01/20 - 06/30/20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37.24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 or forfeited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Outstanding at June 30, 2020</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363,570</w:t>
            </w: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 vest in the future at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June 30, 2020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Exercisable at June 30, 2020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8,652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278,553</w:t>
            </w:r>
          </w:p>
        </w:tc>
      </w:tr>
    </w:tbl>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 options were granted during the three-months ended June 30, 2020 and 2019. The weighted-average grant-date fair value of options granted during the six-months ended June 30, 2020 and 2019 was $18.78 per share and $20.30 per share,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intrinsic value of options exercised during the three- months ended June 30, 2020 and 2019 was $25.3 million and $32.9 million, respectively. The total intrinsic value of options exercised during the six-months ended June 30, 2020 and 2019 was $36.2 million and $211.3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received from option exercises under all plans for the three- months ended June 30, 2020 and 2019 was $29.9 million and $46.0 million, respectively. Cash received from option exercises under all plans for the six-months ended June 30, 2020 and 2019 was $43.8 million and $81.1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2020, there was $77.8 million of total unrecognized compensation expense related to non-vested options granted to employees under the Company’s stock-based payment plans. That cost is expected to be recognized over a weighted-average period of 2.5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 and Performance Share Units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activities with respect to non-vested restricted stock units and performance share units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4280" w:type="dxa"/>
            <w:vAlign w:val="bottom"/>
          </w:tcPr>
          <w:p>
            <w:pPr>
              <w:spacing w:after="0"/>
              <w:rPr>
                <w:sz w:val="18"/>
                <w:szCs w:val="18"/>
                <w:color w:val="auto"/>
              </w:rPr>
            </w:pPr>
          </w:p>
        </w:tc>
        <w:tc>
          <w:tcPr>
            <w:tcW w:w="2640" w:type="dxa"/>
            <w:vAlign w:val="bottom"/>
            <w:gridSpan w:val="2"/>
          </w:tcPr>
          <w:p>
            <w:pPr>
              <w:jc w:val="center"/>
              <w:ind w:left="173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r>
      <w:tr>
        <w:trPr>
          <w:trHeight w:val="216"/>
        </w:trPr>
        <w:tc>
          <w:tcPr>
            <w:tcW w:w="4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9"/>
              </w:rPr>
              <w:t>Grant-Date</w:t>
            </w:r>
          </w:p>
        </w:tc>
      </w:tr>
      <w:tr>
        <w:trPr>
          <w:trHeight w:val="230"/>
        </w:trPr>
        <w:tc>
          <w:tcPr>
            <w:tcW w:w="428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Fair Value</w:t>
            </w: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2020</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16"/>
        </w:trPr>
        <w:tc>
          <w:tcPr>
            <w:tcW w:w="4280" w:type="dxa"/>
            <w:vAlign w:val="bottom"/>
          </w:tcPr>
          <w:p>
            <w:pPr>
              <w:ind w:left="320"/>
              <w:spacing w:after="0" w:line="216" w:lineRule="exact"/>
              <w:rPr>
                <w:sz w:val="20"/>
                <w:szCs w:val="20"/>
                <w:color w:val="auto"/>
              </w:rPr>
            </w:pPr>
            <w:r>
              <w:rPr>
                <w:rFonts w:ascii="Arial" w:cs="Arial" w:eastAsia="Arial" w:hAnsi="Arial"/>
                <w:sz w:val="17"/>
                <w:szCs w:val="17"/>
                <w:color w:val="auto"/>
              </w:rPr>
              <w:t>Granted 01/01/20 - 03/31/20</w:t>
            </w:r>
            <w:r>
              <w:rPr>
                <w:rFonts w:ascii="Arial" w:cs="Arial" w:eastAsia="Arial" w:hAnsi="Arial"/>
                <w:sz w:val="25"/>
                <w:szCs w:val="25"/>
                <w:color w:val="auto"/>
                <w:vertAlign w:val="superscript"/>
              </w:rPr>
              <w:t>1</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16"/>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 04/01/20 - 06/30/20</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r>
      <w:tr>
        <w:trPr>
          <w:trHeight w:val="216"/>
        </w:trPr>
        <w:tc>
          <w:tcPr>
            <w:tcW w:w="4280" w:type="dxa"/>
            <w:vAlign w:val="bottom"/>
          </w:tcPr>
          <w:p>
            <w:pPr>
              <w:ind w:left="320"/>
              <w:spacing w:after="0"/>
              <w:rPr>
                <w:sz w:val="20"/>
                <w:szCs w:val="20"/>
                <w:color w:val="auto"/>
              </w:rPr>
            </w:pPr>
            <w:r>
              <w:rPr>
                <w:rFonts w:ascii="Arial" w:cs="Arial" w:eastAsia="Arial" w:hAnsi="Arial"/>
                <w:sz w:val="18"/>
                <w:szCs w:val="18"/>
                <w:color w:val="auto"/>
              </w:rPr>
              <w:t>Vested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55.65</w:t>
            </w:r>
          </w:p>
        </w:tc>
      </w:tr>
      <w:tr>
        <w:trPr>
          <w:trHeight w:val="216"/>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Forfeited/cancelled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18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60.45</w:t>
            </w:r>
          </w:p>
        </w:tc>
      </w:tr>
      <w:tr>
        <w:trPr>
          <w:trHeight w:val="20"/>
        </w:trPr>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line="19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dependent on the pre-established performance goals.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weighted-average grant-date fair value of restricted stock units granted during the three-months ended June 30, 2020 was $71.72 per share. The weighted-average grant-date fair value of restricted stock units granted during the three-months ended June 30, 2019 was $63.48 per share. No performance share units were granted during the three-months ended June 30, 2020 and 2019. The weighted-average grant-date fair value of restricted stock units and performance share units granted during the six-months ended June 30, 2020 was $62.78 per share. The weighted-average grant-date fair value of restricted stock units granted during the six-months ended June 30, 2019 was $59.79 per share. No performance share units were granted during the six- months ended June 30, 2019.</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2020, 0.8 million of restricted stock units and performance share units are expected to vest over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2020, total unrecognized compensation expense relating to non-vested restricted stock units and performance share units was $43.0 million, which is expected to be recognized over a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roll-forward of the Company’s total gross unrecognized tax benefits, not including interest and penalties, for the six-months ended June 30,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w w:val="90"/>
              </w:rPr>
              <w:t>Gross Unrecognized Tax</w:t>
            </w:r>
          </w:p>
        </w:tc>
      </w:tr>
      <w:tr>
        <w:trPr>
          <w:trHeight w:val="230"/>
        </w:trPr>
        <w:tc>
          <w:tcPr>
            <w:tcW w:w="6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Benefits</w:t>
            </w: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related to the prior years</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Decreases related to settlement with taxing authority</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condensed consolidated financial statements. As of June 30, 2020, the Company had approximately $0.4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income tax as well as to income tax in multiple state and foreign jurisdictions.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2016 through 2019 U.S. federal income tax returns are subject to examination by the IRS. The Company’s state income tax returns are subject to examination for the 2015 through 2019 tax years.</w:t>
      </w:r>
    </w:p>
    <w:p>
      <w:pPr>
        <w:spacing w:after="0" w:line="18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Three-Months Ended</w:t>
            </w: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w w:val="97"/>
              </w:rPr>
              <w:t>Six-Months Ended</w:t>
            </w:r>
          </w:p>
        </w:tc>
      </w:tr>
      <w:tr>
        <w:trPr>
          <w:trHeight w:val="230"/>
        </w:trPr>
        <w:tc>
          <w:tcPr>
            <w:tcW w:w="460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8"/>
                <w:szCs w:val="18"/>
                <w:color w:val="auto"/>
                <w:w w:val="86"/>
              </w:rPr>
              <w:t>June 30,</w:t>
            </w:r>
          </w:p>
        </w:tc>
        <w:tc>
          <w:tcPr>
            <w:tcW w:w="1580" w:type="dxa"/>
            <w:vAlign w:val="bottom"/>
            <w:gridSpan w:val="3"/>
          </w:tcPr>
          <w:p>
            <w:pPr>
              <w:jc w:val="right"/>
              <w:ind w:right="430"/>
              <w:spacing w:after="0"/>
              <w:rPr>
                <w:sz w:val="20"/>
                <w:szCs w:val="20"/>
                <w:color w:val="auto"/>
              </w:rPr>
            </w:pPr>
            <w:r>
              <w:rPr>
                <w:rFonts w:ascii="Arial" w:cs="Arial" w:eastAsia="Arial" w:hAnsi="Arial"/>
                <w:sz w:val="18"/>
                <w:szCs w:val="18"/>
                <w:color w:val="auto"/>
              </w:rPr>
              <w:t>June 30,</w:t>
            </w:r>
          </w:p>
        </w:tc>
      </w:tr>
      <w:tr>
        <w:trPr>
          <w:trHeight w:val="209"/>
        </w:trPr>
        <w:tc>
          <w:tcPr>
            <w:tcW w:w="46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526,911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544,156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531,486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543,466</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210"/>
        </w:trPr>
        <w:tc>
          <w:tcPr>
            <w:tcW w:w="4600" w:type="dxa"/>
            <w:vAlign w:val="bottom"/>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531,191</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548,218</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535,897</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548,299</w:t>
            </w: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June 30, 2020 and 2019, options and awards outstanding totaling 4.7 million shares and 4.7 million shares, respectively, were excluded from the calculations as their effect would have been antidilutive. For the six-months ended June 30, 2020 and 2019, options and awards outstanding totaling 4.9 million shares and 4.2 million shares, respectively, were excluded from the calculations as their effect would have been antidilutive.</w:t>
      </w:r>
    </w:p>
    <w:p>
      <w:pPr>
        <w:spacing w:after="0" w:line="187"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three operating and reportable segments: (i) Monster Energy® Drinks segment, which is primarily comprised of the Company’s Monster Energy® drinks and Reign Total Body Fuel® high performance energy drinks, (ii) Strategic Brands segment, which is primarily comprised of the various energy drink brands acquired from TCCC in 2015 as well as the Company’s affordable energy brands, and (iii) Other segment, which is comprised of the AFF Third-Party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three-and six-months ended June 30, 2020 and 2019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Three-Months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6"/>
          </w:tcPr>
          <w:p>
            <w:pPr>
              <w:jc w:val="center"/>
              <w:ind w:right="1200"/>
              <w:spacing w:after="0"/>
              <w:rPr>
                <w:sz w:val="20"/>
                <w:szCs w:val="20"/>
                <w:color w:val="auto"/>
              </w:rPr>
            </w:pPr>
            <w:r>
              <w:rPr>
                <w:rFonts w:ascii="Arial" w:cs="Arial" w:eastAsia="Arial" w:hAnsi="Arial"/>
                <w:sz w:val="18"/>
                <w:szCs w:val="18"/>
                <w:color w:val="auto"/>
                <w:w w:val="92"/>
              </w:rPr>
              <w:t>Six-Months Ended</w:t>
            </w:r>
          </w:p>
        </w:tc>
      </w:tr>
      <w:tr>
        <w:trPr>
          <w:trHeight w:val="230"/>
        </w:trPr>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10"/>
        </w:trPr>
        <w:tc>
          <w:tcPr>
            <w:tcW w:w="1000" w:type="dxa"/>
            <w:vAlign w:val="bottom"/>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ind w:left="10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w:t>
            </w:r>
          </w:p>
        </w:tc>
        <w:tc>
          <w:tcPr>
            <w:tcW w:w="5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1,027,686</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1,019,110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2,020,140</w:t>
            </w:r>
          </w:p>
        </w:tc>
        <w:tc>
          <w:tcPr>
            <w:tcW w:w="18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1,889,495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1,093,896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1,104,045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2,155,993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2,050,037</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Three-Months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6"/>
          </w:tcPr>
          <w:p>
            <w:pPr>
              <w:jc w:val="center"/>
              <w:ind w:right="1200"/>
              <w:spacing w:after="0"/>
              <w:rPr>
                <w:sz w:val="20"/>
                <w:szCs w:val="20"/>
                <w:color w:val="auto"/>
              </w:rPr>
            </w:pPr>
            <w:r>
              <w:rPr>
                <w:rFonts w:ascii="Arial" w:cs="Arial" w:eastAsia="Arial" w:hAnsi="Arial"/>
                <w:sz w:val="18"/>
                <w:szCs w:val="18"/>
                <w:color w:val="auto"/>
                <w:w w:val="92"/>
              </w:rPr>
              <w:t>Six-Months Ended</w:t>
            </w:r>
          </w:p>
        </w:tc>
      </w:tr>
      <w:tr>
        <w:trPr>
          <w:trHeight w:val="230"/>
        </w:trPr>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10"/>
        </w:trPr>
        <w:tc>
          <w:tcPr>
            <w:tcW w:w="1000" w:type="dxa"/>
            <w:vAlign w:val="bottom"/>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ind w:left="10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 (2)</w:t>
            </w:r>
          </w:p>
        </w:tc>
        <w:tc>
          <w:tcPr>
            <w:tcW w:w="5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453,388</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410,804</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864,528</w:t>
            </w:r>
          </w:p>
        </w:tc>
        <w:tc>
          <w:tcPr>
            <w:tcW w:w="18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753,803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(161,028)</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407,264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378,990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690,452</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8"/>
                <w:szCs w:val="18"/>
                <w:color w:val="auto"/>
                <w:w w:val="96"/>
              </w:rPr>
              <w:t>Three-Months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jc w:val="right"/>
              <w:ind w:right="210"/>
              <w:spacing w:after="0"/>
              <w:rPr>
                <w:sz w:val="20"/>
                <w:szCs w:val="20"/>
                <w:color w:val="auto"/>
              </w:rPr>
            </w:pPr>
            <w:r>
              <w:rPr>
                <w:rFonts w:ascii="Arial" w:cs="Arial" w:eastAsia="Arial" w:hAnsi="Arial"/>
                <w:sz w:val="18"/>
                <w:szCs w:val="18"/>
                <w:color w:val="auto"/>
              </w:rPr>
              <w:t>Six-Months Ended</w:t>
            </w:r>
          </w:p>
        </w:tc>
      </w:tr>
      <w:tr>
        <w:trPr>
          <w:trHeight w:val="230"/>
        </w:trPr>
        <w:tc>
          <w:tcPr>
            <w:tcW w:w="3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color w:val="auto"/>
              </w:rPr>
              <w:t>June 30,</w:t>
            </w:r>
          </w:p>
        </w:tc>
      </w:tr>
      <w:tr>
        <w:trPr>
          <w:trHeight w:val="209"/>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2019</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3140" w:type="dxa"/>
            <w:vAlign w:val="bottom"/>
          </w:tcPr>
          <w:p>
            <w:pPr>
              <w:ind w:left="10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$ 453,418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$ 410,897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864,596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753,913</w:t>
            </w:r>
          </w:p>
        </w:tc>
      </w:tr>
      <w:tr>
        <w:trPr>
          <w:trHeight w:val="216"/>
        </w:trPr>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95,651</w:t>
            </w:r>
          </w:p>
        </w:tc>
      </w:tr>
      <w:tr>
        <w:trPr>
          <w:trHeight w:val="216"/>
        </w:trPr>
        <w:tc>
          <w:tcPr>
            <w:tcW w:w="3140" w:type="dxa"/>
            <w:vAlign w:val="bottom"/>
          </w:tcPr>
          <w:p>
            <w:pPr>
              <w:ind w:left="100"/>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16"/>
        </w:trPr>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(170,090)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(155,424)</w:t>
            </w:r>
          </w:p>
        </w:tc>
      </w:tr>
      <w:tr>
        <w:trPr>
          <w:trHeight w:val="210"/>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$ 405,468</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$ 381,963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696,166</w:t>
            </w: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80" w:hanging="321"/>
        <w:spacing w:after="0" w:line="290" w:lineRule="auto"/>
        <w:tabs>
          <w:tab w:leader="none" w:pos="68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$10.5 million and $10.6 million for the three-months ended June 30, 2020 and 2019, respectively, related to the recognition of deferred revenue. Includes $21.1 million and $24.8 million for the six-months ended June 30, 2020 and 2019, respectively, related to the recognition of deferred revenue.</w:t>
      </w:r>
    </w:p>
    <w:p>
      <w:pPr>
        <w:spacing w:after="0" w:line="124" w:lineRule="exact"/>
        <w:rPr>
          <w:rFonts w:ascii="Arial" w:cs="Arial" w:eastAsia="Arial" w:hAnsi="Arial"/>
          <w:sz w:val="13"/>
          <w:szCs w:val="13"/>
          <w:i w:val="1"/>
          <w:iCs w:val="1"/>
          <w:color w:val="auto"/>
        </w:rPr>
      </w:pPr>
    </w:p>
    <w:p>
      <w:pPr>
        <w:ind w:left="680" w:hanging="321"/>
        <w:spacing w:after="0" w:line="253" w:lineRule="auto"/>
        <w:tabs>
          <w:tab w:leader="none" w:pos="6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$0.2 million and $0.3 million for the three-months ended June 30, 2020 and 2019, respectively, related to distributor termination costs. Includes $0.2 million and $11.0 million for the six-months ended June 30, 2020 and 2019, respectively, related to distributor termination costs.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jc w:val="right"/>
              <w:ind w:right="90"/>
              <w:spacing w:after="0"/>
              <w:rPr>
                <w:sz w:val="20"/>
                <w:szCs w:val="20"/>
                <w:color w:val="auto"/>
              </w:rPr>
            </w:pPr>
            <w:r>
              <w:rPr>
                <w:rFonts w:ascii="Arial" w:cs="Arial" w:eastAsia="Arial" w:hAnsi="Arial"/>
                <w:sz w:val="18"/>
                <w:szCs w:val="18"/>
                <w:color w:val="auto"/>
                <w:w w:val="91"/>
              </w:rPr>
              <w:t>Three-Months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right"/>
              <w:ind w:right="190"/>
              <w:spacing w:after="0"/>
              <w:rPr>
                <w:sz w:val="20"/>
                <w:szCs w:val="20"/>
                <w:color w:val="auto"/>
              </w:rPr>
            </w:pPr>
            <w:r>
              <w:rPr>
                <w:rFonts w:ascii="Arial" w:cs="Arial" w:eastAsia="Arial" w:hAnsi="Arial"/>
                <w:sz w:val="18"/>
                <w:szCs w:val="18"/>
                <w:color w:val="auto"/>
                <w:w w:val="96"/>
              </w:rPr>
              <w:t>Six-Months Ended</w:t>
            </w:r>
          </w:p>
        </w:tc>
      </w:tr>
      <w:tr>
        <w:trPr>
          <w:trHeight w:val="230"/>
        </w:trPr>
        <w:tc>
          <w:tcPr>
            <w:tcW w:w="3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2019</w:t>
            </w: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9,322</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10,332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18,974</w:t>
            </w:r>
          </w:p>
        </w:tc>
        <w:tc>
          <w:tcPr>
            <w:tcW w:w="18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20,129</w:t>
            </w: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10"/>
        </w:trPr>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15,629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30,499</w:t>
            </w:r>
          </w:p>
        </w:tc>
      </w:tr>
      <w:tr>
        <w:trPr>
          <w:trHeight w:val="20"/>
        </w:trPr>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Corporate and unallocated expenses for the three- months ended June 30, 2020 include $56.5 million of payroll costs, of which $15.9 million was attributable to stock-based compensation expenses (see Note 15 “Stock-Based Compensation”), as well as $17.1 million attributable to professional service expenses, including accounting and legal costs, and $11.8 million of other operating expenses. Corporate and unallocated expenses for the three-months ended June 30, 2019 include $50.5 million of payroll costs, of which $15.6 million was attributable to stock-based compensation expenses (see Note 15 "Stock-Based Compensation"), as well as $18.4 million attributable to professional service expenses, including accounting and legal costs, and $14.1 million of other operating expenses.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Corporate and unallocated expenses for the six-months ended June 30, 2020 include $111.8 million of payroll costs, of which $33.0 million was attributable to stock-based compensation expenses (see Note 15 "Stock-Based Compensation"), as well as $33.5 million attributable to professional service expenses, including accounting and legal costs, and $23.8 million of other operating expenses. Corporate and unallocated expenses for the six-months ended June 30, 2019 include $100.9 million of payroll costs, of which $30.9 million was attributable to stock-based compensation expenses (see Note 15 "Stock-Based Compensation"), as well as $35.9 million attributable to professional service expenses, including accounting and legal costs, and $24.2 million of other operating expenses.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Consolidated, Inc. accounted for approximately 13% of the Company’s net sales for both the three- months ended June 30, 2020 and 2019. Coca-Cola Consolidated, Inc. accounted for approximately 12% and 13% of the Company's net sales for the six- months ended June 30, 2020 and 2019,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Reyes Coca-Cola Bottling, LLC accounted for approximately 11% of the Company’s net sales for both the three- months ended June 30, 2020 and 2019. Reyes Coca-Cola Bottling, LLC accounted for approximately 11% of the Company's net sales for both the six-months ended June 30, 2020 and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European Partners accounted for approximately 8% and 10% of the Company’s net sales for the three- months ended June 30, 2020 and 2019, respectively. Coca-Cola European Partners accounted for approximately 9% and 10% of the Company's net sales for the six- months ended June 30, 2020 and 2019,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to customers outside the United States amounted to $328.3 million and $343.3 million for the three- months ended June 30, 2020 and 2019, respectively. Such sales were approximately 30% and 31% of net sales for the three- months ended June 30, 2020 and 2019, respectively. Net sales to customers outside the United States amounted to $685.1 million and $627.3 million for the six-months ended June 30, 2020 and 2019, respectively. Such sales were approximately 32% and 31% of net sales for the six-months ended June 30, 2020 and 2019,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Goodwill and other intangible assets for the Company’s reportable segments as of June 30, 2020 and December 31, 2019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5"/>
              </w:rPr>
              <w:t>June 30,</w:t>
            </w:r>
          </w:p>
        </w:tc>
        <w:tc>
          <w:tcPr>
            <w:tcW w:w="2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1,397,016</w:t>
            </w:r>
          </w:p>
        </w:tc>
        <w:tc>
          <w:tcPr>
            <w:tcW w:w="4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1,384,940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2,387,187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2,383,748</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19.</w:t>
            </w:r>
          </w:p>
        </w:tc>
        <w:tc>
          <w:tcPr>
            <w:tcW w:w="4600" w:type="dxa"/>
            <w:vAlign w:val="bottom"/>
            <w:gridSpan w:val="2"/>
            <w:vMerge w:val="restart"/>
          </w:tcPr>
          <w:p>
            <w:pPr>
              <w:ind w:left="200"/>
              <w:spacing w:after="0"/>
              <w:rPr>
                <w:sz w:val="20"/>
                <w:szCs w:val="20"/>
                <w:color w:val="auto"/>
              </w:rPr>
            </w:pPr>
            <w:r>
              <w:rPr>
                <w:rFonts w:ascii="Arial" w:cs="Arial" w:eastAsia="Arial" w:hAnsi="Arial"/>
                <w:sz w:val="18"/>
                <w:szCs w:val="18"/>
                <w:color w:val="auto"/>
              </w:rPr>
              <w:t>RELATED PARTY TRANSACTIONS</w:t>
            </w: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TCCC controls approximately 19.4%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TCCC commissions, based on sales to the TCCC Subsidiaries and the TCCC Related Parties, were $10.7 million and $15.8 million for the three-months ended June 30, 2020 and 2019, respectively, and are included as a reduction to net sales. TCCC commissions, based on sales to the TCCC Subsidiaries and the TCCC Related Parties, were $22.1 million and $27.9 million for the six-months ended June 30, 2020 and 2019, respectively, and are included as a reduction to net sales.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TCCC commissions, based on sales to certain TCCC independent bottlers/distributors, were $5.4 million and $5.0 million for the three-months ended June 30, 2020 and 2019, respectively, and are included in operating expenses. TCCC commissions, based on sales to certain TCCC independent bottlers/distributors, were $9.8 million and $8.8 million for the six-months ended June 30, 2020 and 2019, respectively, and are included in operating expenses.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to the TCCC Subsidiaries for the three-months ended June 30, 2020 and 2019 were $14.2 million and $21.3 million, respectively. Net sales to the TCCC Subsidiaries for the six-months ended June 30, 2020 and 2019 were $33.6 million and $38.6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also purchases concentrates from TCCC which are then sold to certain of the Company’s bottlers/distributors.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Concentrate purchases from TCCC were $6.5 million and $7.3 million for the three-months ended June 30, 2020 and 2019,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Concentrate purchases from TCCC were $10.8 million and $13.9 million for the six-months ended June 30, 2020 and 2019, respectively.</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TCCC Subsidiaries also contract manufacture certain of the Company’s energy drinks. Such contract manufacturing expenses were $2.2 million and $4.4 million for the three- months ended June 30, 2020 and 2019, respectively. Such contract manufacturing expenses were $6.2 million and $8.9 million for the six-months ended June 30, 2020 and 2019,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accrued promotional allowances and accrued liabilities related to the TCCC Subsidiaries are as follows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3"/>
              </w:rPr>
              <w:t>December 31,</w:t>
            </w:r>
          </w:p>
        </w:tc>
      </w:tr>
      <w:tr>
        <w:trPr>
          <w:trHeight w:val="230"/>
        </w:trPr>
        <w:tc>
          <w:tcPr>
            <w:tcW w:w="35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(18,217)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1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Accrued liabilities</w:t>
            </w:r>
          </w:p>
        </w:tc>
        <w:tc>
          <w:tcPr>
            <w:tcW w:w="1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(19,710)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three-months ended June 30, 2020 and 2019 were $0.8 million and $0.3 million, respectively. Expenses incurred with such company in connection with promotional materials purchased during the six-months ended June 30, 2020 and 2019 were $1.5 million and $0.6 million, respectively.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and is included in other assets (non-current) in the accompanying condensed consolidated balance sheet at June 30, 2020. During the three-months ended June 30, 2020, the Company recorded an equity loss of $0.2 million. During the six-months ended June 30, 2020, the Company recorded an equity loss of $0.2 million. As of June 30, 2020, the Company’s equity investment is $1.7 million and is included in other assets (non-current)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 – 19 Pandemic</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and consequently businesses (including the Company and its suppliers, full service beverage bottlers/distributors (“bottlers/distributors”), co-packers and other service providers) and the public at large to limit the COVID-19 pandemic, has directly and indirectly impacted our business. The duration and severity of this impact will depend on future developments that are highly uncertain and cannot be accurately predicted, including new information that may emerge concerning the COVID-19 pandemic, the actions taken to limit its spread and the economic impact on local, regional, national and international markets. See the section entitled “Risk Factors” in Item 1A of this Quarterly Report.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actively addressing the COVID-19 pandemic with a global task force team working to mitigate the potential impacts to our people and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and Safety of our Employees and Business Partners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the beginning of the COVID-19 pandemic, our top priority has been the health, safety and well-being of our employees. Early in March 2020, we implemented global travel restrictions and work-from-home policies for employees who are able to work remotely. For those employees who are unable to work remotely, safety precautions have been instituted, which were developed and adopted in line with guidance from public health authorities and professional consultants. Currently, our offices have partially reopened in the U.S. and in certain countries, and generally, our field sales teams are working with our bottler/distributors and retailers subject to certain safety protocols. We are incredibly proud of the teamwork exhibited by our employees, co-packers and bottlers/distributors around the world who are ensuring the integrity of our supply chain.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Demand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COVID-19 pandemic had an adverse impact on our net and gross sales for the three- months ended June 30, 2020, due in part to certain of our bottlers/distributors reducing their inventory levels. However, we did see a sequential improvement in sales in the latter half of the quarter as certain countries and states began to gradually re-open.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mid-March 2020, we have seen a shift in consumer channel preferences and package configurations, including an increase in at-home consumption and a decrease in immediate consumption. Our sales in the second quarter of 2020 were initially adversely affected as a result of a decrease in foot traffic in the convenience and gas channel (which is our largest channel) but improved sequentially throughout the quarter. Our e-commerce, club store, mass merchandiser and grocery and related business continued to increase over the quarter, while our food service on-premise business, which is a small channel for the Company, remained challenged. The duration of these trends and the magnitude of such impacts on future periods cannot be precisely estimated at this time, as they are affected by a number of factors (many of which are outside our control).</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Distribution and Supply Chain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filing, we do not foresee a material impact on the ability of our co-packers to manufacture and our bottlers/distributors to distribute our products as a result of the COVID-19 pandemic. In addition, we are not experiencing raw material or finished product shortages in our supply chain. However, depending on the duration of any COVID-19 pandemic related issues, we may experience material disruptions in our supply chain as the pandemic continues.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we expect to maintain substantial liquidity as we manage through the current environment as described in the “Liquidity and Capital Resources”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Energy®</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Energy Ultra®</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Rehab®</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Burn®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MAXX®</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Java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Muscle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Espresso Monster®</w:t>
            </w:r>
          </w:p>
        </w:tc>
        <w:tc>
          <w:tcPr>
            <w:tcW w:w="3460" w:type="dxa"/>
            <w:vAlign w:val="bottom"/>
            <w:gridSpan w:val="2"/>
          </w:tcPr>
          <w:p>
            <w:pPr>
              <w:ind w:left="680"/>
              <w:spacing w:after="0"/>
              <w:rPr>
                <w:sz w:val="20"/>
                <w:szCs w:val="20"/>
                <w:color w:val="auto"/>
              </w:rPr>
            </w:pPr>
            <w:r>
              <w:rPr>
                <w:rFonts w:ascii="Arial" w:cs="Arial" w:eastAsia="Arial" w:hAnsi="Arial"/>
                <w:sz w:val="18"/>
                <w:szCs w:val="18"/>
                <w:color w:val="auto"/>
                <w:w w:val="94"/>
              </w:rPr>
              <w:t>●  Play® and Power Play® (stylized)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Punch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Juice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BPM®</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Hydro®</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  Monster HydroSport Super Fuel®</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Gladiator®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Dragon Tea®</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Samurai®</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Caffé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Live+®</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  Reign Total Body Fuel®</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Predator®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  Reign Inferno® Thermogenic Fuel</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Fury®</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primarily comprised of our Monster Energy® drinks and Reign Total Body Fuel®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three-months ended June 30, 2020, we continued to expand our existing energy drink portfolio by adding additional products to our portfolio in a number of countries and further developed our distribution markets. During the three-months ended June 30, 2020, we introduced the following new product:</w:t>
      </w:r>
    </w:p>
    <w:p>
      <w:pPr>
        <w:spacing w:after="0" w:line="184"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Fury® Gold Strike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June 30, 2020, either individually or in aggregate, did not have a material adverse impact on our financial position, results of operations or liquidity.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2020 launches were negatively impacted by the COVID-19 pandemic and we did not achieve planned distribution levels for these launches, in part due to certain retailers postponing implementation of their new planned spring schematics, which included our innovation products. We are executing plans with our bottlers/distributors to reprioritize recent innovation launches to maximize their distribution, particularly in the convenience and gas channel.</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three-months ended June 30, 2020 were $1.09 billion. Net changes in foreign currency exchange rates had an unfavorable impact on net sales of approximately $18.2 million for the three- months ended June 30, 2020.</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vast majority of our net sales are derived from our Monster Energy® Drinks segment. Net sales of our Monster Energy® Drinks segment were $1.03 billion for the three-months ended June 30, 2020. Net sales of our Strategic Brands segment were $59.6 million for the three-months ended June 30, 2020. Our Monster Energy® Drinks segment represented 93.9% and 92.3% of our net sales for the three-months ended June 30, 2020 and 2019, respectively. Our Strategic Brands segment represented 5.4% and 7.2% of our net sales for the three-months ended June 30, 2020 and 2019, respectively. Our Other segment represented 0.7% and 0.5% of our net sales for the three-months ended June 30, 2020 and 2019, respectively.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growth strategy includes expanding our international business. Net sales to customers outside the United States were $328.3 million for the three-months ended June 30, 2020, a decrease of approximately $15.0 million, or 4.4% lower than net sales to customers outside of the United States of $343.3 million for the three-months ended June 30, 2019. Such sales were approximately 30% and 31% of net sales for the three-months ended June 30, 2020 and 2019, respectively. The COVID-19 pandemic had a material adverse impact on net sales to customers outside the U.S., primarily in EMEA, for the three-months ended June 30, 2020. In addition, to a lesser extent, the trading dispute between certain TCCC bottlers and a European buying group primarily in Western Europe resulted in the temporary delisting of certain TCCC and Company products, which had an adverse impact on net sales in EMEA for the three-months ended June 30, 2020.</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customers are primarily bottlers/distributors, retail grocery and specialty chains, wholesalers, club stores, mass merchandisers, convenience chains, drug stores, foodservice customers and the military. Percentages of our gross sales to our various customer types for the three- and six-months ended June 30, 2020 and 2019 are reflected below. Such information includes sales made by us directly to the customer types concerned, which include our bottlers/distributors in the United States. Such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80" w:type="dxa"/>
            <w:vAlign w:val="bottom"/>
            <w:gridSpan w:val="5"/>
          </w:tcPr>
          <w:p>
            <w:pPr>
              <w:jc w:val="center"/>
              <w:ind w:right="370"/>
              <w:spacing w:after="0"/>
              <w:rPr>
                <w:sz w:val="20"/>
                <w:szCs w:val="20"/>
                <w:color w:val="auto"/>
              </w:rPr>
            </w:pPr>
            <w:r>
              <w:rPr>
                <w:rFonts w:ascii="Arial" w:cs="Arial" w:eastAsia="Arial" w:hAnsi="Arial"/>
                <w:sz w:val="18"/>
                <w:szCs w:val="18"/>
                <w:color w:val="auto"/>
                <w:w w:val="91"/>
              </w:rPr>
              <w:t>Three-Months Ended</w:t>
            </w:r>
          </w:p>
        </w:tc>
        <w:tc>
          <w:tcPr>
            <w:tcW w:w="1620" w:type="dxa"/>
            <w:vAlign w:val="bottom"/>
            <w:gridSpan w:val="4"/>
          </w:tcPr>
          <w:p>
            <w:pPr>
              <w:jc w:val="right"/>
              <w:ind w:right="130"/>
              <w:spacing w:after="0"/>
              <w:rPr>
                <w:sz w:val="20"/>
                <w:szCs w:val="20"/>
                <w:color w:val="auto"/>
              </w:rPr>
            </w:pPr>
            <w:r>
              <w:rPr>
                <w:rFonts w:ascii="Arial" w:cs="Arial" w:eastAsia="Arial" w:hAnsi="Arial"/>
                <w:sz w:val="18"/>
                <w:szCs w:val="18"/>
                <w:color w:val="auto"/>
                <w:w w:val="93"/>
              </w:rPr>
              <w:t>Six-Months Ended</w:t>
            </w:r>
          </w:p>
        </w:tc>
      </w:tr>
      <w:tr>
        <w:trPr>
          <w:trHeight w:val="230"/>
        </w:trPr>
        <w:tc>
          <w:tcPr>
            <w:tcW w:w="4240" w:type="dxa"/>
            <w:vAlign w:val="bottom"/>
          </w:tcPr>
          <w:p>
            <w:pPr>
              <w:spacing w:after="0"/>
              <w:rPr>
                <w:sz w:val="20"/>
                <w:szCs w:val="20"/>
                <w:color w:val="auto"/>
              </w:rPr>
            </w:pPr>
          </w:p>
        </w:tc>
        <w:tc>
          <w:tcPr>
            <w:tcW w:w="1100" w:type="dxa"/>
            <w:vAlign w:val="bottom"/>
            <w:gridSpan w:val="3"/>
          </w:tcPr>
          <w:p>
            <w:pPr>
              <w:jc w:val="center"/>
              <w:ind w:left="370"/>
              <w:spacing w:after="0"/>
              <w:rPr>
                <w:sz w:val="20"/>
                <w:szCs w:val="20"/>
                <w:color w:val="auto"/>
              </w:rPr>
            </w:pPr>
            <w:r>
              <w:rPr>
                <w:rFonts w:ascii="Arial" w:cs="Arial" w:eastAsia="Arial" w:hAnsi="Arial"/>
                <w:sz w:val="18"/>
                <w:szCs w:val="18"/>
                <w:color w:val="auto"/>
                <w:w w:val="86"/>
              </w:rPr>
              <w:t>June 30,</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gridSpan w:val="4"/>
          </w:tcPr>
          <w:p>
            <w:pPr>
              <w:jc w:val="right"/>
              <w:ind w:right="530"/>
              <w:spacing w:after="0"/>
              <w:rPr>
                <w:sz w:val="20"/>
                <w:szCs w:val="20"/>
                <w:color w:val="auto"/>
              </w:rPr>
            </w:pPr>
            <w:r>
              <w:rPr>
                <w:rFonts w:ascii="Arial" w:cs="Arial" w:eastAsia="Arial" w:hAnsi="Arial"/>
                <w:sz w:val="18"/>
                <w:szCs w:val="18"/>
                <w:color w:val="auto"/>
              </w:rPr>
              <w:t>June 30,</w:t>
            </w:r>
          </w:p>
        </w:tc>
      </w:tr>
      <w:tr>
        <w:trPr>
          <w:trHeight w:val="210"/>
        </w:trPr>
        <w:tc>
          <w:tcPr>
            <w:tcW w:w="42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2019</w:t>
            </w:r>
          </w:p>
        </w:tc>
        <w:tc>
          <w:tcPr>
            <w:tcW w:w="4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full service bottlers/distributors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18"/>
                <w:szCs w:val="18"/>
                <w:color w:val="auto"/>
              </w:rPr>
            </w:pP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33 %</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33 %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Club stores and mass merchandisers</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Retail grocery, specialty chains and wholesalers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1 %</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Consolidated, Inc. accounted for approximately 13% of the Company’s net sales for both the three- months ended June 30, 2020 and 2019. Coca-Cola Consolidated, Inc. accounted for approximately 12% and 13% of the Company's net sales for the six-months ended June 30, 2020 and 2019,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Reyes Coca-Cola Bottling, LLC accounted for approximately 11% of the Company’s net sales for both the three- months ended June 30, 2020 and 2019. Reyes Coca-Cola Bottling, LLC accounted for approximately 11% of the Company's net sales for both the six-months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European Partners accounted for approximately 8% and 10% of the Company’s net sales for the three- months ended June 30, 2020 and 2019, respectively. Coca-Cola European Partners accounted for approximately 9% and 10% of the Company's net sales for the six-months ended June 30,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three- and six-months ended June 30,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6"/>
          </w:tcPr>
          <w:p>
            <w:pPr>
              <w:jc w:val="right"/>
              <w:ind w:right="399"/>
              <w:spacing w:after="0"/>
              <w:rPr>
                <w:sz w:val="20"/>
                <w:szCs w:val="20"/>
                <w:color w:val="auto"/>
              </w:rPr>
            </w:pPr>
            <w:r>
              <w:rPr>
                <w:rFonts w:ascii="Arial" w:cs="Arial" w:eastAsia="Arial" w:hAnsi="Arial"/>
                <w:sz w:val="16"/>
                <w:szCs w:val="16"/>
                <w:color w:val="auto"/>
                <w:w w:val="99"/>
              </w:rPr>
              <w:t>Three-Months Ended</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Percentage</w:t>
            </w:r>
          </w:p>
        </w:tc>
        <w:tc>
          <w:tcPr>
            <w:tcW w:w="120" w:type="dxa"/>
            <w:vAlign w:val="bottom"/>
          </w:tcPr>
          <w:p>
            <w:pPr>
              <w:spacing w:after="0"/>
              <w:rPr>
                <w:sz w:val="17"/>
                <w:szCs w:val="17"/>
                <w:color w:val="auto"/>
              </w:rPr>
            </w:pPr>
          </w:p>
        </w:tc>
        <w:tc>
          <w:tcPr>
            <w:tcW w:w="2020" w:type="dxa"/>
            <w:vAlign w:val="bottom"/>
            <w:gridSpan w:val="6"/>
          </w:tcPr>
          <w:p>
            <w:pPr>
              <w:jc w:val="right"/>
              <w:ind w:right="479"/>
              <w:spacing w:after="0"/>
              <w:rPr>
                <w:sz w:val="20"/>
                <w:szCs w:val="20"/>
                <w:color w:val="auto"/>
              </w:rPr>
            </w:pPr>
            <w:r>
              <w:rPr>
                <w:rFonts w:ascii="Arial" w:cs="Arial" w:eastAsia="Arial" w:hAnsi="Arial"/>
                <w:sz w:val="16"/>
                <w:szCs w:val="16"/>
                <w:color w:val="auto"/>
              </w:rPr>
              <w:t>Six-Months Ended</w:t>
            </w:r>
          </w:p>
        </w:tc>
        <w:tc>
          <w:tcPr>
            <w:tcW w:w="880" w:type="dxa"/>
            <w:vAlign w:val="bottom"/>
            <w:gridSpan w:val="2"/>
          </w:tcPr>
          <w:p>
            <w:pPr>
              <w:jc w:val="center"/>
              <w:ind w:right="59"/>
              <w:spacing w:after="0"/>
              <w:rPr>
                <w:sz w:val="20"/>
                <w:szCs w:val="20"/>
                <w:color w:val="auto"/>
              </w:rPr>
            </w:pPr>
            <w:r>
              <w:rPr>
                <w:rFonts w:ascii="Arial" w:cs="Arial" w:eastAsia="Arial" w:hAnsi="Arial"/>
                <w:sz w:val="16"/>
                <w:szCs w:val="16"/>
                <w:color w:val="auto"/>
                <w:w w:val="85"/>
              </w:rPr>
              <w:t>Percentage</w:t>
            </w: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6"/>
                <w:szCs w:val="16"/>
                <w:color w:val="auto"/>
              </w:rPr>
              <w:t>(In thousands, except per share amounts)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6"/>
          </w:tcPr>
          <w:p>
            <w:pPr>
              <w:jc w:val="right"/>
              <w:ind w:right="839"/>
              <w:spacing w:after="0"/>
              <w:rPr>
                <w:sz w:val="20"/>
                <w:szCs w:val="20"/>
                <w:color w:val="auto"/>
              </w:rPr>
            </w:pPr>
            <w:r>
              <w:rPr>
                <w:rFonts w:ascii="Arial" w:cs="Arial" w:eastAsia="Arial" w:hAnsi="Arial"/>
                <w:sz w:val="16"/>
                <w:szCs w:val="16"/>
                <w:color w:val="auto"/>
              </w:rPr>
              <w:t>June 30,</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Change</w:t>
            </w:r>
          </w:p>
        </w:tc>
        <w:tc>
          <w:tcPr>
            <w:tcW w:w="1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auto"/>
              </w:rPr>
              <w:t>June 30,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59"/>
              <w:spacing w:after="0"/>
              <w:rPr>
                <w:sz w:val="20"/>
                <w:szCs w:val="20"/>
                <w:color w:val="auto"/>
              </w:rPr>
            </w:pPr>
            <w:r>
              <w:rPr>
                <w:rFonts w:ascii="Arial" w:cs="Arial" w:eastAsia="Arial" w:hAnsi="Arial"/>
                <w:sz w:val="16"/>
                <w:szCs w:val="16"/>
                <w:color w:val="auto"/>
                <w:w w:val="89"/>
              </w:rPr>
              <w:t>Change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 vs. 19</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 vs. 19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line="195" w:lineRule="exact"/>
              <w:rPr>
                <w:sz w:val="20"/>
                <w:szCs w:val="20"/>
                <w:color w:val="auto"/>
              </w:rPr>
            </w:pPr>
            <w:r>
              <w:rPr>
                <w:rFonts w:ascii="Arial" w:cs="Arial" w:eastAsia="Arial" w:hAnsi="Arial"/>
                <w:sz w:val="15"/>
                <w:szCs w:val="15"/>
                <w:color w:val="auto"/>
              </w:rPr>
              <w:t>Net sales</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1,093,896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1,104,045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2,155,993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2,050,037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434,427</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442,762</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859,329</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815,221</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line="195" w:lineRule="exact"/>
              <w:rPr>
                <w:sz w:val="20"/>
                <w:szCs w:val="20"/>
                <w:color w:val="auto"/>
              </w:rPr>
            </w:pPr>
            <w:r>
              <w:rPr>
                <w:rFonts w:ascii="Arial" w:cs="Arial" w:eastAsia="Arial" w:hAnsi="Arial"/>
                <w:sz w:val="15"/>
                <w:szCs w:val="15"/>
                <w:color w:val="auto"/>
              </w:rPr>
              <w:t>Gross profit*</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659,469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661,283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1,296,664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1,234,816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Gross profit as a percentage of net sales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60.3 %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59.9 %</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60.1 %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60.2 %</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6"/>
                <w:szCs w:val="16"/>
                <w:color w:val="auto"/>
              </w:rPr>
              <w:t>Operating expenses</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252,205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282,293</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524,412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544,364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 as a percentage of net sales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Operating income</w:t>
            </w:r>
            <w:r>
              <w:rPr>
                <w:rFonts w:ascii="Arial" w:cs="Arial" w:eastAsia="Arial" w:hAnsi="Arial"/>
                <w:sz w:val="23"/>
                <w:szCs w:val="23"/>
                <w:color w:val="auto"/>
                <w:vertAlign w:val="superscript"/>
              </w:rPr>
              <w:t>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407,264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378,990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772,252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690,452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Operating income as a percentage of net sales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37.2 %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34.3 %</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35.8 %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33.7 %</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(1,796)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2,973</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(160.4)%</w:t>
            </w:r>
          </w:p>
        </w:tc>
        <w:tc>
          <w:tcPr>
            <w:tcW w:w="120" w:type="dxa"/>
            <w:vAlign w:val="bottom"/>
          </w:tcPr>
          <w:p>
            <w:pPr>
              <w:spacing w:after="0"/>
              <w:rPr>
                <w:sz w:val="17"/>
                <w:szCs w:val="17"/>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(923)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5,714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6"/>
                <w:szCs w:val="16"/>
                <w:color w:val="auto"/>
              </w:rPr>
              <w:t>Income before provision for income taxes</w:t>
            </w:r>
            <w:r>
              <w:rPr>
                <w:rFonts w:ascii="Arial" w:cs="Arial" w:eastAsia="Arial" w:hAnsi="Arial"/>
                <w:sz w:val="23"/>
                <w:szCs w:val="23"/>
                <w:color w:val="auto"/>
                <w:vertAlign w:val="superscript"/>
              </w:rPr>
              <w:t>1,2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405,468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381,963</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771,329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696,166</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94,099</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89,490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181,125</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142,208</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27.4 %</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w w:val="94"/>
              </w:rPr>
              <w:t>Income taxes as a percentage of income before taxes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23.2 %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23.4 %</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23.5 %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20.4 %</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20" w:type="dxa"/>
            <w:vAlign w:val="bottom"/>
          </w:tcPr>
          <w:p>
            <w:pPr>
              <w:spacing w:after="0" w:line="202" w:lineRule="exact"/>
              <w:rPr>
                <w:sz w:val="20"/>
                <w:szCs w:val="20"/>
                <w:color w:val="auto"/>
              </w:rPr>
            </w:pPr>
            <w:r>
              <w:rPr>
                <w:rFonts w:ascii="Arial" w:cs="Arial" w:eastAsia="Arial" w:hAnsi="Arial"/>
                <w:sz w:val="16"/>
                <w:szCs w:val="16"/>
                <w:color w:val="auto"/>
              </w:rPr>
              <w:t>Net income</w:t>
            </w:r>
            <w:r>
              <w:rPr>
                <w:rFonts w:ascii="Arial" w:cs="Arial" w:eastAsia="Arial" w:hAnsi="Arial"/>
                <w:sz w:val="23"/>
                <w:szCs w:val="23"/>
                <w:color w:val="auto"/>
                <w:vertAlign w:val="superscript"/>
              </w:rPr>
              <w:t>1,2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311,369</w:t>
            </w:r>
          </w:p>
        </w:tc>
        <w:tc>
          <w:tcPr>
            <w:tcW w:w="1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292,473</w:t>
            </w:r>
          </w:p>
        </w:tc>
        <w:tc>
          <w:tcPr>
            <w:tcW w:w="2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6.5% $</w:t>
            </w:r>
          </w:p>
        </w:tc>
        <w:tc>
          <w:tcPr>
            <w:tcW w:w="740" w:type="dxa"/>
            <w:vAlign w:val="bottom"/>
          </w:tcPr>
          <w:p>
            <w:pPr>
              <w:jc w:val="right"/>
              <w:spacing w:after="0"/>
              <w:rPr>
                <w:sz w:val="20"/>
                <w:szCs w:val="20"/>
                <w:color w:val="auto"/>
              </w:rPr>
            </w:pPr>
            <w:r>
              <w:rPr>
                <w:rFonts w:ascii="Arial" w:cs="Arial" w:eastAsia="Arial" w:hAnsi="Arial"/>
                <w:sz w:val="16"/>
                <w:szCs w:val="16"/>
                <w:color w:val="auto"/>
              </w:rPr>
              <w:t>590,204</w:t>
            </w:r>
          </w:p>
        </w:tc>
        <w:tc>
          <w:tcPr>
            <w:tcW w:w="1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553,958</w:t>
            </w: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Net income as a percentage of net sales</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Borders>
              <w:top w:val="single" w:sz="8" w:color="CCEEF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w w:val="84"/>
              </w:rPr>
              <w:t>%</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20" w:type="dxa"/>
            <w:vAlign w:val="bottom"/>
            <w:tcBorders>
              <w:top w:val="single" w:sz="8" w:color="CCEEF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80" w:type="dxa"/>
            <w:vAlign w:val="bottom"/>
            <w:tcBorders>
              <w:top w:val="single" w:sz="8" w:color="CCEEF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w w:val="84"/>
              </w:rPr>
              <w:t>%</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common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0.59</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0.54</w:t>
            </w: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9.9% $</w:t>
            </w: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Case sales (in thousands)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(in 192-ounce case equivalents)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116,960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119,595</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232,559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220,879</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spacing w:after="0" w:line="19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Includes $10.5 million and $10.6 million for the three-months ended June 30, 2020 and 2019, respectively, related to the recognition of deferred revenue. Includes $21.1 million and $24.8 million for the six- months ended June 30, 2020 and 2019, respectively, related to the recognition of deferred revenue.</w:t>
      </w:r>
    </w:p>
    <w:p>
      <w:pPr>
        <w:spacing w:after="0" w:line="112" w:lineRule="exact"/>
        <w:rPr>
          <w:sz w:val="20"/>
          <w:szCs w:val="20"/>
          <w:color w:val="auto"/>
        </w:rPr>
      </w:pPr>
    </w:p>
    <w:p>
      <w:pPr>
        <w:jc w:val="both"/>
        <w:ind w:right="20"/>
        <w:spacing w:after="0" w:line="199"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Includes $0.2 million and $0.3 million for the three-months ended June 30, 2020 and 2019, respectively, of distributor termination costs. Includes $0.2 million and $11.0 million for the six- months ended June 30, 2020 and 2019, respectively, of distributor termination costs.</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Three-Months Ended June 30, 2020 Compared to the Three-Months Ended June 30, 2019.</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$1.09 billion for the three-months ended June 30, 2020, a decrease of approximately $10.1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0.9% lower than net sales of $1.10 billion for the three-months ended June 30, 2019. The COVID-19 pandemic had an adverse impact on net sales for the three-months ended June 30, 2020. Net changes in foreign currency exchange rates had an unfavorable impact on net sales of approximately $18.2 million for the three-months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for the Monster Energy® Drinks segment were $1.03 billion for the three-months ended June 30, 2020, an increase of approximately $8.6 million, or 0.8% higher than net sales of $1.02 billion for the three-months ended June 30, 2019. The COVID-19 pandemic had an adverse impact on net sales of the Monster Energy® Drinks segment for the three-months ended June 30, 2020. Net changes in foreign currency exchange rates had an unfavorable impact on net sales for the Monster Energy® Drinks segment of approximately $16.8 million for the three-months ended June 30, 2020.</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sales for the Strategic Brands segment were $59.6 million for the three-months ended June 30, 2020, a decrease of approximately $19.6 million, or 24.7% lower than net sales of $79.1 million for the three-months ended June 30, 2019. The COVID-19 pandemic had a material adverse impact on net sales of the Strategic Brands segment for the three-months ended June 30, 2020. The COVID-19 pandemic’s impact was more pronounced in the Strategic Brands segment, particularly in EMEA, as our larger revenue generating countries for this segment experienced extended lockdowns. Net changes in foreign currency exchange rates had an unfavorable impact on net sales for the Strategic Brands segment of approximately $1.4 million for the three-months ended June 30, 2020.</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Other segment were $6.6 million for the three-months ended June 30, 2020, an increase of approximately $0.9 million, or 14.7% higher than net sales of $5.8 million for the three-months ended June 30, 2019.</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Case sales, in 192-ounce case equivalents, were 117.0 million cases for the three-months ended June 30, 2020, a decrease of approximately 2.6 million cases or 2.2% lower than case sales of 119.6 million cases for the three-months ended June 30, 2019. The overall average net sales per case (excluding net sales of AFF Third-Party Products of $6.6 million and $5.8 million for the three-months ended June 30, 2020 and 2019, respectively, as these sales do not have unit case equivalents) increased to $9.30 for the three-months ended June 30, 2020, which was 1.2% higher than the average net sales per case of $9.18 for the three-months ended June 30, 2019. The increase in the average net sales per case was primarily the result of the decrease in net sales of the Strategic Brands segment, which has a lower net sales price per case than the Monster Energy® Drinks segment.</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$659.5 million for the three-months ended June 30, 2020, a decrease of approximately $1.8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0.3% lower than the gross profit of $661.3 million for the three-months ended June 30, 2019. The decrease in gross profit dollars was primarily the result of the $10.1 million decrease in net sales for the three-months ended June 30, 2020.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as a percentage of net sales increased to 60.3% for the three-months ended June 30, 2020 from 59.9% for the three-months ended June 30, 2019. The increase for the three-months ended June 30, 2020 was primarily the result of product and geographical sales mix as well as reduced input costs.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Total operating expenses were $252.2 million for the three-months ended June 30, 2020,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$30.1 million, or 10.7% lower than total operating expenses of $282.3 million for the three-months ended June 30, 2019. The decrease in operating expenses was primarily due to decreased expenditures of $19.8 million for sponsorship and endorsements and decreased expenditures of $10.1 million for travel and entertainment, each largely as a consequence of the COVID-19 pandemic. The costs for certain postponed or rescheduled events have been, or may be, deferred to future periods. Due to the uncertainty surrounding the COVID-19 pandemic, we are unable to estimate in which future periods, if any, such deferred sponsorship and endorsement costs will be recognized. The decrease in operating expenses was partially offset by increased payroll expenses of $8.4 million (of which $0.4 million was related to an increase in stock-based compensation).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was $407.3 million for the three-months ended June 30,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$28.3 million, or 7.5% higher than operating income of $379.0 million for the three-months ended June 30, 2019. Operating income as a percentage of net sales increased to 37.2% for the three-months ended June 30, 2020 from 34.3% for the three-months ended June 30, 2019. Operating income was $61.1 million and $54.8 million for the three-months ended June 30, 2020 and 2019, respectively, for our operations in Europe, Middle East and Africa (“EMEA”), Asia Pacific and South America.</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Operating income for the Monster Energy® Drinks segment, exclusive of corporate and unallocated expenses, was $453.4 million for the three-months ended June 30, 2020, an increase of approximately $42.6 million, or 10.4% higher than operating income of $410.8 million for the three-months ended June 30, 2019. The increase in operating income for the Monster Energy® Drinks segment was primarily the result of the $29.3 million decrease in operating expenses for the three-months ended June 30, 2020.</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$37.7 million for the three-months ended June 30, 2020, a decrease of approximately $12.4 million, or 24.7% lower than operating income of $50.1 million for the three-months ended June 30, 2019. The decrease in operating income for the three-months ended June 30, 2020 was primarily the result of a decrease in net sales related to the COVID-19 pandemic.</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$1.6 million for the three-months ended June 30, 2020, an increase of approximately $0.5 million, or 45.3% higher than operating income of $1.1 million for the three-months ended June 30, 2019.</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and other non-operating (expense) income, net, was ($1.8)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three-months ended June 30, 2020, as compared to interest and other non-operating (expense) income, net, of $3.0 million for the three-months ended June 30, 2019. Foreign currency transaction losses were $1.5 million and $0.9 million for the three-months ended June 30, 2020 and 2019, respectively. Interest income was $0.9 million and $4.1 million for the three-months ended June 30, 2020 and 2019, respectively.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$94.1 million for the three-months ended June 30,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$4.6 million, or 5.2% higher than the provision for income taxes of $89.5 million for the three-months ended June 30, 2019. The effective combined federal, state and foreign tax rate decreased to 23.2% from 23.4% for the three-months ended June 30, 2020 and 2019,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$311.4 million for the three-months ended June 30, 2020, an increase of $18.9 million, or 6.5%</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net income of $292.5 million for the three-months ended June 30, 2019. The increase in net income was primarily due to the $30.1 million decrease in operating expenses for the three-months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Six-Months Ended June 30, 2020 Compared to the Six-Months Ended June 30, 2019.</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$2.16 billion for the six-months ended June 30, 2020, an increase of approximately $106.0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5.2% higher than net sales of $2.05 billion for the six-months ended June 30, 2019. The COVID-19 pandemic had an adverse impact on net sales for the six-months ended June 30, 2020. Net changes in foreign currency exchange rates had an unfavorable impact on net sales of approximately $28.6 million for the six-months ended June 30, 2020.</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sales for the Monster Energy® Drinks segment were $2.02 billion for the six-months ended June 30, 2020, an increase of approximately $130.6 million, or 6.9% higher than net sales of $1.89 billion for the six-months ended June 30, 2019. Net sales for the Monster Energy® Drinks segment increased primarily due to increased worldwide sales by volume of our Monster Energy® brand energy drinks as a result of increased consumer demand as well as enhanced distribution and increased consumer demand for our Reign Total Body Fuel® high performance energy drinks. The COVID-19 pandemic had an adverse impact on net sales of the Monster Energy® Drinks segment for the six-months ended June 30, 2020. Net changes in foreign currency exchange rates had an unfavorable impact on net sales for the Monster Energy® Drinks segment of approximately $26.7 million for the six-months ended June 30, 2020.</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sales for the Strategic Brands segment were $124.1 million for the three-months ended June 30, 2020, a decrease of approximately $25.3 million, or 16.9% lower than net sales of $149.4 million for the six-months ended June 30, 2019. The COVID-19 pandemic had a material adverse impact on net sales of the Strategic Brands segment for the six-months ended June 30, 2020. The COVID-19 pandemic impact was more pronounced in the Strategic Brand segment, particularly in EMEA, as our largest revenue generating countries for this segment experienced extended lockdowns. Net changes in foreign currency exchange rates had an unfavorable impact on net sales for the Strategic Brands segment of approximately $1.9 million for the six-months ended June 30, 2020.</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Other segment were $11.7 million for the six-months ended June 30, 2020, an increase of approximately $0.6 million, or 5.7% higher than net sales of $11.1 million for the six-months ended June 30, 2019.</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Case sales, in 192-ounce case equivalents, were 232.6 million cases for the six-months ended June 30, 2020, an increase of approximately 11.7 million cases or 5.3% higher than case sales of 220.9 million cases for the six-months ended June 30, 2019. The overall average net sales per case (excluding net sales of AFF Third-Party Products of $11.7 million and $11.1 million for the six-months ended June 30, 2020 and 2019, respectively, as these sales do not have unit case equivalents) decreased to $9.22 for the six-months ended June 30, 2020, as compared to net sales per case of $9.23 for the six-months ended June 30, 2019.</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$1.30 billion for the six-months ended June 30, 2020, an increase of approximately $61.8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5.0% higher than the gross profit of $1.23 billion for the six-months ended June 30, 2019. The increase in gross profit dollars was primarily the result of the $130.6 million increase in net sales of our Monster Energy® Drinks segment for the six-months ended June 30, 2020.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as a percentage of net sales decreased to 60.1% for the six-months ended June 30, 2020 from 60.2% for the six-months ended June 30, 2019.</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$524.4 million for the six-months ended June 30, 2020,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$20.0 million, or 3.7% lower than total operating expenses of $544.4 million for the six-months ended June 30, 2019. The decrease in operating expenses was primarily due to decreased expenditures of $24.2 million for sponsorship and endorsements and decreased expenditures of $10.4 million for travel and entertainment, each largely as a consequence of the COVID-19 pandemic, as well as decreased expenditures of $10.8 million related to the costs associated with distributor terminations. The costs for certain postponed or rescheduled events have been, or may be, deferred to future periods. Due to the uncertainty surrounding the COVID-19 pandemic, we are unable to estimate in what future periods, if any, such deferred sponsorship and endorsement costs will be recognized. The decrease in operating expenses was partially offset by increased payroll expenses of $16.5 million (of which $2.1 million was related to an increase in stock-based compensation), increased out-bound freight and warehouse costs of $4.3 million, a $4.0 million Strategic Brand trademark impairment charge and increased expenditures of $4.2 million for premiums.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was $772.3 million for the six-months ended June 30, 2020, an increase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$81.8 million, or 11.8% higher than operating income of $690.5 million for the six-months ended June 30, 2019. Operating income as a percentage of net sales increased to 35.8% for the six-months ended June 30, 2020 from 33.7% for the six-months ended June 30, 2019. Operating income was $132.8 million and $107.1 million for the six-months ended June 30, 2020 and 2019, respectively, for our operations in Europe, Middle East and Africa (“EMEA”), Asia Pacific and South America.</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income for the Monster Energy® Drinks segment, exclusive of corporate and unallocated expenses, was $864.5 million for the six-months ended June 30, 2020, an increase of approximately $110.7 million, or 14.7% higher than operating income of $753.8 million for the six-months ended June 30, 2019. The increase in operating income for the Monster Energy® Drinks segment was primarily the result of the $130.7 million increase in net sales of our Monster Energy® Drinks segment for the six-months ended June 30, 2020.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$74.4 million for the six-months ended June 30, 2020, a decrease of approximately $21.2 million, or 22.2% lower than operating income of $95.7 million for the six-months ended June 30, 2019. The decrease in operating income for the six-months ended June 30, 2020 was primarily the result of a decrease in net sales related to the COVID-19 pandemic.</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$2.4 million for the six-months ended June 30, 2020, an increase of approximately $0.4 million, or 19.4% higher than operating income of $2.0 million for the six-months ended June 30, 2019.</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Interest and Other (Expense) Income, net</w:t>
      </w:r>
      <w:r>
        <w:rPr>
          <w:rFonts w:ascii="Arial" w:cs="Arial" w:eastAsia="Arial" w:hAnsi="Arial"/>
          <w:sz w:val="16"/>
          <w:szCs w:val="16"/>
          <w:color w:val="auto"/>
        </w:rPr>
        <w:t>. Interest and other non-operating (expense) income, net, was ($0.9) million for the six-months ended June 30, 2020, as compared to interest and other non-operating (expense) income, net, of $5.7 million for the six-months ended June 30, 2019. Foreign currency transaction losses were $4.4 million and $1.2 million for the six-months ended June 30, 2020 and 2019, respectively. Interest income was $5.7 million and $7.4 million for the six-months ended June 30, 2020 and 2019, respectively.</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was $181.1 million for the six-months ended June 30, 2020,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$38.9 million, or 27.4% higher than the provision for income taxes of $142.2 million for the six-months ended June 30, 2019. The effective combined federal, state and foreign tax rate increased to 23.5% from 20.4% for the six-months ended June 30, 2020 and 2019, respectively. The increase in the effective tax rate was primarily attributable to a decrease in the equity compensation deduction.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$590.2 million for the six-months ended June 30, 2020, an increase of $36.2 million, or 6.5%</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net income of $554.0 million for the six-months ended June 30, 2019. The increase in net income was primarily due to the $61.8 million increase in gross profit and the $20.0 million decrease in operating expenses. The increase in net income was partially offset by an increase in the provision for income taxes of $38.9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June 30, 2020 Compared to the Three-Months Ended June 30, 2019.</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Gross sales were $1.27 billion for the three-months ended June 30, 2020, a decrease of approximately $12.2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0.9% lower than gross sales of $1.29 billion for the three-months ended June 30, 2019. The COVID-19 pandemic had an adverse impact on gross sales for the three-months ended June 30, 2020. Net changes in foreign currency exchange rates had an unfavorable impact on gross sales of approximately $21.6 million for the three-months ended June 30, 2020.</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sales for the Monster Energy® Drinks segment were $1.20 billion for the three-months ended June 30, 2020, an increase of approximately $9.7 million, or 0.8% higher than gross sales of $1.19 billion for the three-months ended June 30, 2019. The COVID-19 pandemic had an adverse impact on gross sales of the Monster Energy® Drinks segment for the three-months ended June 30, 2020. Net changes in foreign currency exchange rates had an unfavorable impact on gross sales for the Monster Energy® Drinks segment of approximately $20.1 million for the three-months ended June 30, 2020.</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sales of our Strategic Brands segment were $67.8 million for the three-months ended June 30, 2020, a decrease of $22.7 million, or 25.1% lower than gross sales of $90.5 million for the three-months ended June 30, 2019. The COVID-19 pandemic had a material adverse impact on gross sales of the Strategic Brands segment for the three-months ended June 30, 2020. The COVID-19 pandemic impact was more pronounced in the Strategic Brands segment, particularly in EMEA, as our larger revenue generating countries for this segment experienced extended lockdowns. Net changes in foreign currency exchange rates had an unfavorable impact on gross sales in the Strategic Brands segment of approximately $1.5 million for the three-months ended June 30, 2020.</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sales of our Other segment were $6.6 million for the three-months ended June 30, 2020, an increase of $0.9 million, or 14.7% higher than gross sales of $5.8 million for the three-months ended June 30, 2019.</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Promotional allowances, commissions and other expenses, as described in the footnote below, were $180.4 million for the three-months ended June 30, 2020, a decrease of $2.0 million, or 1.1% lower than promotional allowances, commissions and other expenses of $182.4 million for the three-months ended June 30, 2019. Promotional allowances, commissions and other expenses as a percentage of gross sales were 14.2% for both the three-months ended June 30,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Six-Months Ended June 30, 2020 Compared to the Six-Months Ended June 30, 2019.</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Gross sales were $2.51 billion for the six-months ended June 30, 2020, an increase of approximately $133.5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5.6% higher than gross sales of $2.38 billion for the six-months ended June 30, 2019. The COVID-19 pandemic had an adverse impact on gross sales for the six-months ended June 30, 2020. Net changes in foreign currency exchange rates had an unfavorable impact on gross sales of approximately $32.8 million for the six-months ended June 30, 2020.</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Gross sales for the Monster Energy® Drinks segment were $2.36 billion for the six-months ended June 30, 2020, an increase of approximately $161.6 million, or 7.4% higher than gross sales of $2.20 billion for the six-months ended June 30, 2019. Gross sales for the Monster Energy® Drinks segment increased primarily due to increased worldwide sales by volume of our Monster Energy® brand energy drinks as a result of increased consumer demand as well as enhanced distribution and increased consumer demand for our Reign Total Body Fuel® high performance energy drinks. The COVID-19 pandemic had an adverse impact on gross sales of the Monster Energy® Drinks segment for the six-months ended June 30, 2020. Net changes in foreign currency exchange rates had an unfavorable impact on gross sales for the Monster Energy® Drinks segment of approximately $30.9 million for the six-months ended June 30, 2020.</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sales of our Strategic Brands segment were $141.2 million for the six-months ended June 30, 2020, a decrease of $28.7 million, or 16.9% lower than gross sales of $170.0 million for the six-months ended June 30, 2019. The COVID-19 pandemic had a material adverse impact on gross sales of the Strategic Brands segment for the six-months ended June 30, 2020. The COVID-19 pandemic impact was more pronounced in the Strategic Brands segment, particularly in EMEA, as our larger revenue generating countries for this segment experienced extended lockdowns. Net changes in foreign currency exchange rates had an unfavorable impact on gross sales in the Strategic Brands segment of approximately $1.9 million for the six-months ended June 30, 2020.</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sales of our Other segment were $11.7 million for the six-months ended June 30, 2020, an increase of $0.6 million, or 5.7% higher than gross sales of $11.1 million for the six-months ended June 30, 2019.</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Promotional allowances, commissions and other expenses, as described in the footnote below, were $354.3 million for the six-months ended June 30, 2020, an increase of $27.8 million, or 8.4% higher than promotional allowances, commissions and other expenses of $326.8 million for the six-months ended June 30, 2019. Promotional allowances, commissions and other expenses as a percentage of gross sales increased to 14.1% from 13.8% for the six-months ended June 30, 2020 and 2019, respectively.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non-GAAP financial measure of gross sales with the most directly comparable GAAP financial measure of net sales: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Percentage</w:t>
            </w:r>
          </w:p>
        </w:tc>
        <w:tc>
          <w:tcPr>
            <w:tcW w:w="100" w:type="dxa"/>
            <w:vAlign w:val="bottom"/>
          </w:tcPr>
          <w:p>
            <w:pPr>
              <w:spacing w:after="0"/>
              <w:rPr>
                <w:sz w:val="18"/>
                <w:szCs w:val="18"/>
                <w:color w:val="auto"/>
              </w:rPr>
            </w:pPr>
          </w:p>
        </w:tc>
        <w:tc>
          <w:tcPr>
            <w:tcW w:w="2020" w:type="dxa"/>
            <w:vAlign w:val="bottom"/>
            <w:gridSpan w:val="3"/>
          </w:tcPr>
          <w:p>
            <w:pPr>
              <w:jc w:val="right"/>
              <w:ind w:right="250"/>
              <w:spacing w:after="0"/>
              <w:rPr>
                <w:sz w:val="20"/>
                <w:szCs w:val="20"/>
                <w:color w:val="auto"/>
              </w:rPr>
            </w:pPr>
            <w:r>
              <w:rPr>
                <w:rFonts w:ascii="Arial" w:cs="Arial" w:eastAsia="Arial" w:hAnsi="Arial"/>
                <w:sz w:val="18"/>
                <w:szCs w:val="18"/>
                <w:color w:val="auto"/>
              </w:rPr>
              <w:t>Six-Months Ended</w:t>
            </w:r>
          </w:p>
        </w:tc>
        <w:tc>
          <w:tcPr>
            <w:tcW w:w="18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31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00" w:type="dxa"/>
            <w:vAlign w:val="bottom"/>
            <w:vMerge w:val="restart"/>
          </w:tcPr>
          <w:p>
            <w:pPr>
              <w:spacing w:after="0"/>
              <w:rPr>
                <w:sz w:val="20"/>
                <w:szCs w:val="20"/>
                <w:color w:val="auto"/>
              </w:rPr>
            </w:pPr>
          </w:p>
        </w:tc>
        <w:tc>
          <w:tcPr>
            <w:tcW w:w="202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Change</w:t>
            </w:r>
          </w:p>
        </w:tc>
        <w:tc>
          <w:tcPr>
            <w:tcW w:w="100" w:type="dxa"/>
            <w:vAlign w:val="bottom"/>
          </w:tcPr>
          <w:p>
            <w:pPr>
              <w:spacing w:after="0"/>
              <w:rPr>
                <w:sz w:val="20"/>
                <w:szCs w:val="20"/>
                <w:color w:val="auto"/>
              </w:rPr>
            </w:pPr>
          </w:p>
        </w:tc>
        <w:tc>
          <w:tcPr>
            <w:tcW w:w="202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20 vs. 19</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20 vs. 19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6"/>
              </w:rPr>
              <w:t>Gross sales, net of discounts and returns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$ 1,274,277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$ 1,286,436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$ 2,510,337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$ 2,376,862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Less: Promotional allowances,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commissions and other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180,381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182,391</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354,344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326,825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$ 1,093,896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$ 1,104,045</w:t>
            </w:r>
          </w:p>
        </w:tc>
        <w:tc>
          <w:tcPr>
            <w:tcW w:w="124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$ 2,155,993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$ 2,050,037</w:t>
            </w:r>
          </w:p>
        </w:tc>
        <w:tc>
          <w:tcPr>
            <w:tcW w:w="116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June 30, 2020 and 2019 were (i) to increase sales volume and trial, (ii) to address market conditions, and (iii) to secure shelf and display space at retail.</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below discloses selected quarterly data regarding sales for the three- and six-months ended June 30, 2020 and 2019, respectively. Data from any one or more quarters or periods is not necessarily indicative of annual results or continuing trends.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may also have an impact on consumer behavior and change the seasonal fluctuation of our business.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170"/>
              <w:spacing w:after="0"/>
              <w:rPr>
                <w:sz w:val="20"/>
                <w:szCs w:val="20"/>
                <w:color w:val="auto"/>
              </w:rPr>
            </w:pPr>
            <w:r>
              <w:rPr>
                <w:rFonts w:ascii="Arial" w:cs="Arial" w:eastAsia="Arial" w:hAnsi="Arial"/>
                <w:sz w:val="18"/>
                <w:szCs w:val="18"/>
                <w:color w:val="auto"/>
                <w:w w:val="96"/>
              </w:rPr>
              <w:t>Three-Months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4"/>
          </w:tcPr>
          <w:p>
            <w:pPr>
              <w:jc w:val="right"/>
              <w:ind w:right="25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3500" w:type="dxa"/>
            <w:vAlign w:val="bottom"/>
            <w:vMerge w:val="restart"/>
          </w:tcPr>
          <w:p>
            <w:pPr>
              <w:spacing w:after="0"/>
              <w:rPr>
                <w:sz w:val="20"/>
                <w:szCs w:val="20"/>
                <w:color w:val="auto"/>
              </w:rPr>
            </w:pPr>
            <w:r>
              <w:rPr>
                <w:rFonts w:ascii="Arial" w:cs="Arial" w:eastAsia="Arial" w:hAnsi="Arial"/>
                <w:sz w:val="18"/>
                <w:szCs w:val="18"/>
                <w:color w:val="auto"/>
                <w:w w:val="87"/>
              </w:rPr>
              <w:t>(In thousands, except average net sales per case)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1,104,045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2,155,993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2,050,037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AFF third-party sales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1,087,252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1,098,254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2,144,244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2,038,925</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Case sales by segment:</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Monster Energy® Drinks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182,296</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38,583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case sales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232,559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220,879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net sales per case</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18"/>
          <w:szCs w:val="18"/>
          <w:i w:val="1"/>
          <w:iCs w:val="1"/>
          <w:color w:val="auto"/>
        </w:rPr>
        <w:t>Excludes Other segment net sales of $6.6 million and $5.8 million for the three-months ended June 30, 2020 and 2019, respectively, comprised of net sales of AFF Third-Party Products to independent third-party customers, as these sales do not have unit case equivalents. Excludes Other segment net sales of $11.7 million and $11.1 million for the six-months ended June 30, 2020 and 2019, respectively, comprised of net sales of AFF Third-Party Products to independent third-party customers, as these sales do not have unit case equivalents.</w:t>
      </w:r>
    </w:p>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Our Business”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We believe that cash available from operations,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Our sources and uses of cash were not materially impacted by the COVID-19 pandemic in the six-months ended June 30, 2020 and, to date, we have not identified any material liquidity deficiencies as a result of the COVID-19 pandemic. Based on the information currently available to us, we do not expect the impact of the COVID-19 pandemic to have a material impact on our liquidity. We will continue to monitor and assess the impact the COVID-19 pandemic may have on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At June 30, 2020, we had $921.3 million in cash and cash equivalents, $250.8 million in short-term investments and $2.1 million in long-term investments. We have historically invested these amounts in U.S. treasuries, U.S. government agency securities, municipal securities, commercial paper, certificates of deposit, variable rate demand notes and money market funds meeting certain criteria. At this time, we no longer invest these amounts in municipal securities.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Based on our current plans, at this time we estimate that capital expenditures (exclusive of common stock repurchases) are likely to be less than $150.0 million through June 30, 2021. However, future business opportunities may cause a change in this estimate.</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Cash flows provided by operating activities. </w:t>
      </w:r>
      <w:r>
        <w:rPr>
          <w:rFonts w:ascii="Arial" w:cs="Arial" w:eastAsia="Arial" w:hAnsi="Arial"/>
          <w:sz w:val="16"/>
          <w:szCs w:val="16"/>
          <w:color w:val="auto"/>
        </w:rPr>
        <w:t>Cash provided by operating activities was $440.5 million for the six-months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2020, as compared with cash provided by operating activities of $454.8 million for the six-months ended June 30, 2019.</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six-months ended June 30, 2020, cash provided by operating activities was primarily attributable to net income earned of $590.2 million and adjustments for certain non-cash expenses, consisting of $33.0 million of stock-based compensation, $32.1 million of depreciation and amortization and $4.0 million of intangible asset impairment. For the six-months ended June 30, 2020, cash provided by operating activities also increased due to a $31.7 million increase in accrued liabilities, a $14.2 million decrease in inventories, an $8.3 million increase in income tax payable, a $7.2 million decrease in prepaid income taxes and a $3.1 million increase in accrued promotional allowance. For the six-months ended June 30, 2020, cash used in operating activities was primarily attributable to a $231.8 million increase in accounts receivable, a $23.4 million increase in prepaid expenses and other assets, a $10.9 million decrease in accrued compensation, a $10.4 million decrease in deferred revenue and a $6.8 million decrease in accounts payable.</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six-months ended June 30, 2019, cash provided by operating activities was primarily attributable to net income earned of $554.0 million and adjustments for certain non-cash expenses, consisting of $30.9 million of stock-based compensation and $32.4 million of depreciation and amortization. For the six-months ended June 30, 2019, cash provided by operating activities also increased due to a $53.6 million increase in accrued promotional allowances, a $36.9 million increase in accounts payable, a $5.0 million increase in income taxes payable, a $4.6 million decrease in prepaid income taxes and a $4.5 million decrease in distributor receivables. For the six-months ended June 30, 2019, cash used in operating activities was primarily attributable to a $204.4 million increase in accounts receivable, a $21.5 million increase in inventories, a $16.8 million increase in prepaid expenses and other assets, a $14.4 million decrease in deferred revenue, a $10.5 million decrease in accrued compensation and a $1.4 million decrease in accrued liabilities.</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Cash flows provided by (used in) investing activities. </w:t>
      </w:r>
      <w:r>
        <w:rPr>
          <w:rFonts w:ascii="Arial" w:cs="Arial" w:eastAsia="Arial" w:hAnsi="Arial"/>
          <w:sz w:val="16"/>
          <w:szCs w:val="16"/>
          <w:color w:val="auto"/>
        </w:rPr>
        <w:t>Cash provided by investing activities was $250.7 million for the six-months ended June 30, 2020 as compared to cash used in investing activities of $56.0 million for the six-months ended June 30, 2019.</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both the six-months ended June 30, 2020 and 2019, cash provided by investing activities was primarily attributable to sales of available-for-sale investments. For both the six-months ended June 30, 2020 and 2019, cash used in investing activities was primarily attributable to purchases of available-for-sale investments. For both the six-months ended June 30, 2020 and 2019,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$553.6 million for the six-months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cash used in financing activities of $151.4 million for the three-months ended June 30, 2019. The cash used in financing activities for both the six-months ended June 30, 2020 and 2019 was primarily the result of the repurchases of our common stock. The cash provided by financing activities for both the six-months ended June 30, 2020, and 2019 was primarily attributable to the issuance of our common stock under our stock-based compensation plans.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our $921.3 million of cash and cash equivalents held at June 30, 2020, $418.0 million was held by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short-term or long-term investments were held by our foreign subsidiaries at June 30,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represents a summary of the Company’s contractual commitments and related scheduled maturities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Payments due by period (in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92"/>
              </w:rPr>
              <w:t>Less than</w:t>
            </w:r>
          </w:p>
        </w:tc>
        <w:tc>
          <w:tcPr>
            <w:tcW w:w="88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6"/>
                <w:szCs w:val="16"/>
                <w:color w:val="auto"/>
              </w:rPr>
            </w:pPr>
          </w:p>
        </w:tc>
        <w:tc>
          <w:tcPr>
            <w:tcW w:w="6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line="195" w:lineRule="exact"/>
              <w:rPr>
                <w:sz w:val="20"/>
                <w:szCs w:val="20"/>
                <w:color w:val="auto"/>
              </w:rPr>
            </w:pPr>
            <w:r>
              <w:rPr>
                <w:rFonts w:ascii="Arial" w:cs="Arial" w:eastAsia="Arial" w:hAnsi="Arial"/>
                <w:sz w:val="18"/>
                <w:szCs w:val="18"/>
                <w:color w:val="auto"/>
                <w:w w:val="91"/>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2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 year</w:t>
            </w:r>
          </w:p>
        </w:tc>
        <w:tc>
          <w:tcPr>
            <w:tcW w:w="180" w:type="dxa"/>
            <w:vAlign w:val="bottom"/>
          </w:tcPr>
          <w:p>
            <w:pPr>
              <w:spacing w:after="0"/>
              <w:rPr>
                <w:sz w:val="20"/>
                <w:szCs w:val="20"/>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years</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w:t>
            </w:r>
            <w:r>
              <w:rPr>
                <w:rFonts w:ascii="Arial" w:cs="Arial" w:eastAsia="Arial" w:hAnsi="Arial"/>
                <w:sz w:val="25"/>
                <w:szCs w:val="25"/>
                <w:color w:val="auto"/>
                <w:vertAlign w:val="superscript"/>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$ 182,092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$ 136,681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$ 43,716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$ 1,695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Finance Leases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line="216"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5"/>
                <w:szCs w:val="25"/>
                <w:color w:val="auto"/>
                <w:vertAlign w:val="superscript"/>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59,175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59,175</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$ 268,421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$ 201,360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$ 49,364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Contractual obligations include our obligations related to sponsorships and other commitments.</w:t>
      </w:r>
    </w:p>
    <w:p>
      <w:pPr>
        <w:spacing w:after="0" w:line="8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approximately $3.0 million of unrecognized tax benefits have been recorded as liabilities as of June 30, 2020. It is expected that the amount of unrecognized tax benefits will not significantly change within the next 12 months. As of June 30, 2020, we had $0.4 million of accrued interest and penalties related to unrecognized tax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2019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inflation did not have a significant impact on our results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4" w:lineRule="exact"/>
        <w:rPr>
          <w:sz w:val="20"/>
          <w:szCs w:val="20"/>
          <w:color w:val="auto"/>
        </w:rPr>
      </w:pPr>
    </w:p>
    <w:p>
      <w:pPr>
        <w:jc w:val="both"/>
        <w:ind w:left="680" w:hanging="321"/>
        <w:spacing w:after="0" w:line="271"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human and economic consequences of the COVID-19 pandemic,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jc w:val="both"/>
        <w:ind w:left="680" w:hanging="321"/>
        <w:spacing w:after="0" w:line="281"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slowing of growth and/or decline in sales of the domestic and international energy drink categories generally, including the convenience and gas channel (which is our largest channel) and food-service on-premise, and the impact on demand for our products resulting from deteriorating economic conditions and financial uncertainties due to the COVID-19 pandemic;</w:t>
      </w:r>
    </w:p>
    <w:p>
      <w:pPr>
        <w:spacing w:after="0" w:line="1"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reduction in our sponsorship and endorsement activities as well as our sampling activities as a result of COVID-19 on our future sales and market share;</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our product sampling programs;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TCCC being one of our significant shareholders and the potential divergence of TCCC’s interests from those of our other shareholders;</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the inventory levels of our bottlers/distributors, planned or otherwise, and the resultant impact on our revenues;</w:t>
      </w:r>
    </w:p>
    <w:p>
      <w:pPr>
        <w:spacing w:after="0" w:line="32" w:lineRule="exact"/>
        <w:rPr>
          <w:rFonts w:ascii="Arial" w:cs="Arial" w:eastAsia="Arial" w:hAnsi="Arial"/>
          <w:sz w:val="16"/>
          <w:szCs w:val="16"/>
          <w:color w:val="auto"/>
        </w:rPr>
      </w:pPr>
    </w:p>
    <w:p>
      <w:pPr>
        <w:jc w:val="both"/>
        <w:ind w:left="680" w:hanging="321"/>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3"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1" w:lineRule="exact"/>
        <w:rPr>
          <w:rFonts w:ascii="Arial" w:cs="Arial" w:eastAsia="Arial" w:hAnsi="Arial"/>
          <w:sz w:val="18"/>
          <w:szCs w:val="18"/>
          <w:color w:val="auto"/>
        </w:rPr>
      </w:pPr>
    </w:p>
    <w:p>
      <w:pPr>
        <w:ind w:left="680" w:hanging="321"/>
        <w:spacing w:after="0" w:line="265"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comply with laws, regulations and evolving industry standards regarding consumer privacy and data use and security, including with respect to the General Data Protection Regulation and the California Privacy Act of 2018;</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profitability from certain of our operations outside the United States;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absorb, reduce or pass on to our bottlers/distributors increases in freight costs;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Uncertainties surrounding the United Kingdom’s departure from the European Union (or “Brexit”);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Implications of the Organization for Economic Cooperation and Development’s base erosion and profit shifting project;</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ind w:left="680" w:right="20" w:hanging="321"/>
        <w:spacing w:after="0" w:line="265"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Intellectual property injunctions;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and volatility in the domestic and global economies, including risk of counterparty default or failure;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address any significant deficiencies or material weakness in our internal controls over financial reporting;</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continue to generate sufficient cash flows to support our expansion plans and general operating activities;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water usage, environmental impact, human rights and labor and workplace laws;</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consumption and changes in cost and availability of certain key ingredients, as well as disruptions to the supply chain, as a result of climate change and extreme weather conditions;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introduce new products and the impact of the COVID-19 pandemic on our innovation activities;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58"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our Strategic Brands;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in the timely import or export of our products and/or ingredients due to port strikes and related labor issues;</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shortages that may be experienced in the procurement of containers and/or other raw materials including, without limitation, aluminum cans generally, PET containers used for our Monster Hydro® energy drinks and 24-ounce aluminum cap cans;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Unilateral decisions by bottlers/distributors, buying groups,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trading dispute between TCCC and a European buying group primarily in Western Europe, which has resulted in the temporary delisting of certain TCCC and Company products;</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 of our sports marketing, social media and other general marketing endeavors both domestically and internationally;</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recalls of our products and/or defective production;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5"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our bottlers and/or co-packers to manufacture our products on a timely basis or at all;</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any reductions in productivity and disruptions to our business routines while most office-based employees of the Company work remotely;</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three-months ended June 30, 2020 compared with the disclosures in Part II, Item 7A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 Under the supervision and with the participation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as updated and supplemented in “Part II, Item 1A – Risk Factors” in our Quarterly Report on Form 10-Q for the quarter ended March 31, 2020 and as further updated and supplemented below. If any of these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COVID-19 pandemic has had, and we expect will continue to have, certain negative impacts on our business and operations, and such impacts may have a material adverse effect on our business and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COVID-19 pandemic has presented and continues to present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businesses (including the Company and our suppliers, bottlers/distributors, co-packers and other service providers) and the public at large to limit the COVID-19 pandemic, have and will directly and indirectly impact our business and results of operations, including, without limitation, the following:</w:t>
      </w:r>
    </w:p>
    <w:p>
      <w:pPr>
        <w:spacing w:after="0" w:line="192" w:lineRule="exact"/>
        <w:rPr>
          <w:sz w:val="20"/>
          <w:szCs w:val="20"/>
          <w:color w:val="auto"/>
        </w:rPr>
      </w:pPr>
    </w:p>
    <w:p>
      <w:pPr>
        <w:jc w:val="both"/>
        <w:ind w:left="680" w:hanging="321"/>
        <w:spacing w:after="0" w:line="288"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experienced decreases in sales of our products in many of our markets around the world that have been affected by the COVID-19 pandemic. While some of the restrictions imposed as a result of the initial COVID-19 outbreak have been lifted or eased in many jurisdictions as the rates of COVID-19 infections have decreased or stabilized, resurgence of the COVID-19 pandemic in some markets has slowed or reversed the reopening process. If the COVID-19 pandemic and related unfavorable economic conditions continue to intensify, the negative impact on our sales, including our new product innovation launches, could be prolonged and may become more severe. While we experienced increased sales through e-commerce retailers and an increased demand for multi-packs in the 2020 second quarter, such increases did not fully offset the decreased sales we experienced in the early part of the 2020 second quarter in other channels, such as the convenience and gas channel (which is our largest channel) and food-service on-premise. If we are unable to successfully capitalize on the increased demand through e-commerce retailers, our ability to gain or maintain our share of sales in the marketplace may be adversely impacted.</w:t>
      </w:r>
    </w:p>
    <w:p>
      <w:pPr>
        <w:spacing w:after="0" w:line="168" w:lineRule="exact"/>
        <w:rPr>
          <w:rFonts w:ascii="Arial" w:cs="Arial" w:eastAsia="Arial" w:hAnsi="Arial"/>
          <w:sz w:val="16"/>
          <w:szCs w:val="16"/>
          <w:color w:val="auto"/>
        </w:rPr>
      </w:pPr>
    </w:p>
    <w:p>
      <w:pPr>
        <w:jc w:val="both"/>
        <w:ind w:left="680" w:hanging="321"/>
        <w:spacing w:after="0" w:line="275"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Deteriorating economic conditions and continued financial uncertainties in many of our major markets due to the COVID-19 pandemic, such as increased and prolonged unemployment, decreases in per capita income and the level of disposable income, declines in consumer confidence, or economic slowdowns or recessions, could affect consumer purchasing power and consumers’ ability to purchase our products, thereby reducing demand for our products. In addition, public concern among consumers regarding the risk of contracting COVID-19 may also reduce demand for our products.</w:t>
      </w:r>
    </w:p>
    <w:p>
      <w:pPr>
        <w:spacing w:after="0" w:line="176" w:lineRule="exact"/>
        <w:rPr>
          <w:rFonts w:ascii="Arial" w:cs="Arial" w:eastAsia="Arial" w:hAnsi="Arial"/>
          <w:sz w:val="17"/>
          <w:szCs w:val="17"/>
          <w:color w:val="auto"/>
        </w:rPr>
      </w:pPr>
    </w:p>
    <w:p>
      <w:pPr>
        <w:ind w:left="680" w:hanging="321"/>
        <w:spacing w:after="0" w:line="34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closures of, and continued restrictions on, on-premise retailers and other establishments that sell our products as a result of the COVID-19 pandemic have adversely impacted and may continue to adversely impact our sales and results of operations.</w:t>
      </w:r>
    </w:p>
    <w:p>
      <w:pPr>
        <w:spacing w:after="0" w:line="123" w:lineRule="exact"/>
        <w:rPr>
          <w:rFonts w:ascii="Arial" w:cs="Arial" w:eastAsia="Arial" w:hAnsi="Arial"/>
          <w:sz w:val="16"/>
          <w:szCs w:val="16"/>
          <w:color w:val="auto"/>
        </w:rPr>
      </w:pPr>
    </w:p>
    <w:p>
      <w:pPr>
        <w:jc w:val="both"/>
        <w:ind w:left="680" w:hanging="321"/>
        <w:spacing w:after="0" w:line="272"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advertising, marketing, promotional, sponsorship and endorsement activities have been, and will continue to be, disrupted by reduced opportunities for such activities due to measures taken to limit the spread of the COVID-19 pandemic and the cancellations of sporting events, concerts and other events may result in decreased demand for our products. Our product sampling programs, which are part of our strategy to develop brand awareness, have been, and will continue to be, disrupted by the COVID-19 pandemic. If we are unable to successfully adapt to the changing landscape of advertising, marketing, promotional, sponsorship and endorsement opportunities created by the COVID-19 pandemic, our sales, market share, volume growth and overall financial results could be negatively affected.</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80" w:hanging="321"/>
        <w:spacing w:after="0" w:line="259"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innovation activities, including our ability to introduce new products in certain markets, have been delayed and/or adversely impacted by the COVID-19 pandemic. If such innovation activities are disrupted and we continue to delay the launch of new products and/or we are unable to secure sufficient distribution levels for such new products, our business and results of operations could be adversely affected.</w:t>
      </w:r>
    </w:p>
    <w:p>
      <w:pPr>
        <w:spacing w:after="0" w:line="186"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Some of our suppliers, bottlers/distributors and co-packers may experience plant closures, production slowdowns and disruptions in operations as a result of the impact of the COVID-19 pandemic. This could result in a disruption to our operations.</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delays in the sourcing of certain raw materials as a result of shipping delays due to, among other things, additional safety requirements imposed by port authorities, closures of or congestion at ports, reduced availability of commercial transportation, border restrictions and capacity constraints.</w:t>
      </w:r>
    </w:p>
    <w:p>
      <w:pPr>
        <w:spacing w:after="0" w:line="183"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rely on relationships with third parties for cloud data storage and other information technology services for certain functions or for services in support of our operations. These third parties are subject to risks and uncertainties related to the COVID-19 pandemic, which may interfere with their ability to fulfill their respective commitments and responsibilities to us in a timely manner and in accordance with the agreed-upon terms.</w:t>
      </w:r>
    </w:p>
    <w:p>
      <w:pPr>
        <w:spacing w:after="0" w:line="186" w:lineRule="exact"/>
        <w:rPr>
          <w:rFonts w:ascii="Arial" w:cs="Arial" w:eastAsia="Arial" w:hAnsi="Arial"/>
          <w:sz w:val="18"/>
          <w:szCs w:val="18"/>
          <w:color w:val="auto"/>
        </w:rPr>
      </w:pPr>
    </w:p>
    <w:p>
      <w:pPr>
        <w:jc w:val="both"/>
        <w:ind w:left="680" w:hanging="321"/>
        <w:spacing w:after="0" w:line="273"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 result of the COVID-19 pandemic, including related governmental measures, restrictions, directives and guidance, we have required most of our office-based employees to work remotely. We may experience reductions in productivity and disruptions to our business routines while our remote work policy remains in place. If our employees working remotely do not maintain appropriate measures to mitigate potential risks to our technology and operations from information technology-related disruptions, we may face cybersecurity threats. Employees of our third-party service providers who are working remotely, with whom we may share data, are subject to similar cybersecurity risks.</w:t>
      </w:r>
    </w:p>
    <w:p>
      <w:pPr>
        <w:spacing w:after="0" w:line="177" w:lineRule="exact"/>
        <w:rPr>
          <w:rFonts w:ascii="Arial" w:cs="Arial" w:eastAsia="Arial" w:hAnsi="Arial"/>
          <w:sz w:val="17"/>
          <w:szCs w:val="17"/>
          <w:color w:val="auto"/>
        </w:rPr>
      </w:pPr>
    </w:p>
    <w:p>
      <w:pPr>
        <w:jc w:val="both"/>
        <w:ind w:left="680" w:hanging="321"/>
        <w:spacing w:after="0" w:line="25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Governmental authorities at the U.S. federal, state and/or municipal level and in certain foreign jurisdictions may increase or impose new income taxes, indirect taxes or other taxes or revise interpretations of existing tax rules and regulations as a means of financing the costs of stimulus or may take other measures to protect populations and economies from the impact of the COVID-19 pandemic. Increases in direct and indirect tax rates could affect our net income, and increases in consumer taxes could affect our products’ affordability and reduce our sales.</w:t>
      </w:r>
    </w:p>
    <w:p>
      <w:pPr>
        <w:spacing w:after="0" w:line="187"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record significant impairment charges with respect to goodwill or intangible assets whose fair values may be negatively affected by the effects of the COVID-19 pandemic.</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continued financial impact of the COVID-19 pandemic may cause one or more of the financial institutions we do business with to fail or default in their obligations to us or to become insolvent or file for bankruptcy, which could cause us to incur significant losses and negatively impact our results of operations and financial condition.</w:t>
      </w:r>
    </w:p>
    <w:p>
      <w:pPr>
        <w:spacing w:after="0" w:line="183"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as a consequence of the COVID-19 pandemic may result in negative publicity and the Company becoming a party to litigation claims and/or legal proceedings, which could consume significant financial and managerial resources, result in decreased demand for our products and injury to our reputation.</w:t>
      </w:r>
    </w:p>
    <w:p>
      <w:pPr>
        <w:spacing w:after="0" w:line="186"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resumption of normal business operations after the disruptions caused by the COVID-19 pandemic may be delayed or constrained by its lingering effects on our suppliers, bottlers/distributors, co-packers, contractors, business partners and/or other service providers.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of the negative impacts of the COVID-19 pandemic, including those described above, alone or in combination with others, may have a material adverse effect on our business, reputation, operating results and/or financial condition. Any of these negative impacts, alone or in combination with others, could exacerbate many of the risk factors discussed in “Part I, Item 1A – Risk Factors” in our Form 10-K and “Part II, Item 1A – Risk Factors” in our Quarterly Report on Form 10-Q for the quarter ended March 31, 2020, any of which could materially affect our business, reputation, operating results and/or financial condition. The full extent to which the COVID-19 pandemic will negatively affect our business, reputation, operating results and/or financial condition will depend on future developments that are highly uncertain and cannot be predicted, including the scope and duration of the COVID-19 pandemic, the duration of various shelter-in-place orders and reopening plans across the globe, and actions taken, or that may be taken in the future, by governmental authorities and other third parties in response to the COVID-19 pandemic.</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13, 2020, the Company’s Board of Directors authorized a new share repurchase program for the purchase of up to $500.0 million of the Company’s outstanding common stock (the “March 2020 Repurchase Plan”). During the three-months ended June 30, 2020, the Company purchased 0.3 million shares of common stock at an average purchase price of $52.88 per share, for a total amount of $15.6 million (excluding broker commissions), under the March 2020 Repurchase Plan. Such shares are included in common stock in treasury in the accompanying condensed consolidated balance sheet at June 30, 2020. As of August 6, 2020, $441.5 million remained available for repurchase under the March 2020 Repurchase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tabular summary reflects the Company’s repurchase activity during the quarter ended June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4"/>
              </w:rPr>
              <w:t>Maximum Number (or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Number of</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89"/>
              </w:rPr>
              <w:t>Value) of Shares that</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Shares Purchased</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as Part of Publicly</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0"/>
              </w:rPr>
              <w:t>Under the Plans or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of Shares</w:t>
            </w: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Average Price</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Announced Plans</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2"/>
              </w:rPr>
              <w:t>Programs (In</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per Share¹</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or Programs</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88"/>
              </w:rPr>
              <w:t>thousands)²</w:t>
            </w: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441,528</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May 1 – May 31, 2020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441,528</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2020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441,528</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¹Excluding broker commissions paid.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²Net of broker commissions paid.</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June 30, 2020, 3,231 shares of common stock were purchased from employees in lieu of cash payments for options exercised or withholding taxes due for a total amount of $0.2 million. While such purchases are considered common stock repurchases, they are not counted as purchases against our authorized share repurchase programs. Such shares are included in common stock in treasury in the accompanying condensed consolidated balance sheet at June 30, 2020.</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4">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6">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8">
        <w:r>
          <w:rPr>
            <w:rFonts w:ascii="Arial" w:cs="Arial" w:eastAsia="Arial" w:hAnsi="Arial"/>
            <w:sz w:val="18"/>
            <w:szCs w:val="18"/>
            <w:u w:val="single" w:color="auto"/>
            <w:color w:val="0000EE"/>
          </w:rPr>
          <w:t>Certification of 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9">
        <w:r>
          <w:rPr>
            <w:rFonts w:ascii="Arial" w:cs="Arial" w:eastAsia="Arial" w:hAnsi="Arial"/>
            <w:sz w:val="18"/>
            <w:szCs w:val="18"/>
            <w:u w:val="single" w:color="auto"/>
            <w:color w:val="0000EE"/>
          </w:rPr>
          <w:t>Certification by Chief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9"/>
        <w:spacing w:after="0" w:line="29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information from Monster Beverage Corporation’s Quarterly Report on Form 10-Q for the quarter ended June 30, 2020, formatted in iXBRL (Inline eXtensible Business Reporting Language): (i) Condensed Consolidated Balance Sheets as of June 30, 2020 and December 31, 2019, (ii) Condensed Consolidated Statements of Income for the three-and six-months ended June 30, 2020 and 2019, (iii) Condensed Consolidated Statements of Comprehensive Income for the three- and six-months ended June 30, 2020 and 2019, (iv) Condensed Consolidated Statements of Stockholders’ Equity for the three- and six-months ended June 30, 2020 and 2019, (v) Condensed Consolidated Statements of Cash Flows for the six- months ended June 30, 2020 and 2019, and (vi) the Notes to Condensed Consolidated Financial Statements.</w:t>
      </w:r>
    </w:p>
    <w:p>
      <w:pPr>
        <w:spacing w:after="0" w:line="166" w:lineRule="exact"/>
        <w:rPr>
          <w:sz w:val="20"/>
          <w:szCs w:val="20"/>
          <w:color w:val="auto"/>
        </w:rPr>
      </w:pPr>
    </w:p>
    <w:p>
      <w:pPr>
        <w:jc w:val="both"/>
        <w:ind w:left="840" w:hanging="839"/>
        <w:spacing w:after="0" w:line="277" w:lineRule="auto"/>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Monster Beverage Corporation’s Quarterly Report on Form 10-Q for the quarter ended June 30, 2020, formatted in iXBRL (Inline eXtensible Business Reporting Language) and contained in Exhibit 101.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4"/>
              </w:rPr>
              <w:t>MONSTER BEVERAGE CORPORATION</w:t>
            </w:r>
          </w:p>
        </w:tc>
      </w:tr>
      <w:tr>
        <w:trPr>
          <w:trHeight w:val="230"/>
        </w:trPr>
        <w:tc>
          <w:tcPr>
            <w:tcW w:w="49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08"/>
        </w:trPr>
        <w:tc>
          <w:tcPr>
            <w:tcW w:w="4960" w:type="dxa"/>
            <w:vAlign w:val="bottom"/>
          </w:tcPr>
          <w:p>
            <w:pPr>
              <w:spacing w:after="0"/>
              <w:rPr>
                <w:sz w:val="20"/>
                <w:szCs w:val="20"/>
                <w:color w:val="auto"/>
              </w:rPr>
            </w:pPr>
            <w:r>
              <w:rPr>
                <w:rFonts w:ascii="Arial" w:cs="Arial" w:eastAsia="Arial" w:hAnsi="Arial"/>
                <w:sz w:val="18"/>
                <w:szCs w:val="18"/>
                <w:color w:val="auto"/>
              </w:rPr>
              <w:t>Date: August 6, 2020</w:t>
            </w:r>
          </w:p>
        </w:tc>
        <w:tc>
          <w:tcPr>
            <w:tcW w:w="3180" w:type="dxa"/>
            <w:vAlign w:val="bottom"/>
            <w:gridSpan w:val="2"/>
          </w:tcPr>
          <w:p>
            <w:pPr>
              <w:spacing w:after="0"/>
              <w:rPr>
                <w:sz w:val="20"/>
                <w:szCs w:val="20"/>
                <w:color w:val="auto"/>
              </w:rPr>
            </w:pPr>
            <w:r>
              <w:rPr>
                <w:rFonts w:ascii="Arial" w:cs="Arial" w:eastAsia="Arial" w:hAnsi="Arial"/>
                <w:sz w:val="18"/>
                <w:szCs w:val="18"/>
                <w:color w:val="auto"/>
              </w:rPr>
              <w:t>/s/ RODNEY C. SACKS</w:t>
            </w:r>
          </w:p>
        </w:tc>
      </w:tr>
      <w:tr>
        <w:trPr>
          <w:trHeight w:val="222"/>
        </w:trPr>
        <w:tc>
          <w:tcPr>
            <w:tcW w:w="496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Rodney C. Sacks</w:t>
            </w:r>
          </w:p>
        </w:tc>
        <w:tc>
          <w:tcPr>
            <w:tcW w:w="1380" w:type="dxa"/>
            <w:vAlign w:val="bottom"/>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31.1</w:t>
      </w:r>
    </w:p>
    <w:p>
      <w:pPr>
        <w:spacing w:after="0" w:line="23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annual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4" w:name="page55"/>
    <w:bookmarkEnd w:id="54"/>
    <w:p>
      <w:pPr>
        <w:jc w:val="both"/>
        <w:ind w:left="1620" w:hanging="316"/>
        <w:spacing w:after="0" w:line="250" w:lineRule="auto"/>
        <w:tabs>
          <w:tab w:leader="none" w:pos="1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20" w:hanging="316"/>
        <w:spacing w:after="0" w:line="260" w:lineRule="auto"/>
        <w:tabs>
          <w:tab w:leader="none" w:pos="1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ind w:left="100"/>
              <w:spacing w:after="0"/>
              <w:rPr>
                <w:sz w:val="20"/>
                <w:szCs w:val="20"/>
                <w:color w:val="auto"/>
              </w:rPr>
            </w:pPr>
            <w:r>
              <w:rPr>
                <w:rFonts w:ascii="Arial" w:cs="Arial" w:eastAsia="Arial" w:hAnsi="Arial"/>
                <w:sz w:val="20"/>
                <w:szCs w:val="20"/>
                <w:color w:val="auto"/>
              </w:rPr>
              <w:t>Date:</w:t>
            </w:r>
          </w:p>
        </w:tc>
        <w:tc>
          <w:tcPr>
            <w:tcW w:w="4380" w:type="dxa"/>
            <w:vAlign w:val="bottom"/>
          </w:tcPr>
          <w:p>
            <w:pPr>
              <w:ind w:left="400"/>
              <w:spacing w:after="0"/>
              <w:rPr>
                <w:sz w:val="20"/>
                <w:szCs w:val="20"/>
                <w:color w:val="auto"/>
              </w:rPr>
            </w:pPr>
            <w:r>
              <w:rPr>
                <w:rFonts w:ascii="Arial" w:cs="Arial" w:eastAsia="Arial" w:hAnsi="Arial"/>
                <w:sz w:val="20"/>
                <w:szCs w:val="20"/>
                <w:color w:val="auto"/>
              </w:rPr>
              <w:t>August 06, 2020</w:t>
            </w:r>
          </w:p>
        </w:tc>
        <w:tc>
          <w:tcPr>
            <w:tcW w:w="46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r>
      <w:tr>
        <w:trPr>
          <w:trHeight w:val="206"/>
        </w:trPr>
        <w:tc>
          <w:tcPr>
            <w:tcW w:w="9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6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r>
      <w:tr>
        <w:trPr>
          <w:trHeight w:val="229"/>
        </w:trPr>
        <w:tc>
          <w:tcPr>
            <w:tcW w:w="9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9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r>
      <w:tr>
        <w:trPr>
          <w:trHeight w:val="772"/>
        </w:trPr>
        <w:tc>
          <w:tcPr>
            <w:tcW w:w="9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2"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31.2</w:t>
      </w:r>
    </w:p>
    <w:p>
      <w:pPr>
        <w:spacing w:after="0" w:line="23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annual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6" w:name="page57"/>
    <w:bookmarkEnd w:id="56"/>
    <w:p>
      <w:pPr>
        <w:jc w:val="both"/>
        <w:ind w:left="1620" w:hanging="316"/>
        <w:spacing w:after="0" w:line="250" w:lineRule="auto"/>
        <w:tabs>
          <w:tab w:leader="none" w:pos="1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20" w:hanging="316"/>
        <w:spacing w:after="0" w:line="260" w:lineRule="auto"/>
        <w:tabs>
          <w:tab w:leader="none" w:pos="1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ind w:left="100"/>
              <w:spacing w:after="0"/>
              <w:rPr>
                <w:sz w:val="20"/>
                <w:szCs w:val="20"/>
                <w:color w:val="auto"/>
              </w:rPr>
            </w:pPr>
            <w:r>
              <w:rPr>
                <w:rFonts w:ascii="Arial" w:cs="Arial" w:eastAsia="Arial" w:hAnsi="Arial"/>
                <w:sz w:val="20"/>
                <w:szCs w:val="20"/>
                <w:color w:val="auto"/>
              </w:rPr>
              <w:t>Date:</w:t>
            </w:r>
          </w:p>
        </w:tc>
        <w:tc>
          <w:tcPr>
            <w:tcW w:w="4380" w:type="dxa"/>
            <w:vAlign w:val="bottom"/>
          </w:tcPr>
          <w:p>
            <w:pPr>
              <w:ind w:left="400"/>
              <w:spacing w:after="0"/>
              <w:rPr>
                <w:sz w:val="20"/>
                <w:szCs w:val="20"/>
                <w:color w:val="auto"/>
              </w:rPr>
            </w:pPr>
            <w:r>
              <w:rPr>
                <w:rFonts w:ascii="Arial" w:cs="Arial" w:eastAsia="Arial" w:hAnsi="Arial"/>
                <w:sz w:val="20"/>
                <w:szCs w:val="20"/>
                <w:color w:val="auto"/>
              </w:rPr>
              <w:t>August 06, 2020</w:t>
            </w:r>
          </w:p>
        </w:tc>
        <w:tc>
          <w:tcPr>
            <w:tcW w:w="46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r>
      <w:tr>
        <w:trPr>
          <w:trHeight w:val="206"/>
        </w:trPr>
        <w:tc>
          <w:tcPr>
            <w:tcW w:w="9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6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r>
      <w:tr>
        <w:trPr>
          <w:trHeight w:val="230"/>
        </w:trPr>
        <w:tc>
          <w:tcPr>
            <w:tcW w:w="9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r>
      <w:tr>
        <w:trPr>
          <w:trHeight w:val="229"/>
        </w:trPr>
        <w:tc>
          <w:tcPr>
            <w:tcW w:w="9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r>
      <w:tr>
        <w:trPr>
          <w:trHeight w:val="250"/>
        </w:trPr>
        <w:tc>
          <w:tcPr>
            <w:tcW w:w="9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r>
      <w:tr>
        <w:trPr>
          <w:trHeight w:val="773"/>
        </w:trPr>
        <w:tc>
          <w:tcPr>
            <w:tcW w:w="9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2"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annual report of Monster Beverage Corporation (the "Company") on Form 10-Q for the quarter ended June 30, 2020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60" w:hanging="324"/>
        <w:spacing w:after="0" w:line="260"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80" w:hanging="324"/>
        <w:spacing w:after="0" w:line="260"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ind w:left="100"/>
              <w:spacing w:after="0"/>
              <w:rPr>
                <w:sz w:val="20"/>
                <w:szCs w:val="20"/>
                <w:color w:val="auto"/>
              </w:rPr>
            </w:pPr>
            <w:r>
              <w:rPr>
                <w:rFonts w:ascii="Arial" w:cs="Arial" w:eastAsia="Arial" w:hAnsi="Arial"/>
                <w:sz w:val="20"/>
                <w:szCs w:val="20"/>
                <w:color w:val="auto"/>
              </w:rPr>
              <w:t>Date:</w:t>
            </w:r>
          </w:p>
        </w:tc>
        <w:tc>
          <w:tcPr>
            <w:tcW w:w="4380" w:type="dxa"/>
            <w:vAlign w:val="bottom"/>
          </w:tcPr>
          <w:p>
            <w:pPr>
              <w:ind w:left="400"/>
              <w:spacing w:after="0"/>
              <w:rPr>
                <w:sz w:val="20"/>
                <w:szCs w:val="20"/>
                <w:color w:val="auto"/>
              </w:rPr>
            </w:pPr>
            <w:r>
              <w:rPr>
                <w:rFonts w:ascii="Arial" w:cs="Arial" w:eastAsia="Arial" w:hAnsi="Arial"/>
                <w:sz w:val="20"/>
                <w:szCs w:val="20"/>
                <w:color w:val="auto"/>
              </w:rPr>
              <w:t>August 06, 2020</w:t>
            </w:r>
          </w:p>
        </w:tc>
        <w:tc>
          <w:tcPr>
            <w:tcW w:w="46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r>
      <w:tr>
        <w:trPr>
          <w:trHeight w:val="206"/>
        </w:trPr>
        <w:tc>
          <w:tcPr>
            <w:tcW w:w="9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6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r>
      <w:tr>
        <w:trPr>
          <w:trHeight w:val="229"/>
        </w:trPr>
        <w:tc>
          <w:tcPr>
            <w:tcW w:w="9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9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r>
      <w:tr>
        <w:trPr>
          <w:trHeight w:val="773"/>
        </w:trPr>
        <w:tc>
          <w:tcPr>
            <w:tcW w:w="9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 connection with the annual report of Monster Beverage Corporation (the "Company") on Form 10-Q for the quarter ended June 30, 2020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42" w:lineRule="exact"/>
        <w:rPr>
          <w:sz w:val="20"/>
          <w:szCs w:val="20"/>
          <w:color w:val="auto"/>
        </w:rPr>
      </w:pPr>
    </w:p>
    <w:p>
      <w:pPr>
        <w:ind w:left="980" w:right="360" w:hanging="324"/>
        <w:spacing w:after="0" w:line="260"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80" w:hanging="324"/>
        <w:spacing w:after="0" w:line="260"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ind w:left="100"/>
              <w:spacing w:after="0"/>
              <w:rPr>
                <w:sz w:val="20"/>
                <w:szCs w:val="20"/>
                <w:color w:val="auto"/>
              </w:rPr>
            </w:pPr>
            <w:r>
              <w:rPr>
                <w:rFonts w:ascii="Arial" w:cs="Arial" w:eastAsia="Arial" w:hAnsi="Arial"/>
                <w:sz w:val="20"/>
                <w:szCs w:val="20"/>
                <w:color w:val="auto"/>
              </w:rPr>
              <w:t>Date:</w:t>
            </w:r>
          </w:p>
        </w:tc>
        <w:tc>
          <w:tcPr>
            <w:tcW w:w="4380" w:type="dxa"/>
            <w:vAlign w:val="bottom"/>
          </w:tcPr>
          <w:p>
            <w:pPr>
              <w:ind w:left="400"/>
              <w:spacing w:after="0"/>
              <w:rPr>
                <w:sz w:val="20"/>
                <w:szCs w:val="20"/>
                <w:color w:val="auto"/>
              </w:rPr>
            </w:pPr>
            <w:r>
              <w:rPr>
                <w:rFonts w:ascii="Arial" w:cs="Arial" w:eastAsia="Arial" w:hAnsi="Arial"/>
                <w:sz w:val="20"/>
                <w:szCs w:val="20"/>
                <w:color w:val="auto"/>
              </w:rPr>
              <w:t>August 06, 2020</w:t>
            </w:r>
          </w:p>
        </w:tc>
        <w:tc>
          <w:tcPr>
            <w:tcW w:w="46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r>
      <w:tr>
        <w:trPr>
          <w:trHeight w:val="206"/>
        </w:trPr>
        <w:tc>
          <w:tcPr>
            <w:tcW w:w="9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6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r>
      <w:tr>
        <w:trPr>
          <w:trHeight w:val="230"/>
        </w:trPr>
        <w:tc>
          <w:tcPr>
            <w:tcW w:w="9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r>
      <w:tr>
        <w:trPr>
          <w:trHeight w:val="229"/>
        </w:trPr>
        <w:tc>
          <w:tcPr>
            <w:tcW w:w="9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r>
      <w:tr>
        <w:trPr>
          <w:trHeight w:val="250"/>
        </w:trPr>
        <w:tc>
          <w:tcPr>
            <w:tcW w:w="9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r>
      <w:tr>
        <w:trPr>
          <w:trHeight w:val="772"/>
        </w:trPr>
        <w:tc>
          <w:tcPr>
            <w:tcW w:w="9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lowerRoman"/>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842"/>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5"/>
    </w:lvl>
  </w:abstractNum>
  <w:abstractNum w:abstractNumId="16">
    <w:nsid w:val="79838CB2"/>
    <w:multiLevelType w:val="hybridMultilevel"/>
    <w:lvl w:ilvl="0">
      <w:lvlJc w:val="left"/>
      <w:lvlText w:val="%1."/>
      <w:numFmt w:val="decimal"/>
      <w:start w:val="16"/>
    </w:lvl>
  </w:abstractNum>
  <w:abstractNum w:abstractNumId="17">
    <w:nsid w:val="4353D0CD"/>
    <w:multiLevelType w:val="hybridMultilevel"/>
    <w:lvl w:ilvl="0">
      <w:lvlJc w:val="left"/>
      <w:lvlText w:val="%1."/>
      <w:numFmt w:val="decimal"/>
      <w:start w:val="17"/>
    </w:lvl>
  </w:abstractNum>
  <w:abstractNum w:abstractNumId="18">
    <w:nsid w:val="B03E0C6"/>
    <w:multiLevelType w:val="hybridMultilevel"/>
    <w:lvl w:ilvl="0">
      <w:lvlJc w:val="left"/>
      <w:lvlText w:val="%1."/>
      <w:numFmt w:val="decimal"/>
      <w:start w:val="18"/>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2020-08-06T14:20:25Z</dcterms:created>
  <dcterms:modified xsi:type="dcterms:W3CDTF">2020-08-06T14:20:25Z</dcterms:modified>
</cp:coreProperties>
</file>