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spacing w:after="0"/>
        <w:tabs>
          <w:tab w:leader="none" w:pos="7700" w:val="left"/>
        </w:tabs>
        <w:rPr>
          <w:sz w:val="20"/>
          <w:szCs w:val="20"/>
          <w:color w:val="auto"/>
        </w:rPr>
      </w:pPr>
      <w:r>
        <w:rPr>
          <w:rFonts w:ascii="Arial" w:cs="Arial" w:eastAsia="Arial" w:hAnsi="Arial"/>
          <w:sz w:val="20"/>
          <w:szCs w:val="20"/>
          <w:color w:val="auto"/>
        </w:rPr>
        <w:t>For the quarterly period ended June 30, 2016</w:t>
      </w:r>
      <w:r>
        <w:rPr>
          <w:sz w:val="20"/>
          <w:szCs w:val="20"/>
          <w:color w:val="auto"/>
        </w:rPr>
        <w:tab/>
      </w:r>
      <w:r>
        <w:rPr>
          <w:rFonts w:ascii="Arial" w:cs="Arial" w:eastAsia="Arial" w:hAnsi="Arial"/>
          <w:sz w:val="18"/>
          <w:szCs w:val="18"/>
          <w:color w:val="auto"/>
        </w:rPr>
        <w:t xml:space="preserve">Commission File Number </w:t>
      </w:r>
      <w:r>
        <w:rPr>
          <w:rFonts w:ascii="Arial" w:cs="Arial" w:eastAsia="Arial" w:hAnsi="Arial"/>
          <w:sz w:val="19"/>
          <w:szCs w:val="19"/>
          <w:color w:val="auto"/>
        </w:rPr>
        <w:t>001-18761</w:t>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MONSTER BEVERAGE CORPORATION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0" w:lineRule="exact"/>
        <w:rPr>
          <w:sz w:val="24"/>
          <w:szCs w:val="24"/>
          <w:color w:val="auto"/>
        </w:rPr>
      </w:pPr>
    </w:p>
    <w:p>
      <w:pPr>
        <w:spacing w:after="0" w:line="210" w:lineRule="exact"/>
        <w:rPr>
          <w:sz w:val="24"/>
          <w:szCs w:val="24"/>
          <w:color w:val="auto"/>
        </w:rPr>
      </w:pPr>
    </w:p>
    <w:p>
      <w:pPr>
        <w:ind w:left="2940"/>
        <w:spacing w:after="0"/>
        <w:tabs>
          <w:tab w:leader="none" w:pos="6600" w:val="left"/>
        </w:tabs>
        <w:rPr>
          <w:sz w:val="20"/>
          <w:szCs w:val="20"/>
          <w:color w:val="auto"/>
        </w:rPr>
      </w:pPr>
      <w:r>
        <w:rPr>
          <w:rFonts w:ascii="Arial" w:cs="Arial" w:eastAsia="Arial" w:hAnsi="Arial"/>
          <w:sz w:val="20"/>
          <w:szCs w:val="20"/>
          <w:color w:val="auto"/>
        </w:rPr>
        <w:t>Delaware</w:t>
      </w:r>
      <w:r>
        <w:rPr>
          <w:sz w:val="20"/>
          <w:szCs w:val="20"/>
          <w:color w:val="auto"/>
        </w:rPr>
        <w:tab/>
      </w:r>
      <w:r>
        <w:rPr>
          <w:rFonts w:ascii="Arial" w:cs="Arial" w:eastAsia="Arial" w:hAnsi="Arial"/>
          <w:sz w:val="20"/>
          <w:szCs w:val="20"/>
          <w:color w:val="auto"/>
        </w:rPr>
        <w:t>47-1809393</w:t>
      </w:r>
    </w:p>
    <w:p>
      <w:pPr>
        <w:ind w:left="2940"/>
        <w:spacing w:after="0"/>
        <w:tabs>
          <w:tab w:leader="none" w:pos="6600" w:val="left"/>
        </w:tabs>
        <w:rPr>
          <w:sz w:val="20"/>
          <w:szCs w:val="20"/>
          <w:color w:val="auto"/>
        </w:rPr>
      </w:pPr>
      <w:r>
        <w:rPr>
          <w:rFonts w:ascii="Arial" w:cs="Arial" w:eastAsia="Arial" w:hAnsi="Arial"/>
          <w:sz w:val="14"/>
          <w:szCs w:val="14"/>
          <w:color w:val="auto"/>
        </w:rPr>
        <w:t>(State or other jurisdiction of</w:t>
      </w:r>
      <w:r>
        <w:rPr>
          <w:sz w:val="20"/>
          <w:szCs w:val="20"/>
          <w:color w:val="auto"/>
        </w:rPr>
        <w:tab/>
      </w:r>
      <w:r>
        <w:rPr>
          <w:rFonts w:ascii="Arial" w:cs="Arial" w:eastAsia="Arial" w:hAnsi="Arial"/>
          <w:sz w:val="13"/>
          <w:szCs w:val="13"/>
          <w:color w:val="auto"/>
        </w:rPr>
        <w:t>(I.R.S. Employer</w:t>
      </w:r>
    </w:p>
    <w:p>
      <w:pPr>
        <w:ind w:left="2940"/>
        <w:spacing w:after="0"/>
        <w:tabs>
          <w:tab w:leader="none" w:pos="6600" w:val="left"/>
        </w:tabs>
        <w:rPr>
          <w:sz w:val="20"/>
          <w:szCs w:val="20"/>
          <w:color w:val="auto"/>
        </w:rPr>
      </w:pPr>
      <w:r>
        <w:rPr>
          <w:rFonts w:ascii="Arial" w:cs="Arial" w:eastAsia="Arial" w:hAnsi="Arial"/>
          <w:sz w:val="14"/>
          <w:szCs w:val="14"/>
          <w:color w:val="auto"/>
        </w:rPr>
        <w:t>incorporation or organization)</w:t>
      </w:r>
      <w:r>
        <w:rPr>
          <w:sz w:val="20"/>
          <w:szCs w:val="20"/>
          <w:color w:val="auto"/>
        </w:rPr>
        <w:tab/>
      </w:r>
      <w:r>
        <w:rPr>
          <w:rFonts w:ascii="Arial" w:cs="Arial" w:eastAsia="Arial" w:hAnsi="Arial"/>
          <w:sz w:val="13"/>
          <w:szCs w:val="13"/>
          <w:color w:val="auto"/>
        </w:rPr>
        <w:t>Identification No.)</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1 Monster 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Corona, California 92879</w:t>
      </w:r>
    </w:p>
    <w:p>
      <w:pPr>
        <w:jc w:val="center"/>
        <w:spacing w:after="0"/>
        <w:rPr>
          <w:sz w:val="20"/>
          <w:szCs w:val="20"/>
          <w:color w:val="auto"/>
        </w:rPr>
      </w:pPr>
      <w:r>
        <w:rPr>
          <w:rFonts w:ascii="Arial" w:cs="Arial" w:eastAsia="Arial" w:hAnsi="Arial"/>
          <w:sz w:val="14"/>
          <w:szCs w:val="14"/>
          <w:color w:val="auto"/>
        </w:rPr>
        <w:t>(Address of principal executive offices) (Zip code)</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(951) 739 – 6200</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200" w:lineRule="exact"/>
        <w:rPr>
          <w:sz w:val="24"/>
          <w:szCs w:val="24"/>
          <w:color w:val="auto"/>
        </w:rPr>
      </w:pPr>
    </w:p>
    <w:p>
      <w:pPr>
        <w:spacing w:after="0" w:line="210"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0" w:lineRule="exact"/>
        <w:rPr>
          <w:sz w:val="24"/>
          <w:szCs w:val="24"/>
          <w:color w:val="auto"/>
        </w:rPr>
      </w:pPr>
    </w:p>
    <w:p>
      <w:pPr>
        <w:jc w:val="center"/>
        <w:spacing w:after="0"/>
        <w:tabs>
          <w:tab w:leader="none" w:pos="180" w:val="left"/>
        </w:tabs>
        <w:rPr>
          <w:sz w:val="20"/>
          <w:szCs w:val="20"/>
          <w:color w:val="auto"/>
        </w:rPr>
      </w:pPr>
      <w:r>
        <w:rPr>
          <w:rFonts w:ascii="Arial" w:cs="Arial" w:eastAsia="Arial" w:hAnsi="Arial"/>
          <w:sz w:val="20"/>
          <w:szCs w:val="20"/>
          <w:color w:val="auto"/>
        </w:rPr>
        <w:t xml:space="preserve">Yes </w:t>
      </w:r>
      <w:r>
        <w:rPr>
          <w:rFonts w:ascii="Arial" w:cs="Arial" w:eastAsia="Arial" w:hAnsi="Arial"/>
          <w:sz w:val="20"/>
          <w:szCs w:val="20"/>
          <w:u w:val="single" w:color="auto"/>
          <w:color w:val="auto"/>
        </w:rPr>
        <w:t>X</w:t>
      </w:r>
      <w:r>
        <w:rPr>
          <w:sz w:val="20"/>
          <w:szCs w:val="20"/>
          <w:color w:val="auto"/>
        </w:rPr>
        <w:tab/>
      </w:r>
      <w:r>
        <w:rPr>
          <w:rFonts w:ascii="Arial" w:cs="Arial" w:eastAsia="Arial" w:hAnsi="Arial"/>
          <w:sz w:val="16"/>
          <w:szCs w:val="16"/>
          <w:color w:val="auto"/>
        </w:rPr>
        <w:t>No __</w:t>
      </w:r>
    </w:p>
    <w:p>
      <w:pPr>
        <w:spacing w:after="0" w:line="229"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200" w:lineRule="exact"/>
        <w:rPr>
          <w:sz w:val="24"/>
          <w:szCs w:val="24"/>
          <w:color w:val="auto"/>
        </w:rPr>
      </w:pPr>
    </w:p>
    <w:p>
      <w:pPr>
        <w:jc w:val="center"/>
        <w:spacing w:after="0"/>
        <w:tabs>
          <w:tab w:leader="none" w:pos="240" w:val="left"/>
        </w:tabs>
        <w:rPr>
          <w:sz w:val="20"/>
          <w:szCs w:val="20"/>
          <w:color w:val="auto"/>
        </w:rPr>
      </w:pPr>
      <w:r>
        <w:rPr>
          <w:rFonts w:ascii="Arial" w:cs="Arial" w:eastAsia="Arial" w:hAnsi="Arial"/>
          <w:sz w:val="20"/>
          <w:szCs w:val="20"/>
          <w:color w:val="auto"/>
        </w:rPr>
        <w:t xml:space="preserve">Yes </w:t>
      </w:r>
      <w:r>
        <w:rPr>
          <w:rFonts w:ascii="Arial" w:cs="Arial" w:eastAsia="Arial" w:hAnsi="Arial"/>
          <w:sz w:val="20"/>
          <w:szCs w:val="20"/>
          <w:u w:val="single" w:color="auto"/>
          <w:color w:val="auto"/>
        </w:rPr>
        <w:t>X</w:t>
      </w:r>
      <w:r>
        <w:rPr>
          <w:sz w:val="20"/>
          <w:szCs w:val="20"/>
          <w:color w:val="auto"/>
        </w:rPr>
        <w:tab/>
      </w:r>
      <w:r>
        <w:rPr>
          <w:rFonts w:ascii="Arial" w:cs="Arial" w:eastAsia="Arial" w:hAnsi="Arial"/>
          <w:sz w:val="16"/>
          <w:szCs w:val="16"/>
          <w:color w:val="auto"/>
        </w:rPr>
        <w:t>No __</w:t>
      </w:r>
    </w:p>
    <w:p>
      <w:pPr>
        <w:spacing w:after="0" w:line="200" w:lineRule="exact"/>
        <w:rPr>
          <w:sz w:val="24"/>
          <w:szCs w:val="24"/>
          <w:color w:val="auto"/>
        </w:rPr>
      </w:pPr>
    </w:p>
    <w:p>
      <w:pPr>
        <w:spacing w:after="0" w:line="259"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310"/>
        </w:trPr>
        <w:tc>
          <w:tcPr>
            <w:tcW w:w="6440" w:type="dxa"/>
            <w:vAlign w:val="bottom"/>
          </w:tcPr>
          <w:p>
            <w:pPr>
              <w:spacing w:after="0"/>
              <w:rPr>
                <w:sz w:val="20"/>
                <w:szCs w:val="20"/>
                <w:color w:val="auto"/>
              </w:rPr>
            </w:pPr>
            <w:r>
              <w:rPr>
                <w:rFonts w:ascii="Arial" w:cs="Arial" w:eastAsia="Arial" w:hAnsi="Arial"/>
                <w:sz w:val="20"/>
                <w:szCs w:val="20"/>
                <w:color w:val="auto"/>
              </w:rPr>
              <w:t>Large Accelerated Filer x</w:t>
            </w:r>
          </w:p>
        </w:tc>
        <w:tc>
          <w:tcPr>
            <w:tcW w:w="3340" w:type="dxa"/>
            <w:vAlign w:val="bottom"/>
          </w:tcPr>
          <w:p>
            <w:pPr>
              <w:ind w:left="960"/>
              <w:spacing w:after="0" w:line="230" w:lineRule="exact"/>
              <w:rPr>
                <w:sz w:val="20"/>
                <w:szCs w:val="20"/>
                <w:color w:val="auto"/>
              </w:rPr>
            </w:pPr>
            <w:r>
              <w:rPr>
                <w:rFonts w:ascii="Arial" w:cs="Arial" w:eastAsia="Arial" w:hAnsi="Arial"/>
                <w:sz w:val="20"/>
                <w:szCs w:val="20"/>
                <w:color w:val="auto"/>
              </w:rPr>
              <w:t xml:space="preserve">Accelerated filer </w:t>
            </w:r>
            <w:r>
              <w:rPr>
                <w:rFonts w:ascii="MS PGothic" w:cs="MS PGothic" w:eastAsia="MS PGothic" w:hAnsi="MS PGothic"/>
                <w:sz w:val="20"/>
                <w:szCs w:val="20"/>
                <w:color w:val="auto"/>
              </w:rPr>
              <w:t>☐</w:t>
            </w:r>
          </w:p>
        </w:tc>
      </w:tr>
      <w:tr>
        <w:trPr>
          <w:trHeight w:val="338"/>
        </w:trPr>
        <w:tc>
          <w:tcPr>
            <w:tcW w:w="6440" w:type="dxa"/>
            <w:vAlign w:val="bottom"/>
          </w:tcPr>
          <w:p>
            <w:pPr>
              <w:spacing w:after="0" w:line="230" w:lineRule="exact"/>
              <w:rPr>
                <w:sz w:val="20"/>
                <w:szCs w:val="20"/>
                <w:color w:val="auto"/>
              </w:rPr>
            </w:pPr>
            <w:r>
              <w:rPr>
                <w:rFonts w:ascii="Arial" w:cs="Arial" w:eastAsia="Arial" w:hAnsi="Arial"/>
                <w:sz w:val="20"/>
                <w:szCs w:val="20"/>
                <w:color w:val="auto"/>
              </w:rPr>
              <w:t xml:space="preserve">Non-accelerated filer </w:t>
            </w:r>
            <w:r>
              <w:rPr>
                <w:rFonts w:ascii="MS PGothic" w:cs="MS PGothic" w:eastAsia="MS PGothic" w:hAnsi="MS PGothic"/>
                <w:sz w:val="20"/>
                <w:szCs w:val="20"/>
                <w:color w:val="auto"/>
              </w:rPr>
              <w:t>☐</w:t>
            </w:r>
            <w:r>
              <w:rPr>
                <w:rFonts w:ascii="Arial" w:cs="Arial" w:eastAsia="Arial" w:hAnsi="Arial"/>
                <w:sz w:val="20"/>
                <w:szCs w:val="20"/>
                <w:color w:val="auto"/>
              </w:rPr>
              <w:t xml:space="preserve"> (Do not check if smaller reporting company)</w:t>
            </w:r>
          </w:p>
        </w:tc>
        <w:tc>
          <w:tcPr>
            <w:tcW w:w="3340" w:type="dxa"/>
            <w:vAlign w:val="bottom"/>
          </w:tcPr>
          <w:p>
            <w:pPr>
              <w:ind w:left="960"/>
              <w:spacing w:after="0" w:line="230" w:lineRule="exact"/>
              <w:rPr>
                <w:sz w:val="20"/>
                <w:szCs w:val="20"/>
                <w:color w:val="auto"/>
              </w:rPr>
            </w:pPr>
            <w:r>
              <w:rPr>
                <w:rFonts w:ascii="Arial" w:cs="Arial" w:eastAsia="Arial" w:hAnsi="Arial"/>
                <w:sz w:val="20"/>
                <w:szCs w:val="20"/>
                <w:color w:val="auto"/>
                <w:w w:val="89"/>
              </w:rPr>
              <w:t xml:space="preserve">Smaller reporting company </w:t>
            </w:r>
            <w:r>
              <w:rPr>
                <w:rFonts w:ascii="MS PGothic" w:cs="MS PGothic" w:eastAsia="MS PGothic" w:hAnsi="MS PGothic"/>
                <w:sz w:val="20"/>
                <w:szCs w:val="20"/>
                <w:color w:val="auto"/>
                <w:w w:val="89"/>
              </w:rPr>
              <w:t>☐</w:t>
            </w:r>
          </w:p>
        </w:tc>
      </w:tr>
    </w:tbl>
    <w:p>
      <w:pPr>
        <w:spacing w:after="0" w:line="187" w:lineRule="exact"/>
        <w:rPr>
          <w:sz w:val="24"/>
          <w:szCs w:val="24"/>
          <w:color w:val="auto"/>
        </w:rPr>
      </w:pPr>
    </w:p>
    <w:p>
      <w:pPr>
        <w:ind w:left="660"/>
        <w:spacing w:after="0"/>
        <w:rPr>
          <w:sz w:val="20"/>
          <w:szCs w:val="20"/>
          <w:color w:val="auto"/>
        </w:rPr>
      </w:pPr>
      <w:r>
        <w:rPr>
          <w:rFonts w:ascii="Arial" w:cs="Arial" w:eastAsia="Arial" w:hAnsi="Arial"/>
          <w:sz w:val="20"/>
          <w:szCs w:val="20"/>
          <w:color w:val="auto"/>
        </w:rPr>
        <w:t>Indicate by check mark whether the Registrant is a shell company (as defined by Rule 12b-2 of the Exchange Act).</w:t>
      </w:r>
    </w:p>
    <w:p>
      <w:pPr>
        <w:spacing w:after="0" w:line="229" w:lineRule="exact"/>
        <w:rPr>
          <w:sz w:val="24"/>
          <w:szCs w:val="24"/>
          <w:color w:val="auto"/>
        </w:rPr>
      </w:pPr>
    </w:p>
    <w:p>
      <w:pPr>
        <w:jc w:val="center"/>
        <w:ind w:right="-19"/>
        <w:spacing w:after="0"/>
        <w:tabs>
          <w:tab w:leader="none" w:pos="160" w:val="left"/>
        </w:tabs>
        <w:rPr>
          <w:sz w:val="20"/>
          <w:szCs w:val="20"/>
          <w:color w:val="auto"/>
        </w:rPr>
      </w:pPr>
      <w:r>
        <w:rPr>
          <w:rFonts w:ascii="Arial" w:cs="Arial" w:eastAsia="Arial" w:hAnsi="Arial"/>
          <w:sz w:val="20"/>
          <w:szCs w:val="20"/>
          <w:color w:val="auto"/>
        </w:rPr>
        <w:t>Yes ___</w:t>
        <w:tab/>
        <w:t xml:space="preserve">No </w:t>
      </w:r>
      <w:r>
        <w:rPr>
          <w:rFonts w:ascii="Arial" w:cs="Arial" w:eastAsia="Arial" w:hAnsi="Arial"/>
          <w:sz w:val="20"/>
          <w:szCs w:val="20"/>
          <w:u w:val="single" w:color="auto"/>
          <w:color w:val="auto"/>
        </w:rPr>
        <w:t>X</w:t>
      </w:r>
    </w:p>
    <w:p>
      <w:pPr>
        <w:spacing w:after="0" w:line="229" w:lineRule="exact"/>
        <w:rPr>
          <w:sz w:val="24"/>
          <w:szCs w:val="24"/>
          <w:color w:val="auto"/>
        </w:rPr>
      </w:pPr>
    </w:p>
    <w:p>
      <w:pPr>
        <w:ind w:left="660"/>
        <w:spacing w:after="0"/>
        <w:rPr>
          <w:sz w:val="20"/>
          <w:szCs w:val="20"/>
          <w:color w:val="auto"/>
        </w:rPr>
      </w:pPr>
      <w:r>
        <w:rPr>
          <w:rFonts w:ascii="Arial" w:cs="Arial" w:eastAsia="Arial" w:hAnsi="Arial"/>
          <w:sz w:val="20"/>
          <w:szCs w:val="20"/>
          <w:color w:val="auto"/>
        </w:rPr>
        <w:t>The Registrant had 190,356,702 shares of common stock, par value $0.005 per share, outstanding as of July 22,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213995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4"/>
          <w:szCs w:val="24"/>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MONSTER BEVERAGE CORPORATION AND SUBSIDIARIES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JUNE 30, 2016</w:t>
      </w:r>
    </w:p>
    <w:p>
      <w:pPr>
        <w:sectPr>
          <w:pgSz w:w="11900" w:h="16838" w:orient="portrait"/>
          <w:cols w:equalWidth="0" w:num="1">
            <w:col w:w="11420"/>
          </w:cols>
          <w:pgMar w:left="240" w:top="233" w:right="239" w:bottom="0" w:gutter="0" w:footer="0" w:header="0"/>
        </w:sectPr>
      </w:pP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INDEX</w:t>
      </w:r>
    </w:p>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rFonts w:ascii="Arial" w:cs="Arial" w:eastAsia="Arial" w:hAnsi="Arial"/>
                <w:sz w:val="20"/>
                <w:szCs w:val="20"/>
                <w:b w:val="1"/>
                <w:bCs w:val="1"/>
                <w:color w:val="0000EE"/>
                <w:w w:val="97"/>
              </w:rPr>
            </w:pPr>
            <w:hyperlink w:anchor="page2">
              <w:r>
                <w:rPr>
                  <w:rFonts w:ascii="Arial" w:cs="Arial" w:eastAsia="Arial" w:hAnsi="Arial"/>
                  <w:sz w:val="20"/>
                  <w:szCs w:val="20"/>
                  <w:b w:val="1"/>
                  <w:bCs w:val="1"/>
                  <w:color w:val="0000EE"/>
                  <w:w w:val="97"/>
                </w:rPr>
                <w:t>Part I.</w:t>
              </w:r>
            </w:hyperlink>
          </w:p>
        </w:tc>
        <w:tc>
          <w:tcPr>
            <w:tcW w:w="700" w:type="dxa"/>
            <w:vAlign w:val="bottom"/>
            <w:gridSpan w:val="3"/>
          </w:tcPr>
          <w:p>
            <w:pPr>
              <w:spacing w:after="0"/>
              <w:rPr>
                <w:sz w:val="19"/>
                <w:szCs w:val="19"/>
                <w:color w:val="auto"/>
              </w:rPr>
            </w:pPr>
          </w:p>
        </w:tc>
        <w:tc>
          <w:tcPr>
            <w:tcW w:w="2640" w:type="dxa"/>
            <w:vAlign w:val="bottom"/>
            <w:gridSpan w:val="9"/>
          </w:tcPr>
          <w:p>
            <w:pPr>
              <w:spacing w:after="0"/>
              <w:rPr>
                <w:rFonts w:ascii="Arial" w:cs="Arial" w:eastAsia="Arial" w:hAnsi="Arial"/>
                <w:sz w:val="20"/>
                <w:szCs w:val="20"/>
                <w:b w:val="1"/>
                <w:bCs w:val="1"/>
                <w:color w:val="0000EE"/>
              </w:rPr>
            </w:pPr>
            <w:hyperlink w:anchor="page2">
              <w:r>
                <w:rPr>
                  <w:rFonts w:ascii="Arial" w:cs="Arial" w:eastAsia="Arial" w:hAnsi="Arial"/>
                  <w:sz w:val="20"/>
                  <w:szCs w:val="20"/>
                  <w:b w:val="1"/>
                  <w:bCs w:val="1"/>
                  <w:color w:val="0000EE"/>
                </w:rPr>
                <w:t>FINANCIAL INFORMATION</w:t>
              </w:r>
            </w:hyperlink>
          </w:p>
        </w:tc>
        <w:tc>
          <w:tcPr>
            <w:tcW w:w="6780" w:type="dxa"/>
            <w:vAlign w:val="bottom"/>
            <w:gridSpan w:val="9"/>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w w:val="84"/>
              </w:rPr>
              <w:t>Page No.</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1260" w:type="dxa"/>
            <w:vAlign w:val="bottom"/>
            <w:gridSpan w:val="4"/>
          </w:tcPr>
          <w:p>
            <w:pPr>
              <w:spacing w:after="0"/>
              <w:rPr>
                <w:rFonts w:ascii="Arial" w:cs="Arial" w:eastAsia="Arial" w:hAnsi="Arial"/>
                <w:sz w:val="20"/>
                <w:szCs w:val="20"/>
                <w:color w:val="0000EE"/>
              </w:rPr>
            </w:pPr>
            <w:hyperlink w:anchor="page2">
              <w:r>
                <w:rPr>
                  <w:rFonts w:ascii="Arial" w:cs="Arial" w:eastAsia="Arial" w:hAnsi="Arial"/>
                  <w:sz w:val="20"/>
                  <w:szCs w:val="20"/>
                  <w:color w:val="0000EE"/>
                </w:rPr>
                <w:t>Item 1.</w:t>
              </w:r>
            </w:hyperlink>
          </w:p>
        </w:tc>
        <w:tc>
          <w:tcPr>
            <w:tcW w:w="9420" w:type="dxa"/>
            <w:vAlign w:val="bottom"/>
            <w:gridSpan w:val="18"/>
          </w:tcPr>
          <w:p>
            <w:pPr>
              <w:spacing w:after="0"/>
              <w:rPr>
                <w:rFonts w:ascii="Arial" w:cs="Arial" w:eastAsia="Arial" w:hAnsi="Arial"/>
                <w:sz w:val="20"/>
                <w:szCs w:val="20"/>
                <w:color w:val="0000EE"/>
              </w:rPr>
            </w:pPr>
            <w:hyperlink w:anchor="page2">
              <w:r>
                <w:rPr>
                  <w:rFonts w:ascii="Arial" w:cs="Arial" w:eastAsia="Arial" w:hAnsi="Arial"/>
                  <w:sz w:val="20"/>
                  <w:szCs w:val="20"/>
                  <w:color w:val="0000EE"/>
                </w:rPr>
                <w:t>Condensed Consolidated Financial Statements (Unaudited)</w:t>
              </w:r>
            </w:hyperlink>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26"/>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760" w:type="dxa"/>
            <w:vAlign w:val="bottom"/>
            <w:tcBorders>
              <w:bottom w:val="single" w:sz="8" w:color="0000EE"/>
            </w:tcBorders>
            <w:gridSpan w:val="13"/>
          </w:tcPr>
          <w:p>
            <w:pPr>
              <w:spacing w:after="0"/>
              <w:rPr>
                <w:rFonts w:ascii="Arial" w:cs="Arial" w:eastAsia="Arial" w:hAnsi="Arial"/>
                <w:sz w:val="20"/>
                <w:szCs w:val="20"/>
                <w:color w:val="0000EE"/>
                <w:w w:val="87"/>
              </w:rPr>
            </w:pPr>
            <w:hyperlink w:anchor="page2">
              <w:r>
                <w:rPr>
                  <w:rFonts w:ascii="Arial" w:cs="Arial" w:eastAsia="Arial" w:hAnsi="Arial"/>
                  <w:sz w:val="20"/>
                  <w:szCs w:val="20"/>
                  <w:color w:val="0000EE"/>
                  <w:w w:val="87"/>
                </w:rPr>
                <w:t>Condensed Consolidated Balance Sheets as of June 30, 2016 and December 31, 2015</w:t>
              </w:r>
            </w:hyperlink>
          </w:p>
        </w:tc>
        <w:tc>
          <w:tcPr>
            <w:tcW w:w="2660" w:type="dxa"/>
            <w:vAlign w:val="bottom"/>
            <w:gridSpan w:val="5"/>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3</w:t>
            </w:r>
          </w:p>
        </w:tc>
      </w:tr>
      <w:tr>
        <w:trPr>
          <w:trHeight w:val="426"/>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720" w:type="dxa"/>
            <w:vAlign w:val="bottom"/>
            <w:tcBorders>
              <w:bottom w:val="single" w:sz="8" w:color="0000EE"/>
            </w:tcBorders>
            <w:gridSpan w:val="16"/>
          </w:tcPr>
          <w:p>
            <w:pPr>
              <w:spacing w:after="0"/>
              <w:rPr>
                <w:rFonts w:ascii="Arial" w:cs="Arial" w:eastAsia="Arial" w:hAnsi="Arial"/>
                <w:sz w:val="20"/>
                <w:szCs w:val="20"/>
                <w:color w:val="0000EE"/>
                <w:w w:val="88"/>
              </w:rPr>
            </w:pPr>
            <w:hyperlink w:anchor="page3">
              <w:r>
                <w:rPr>
                  <w:rFonts w:ascii="Arial" w:cs="Arial" w:eastAsia="Arial" w:hAnsi="Arial"/>
                  <w:sz w:val="20"/>
                  <w:szCs w:val="20"/>
                  <w:color w:val="0000EE"/>
                  <w:w w:val="88"/>
                </w:rPr>
                <w:t>Condensed Consolidated Statements of Income for the Three- and Six-Months Ended June 30, 2016 and 2015</w:t>
              </w:r>
            </w:hyperlink>
          </w:p>
        </w:tc>
        <w:tc>
          <w:tcPr>
            <w:tcW w:w="700" w:type="dxa"/>
            <w:vAlign w:val="bottom"/>
            <w:gridSpan w:val="2"/>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w:t>
            </w:r>
          </w:p>
        </w:tc>
      </w:tr>
      <w:tr>
        <w:trPr>
          <w:trHeight w:val="426"/>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780" w:type="dxa"/>
            <w:vAlign w:val="bottom"/>
            <w:tcBorders>
              <w:bottom w:val="single" w:sz="8" w:color="0000EE"/>
            </w:tcBorders>
            <w:gridSpan w:val="17"/>
          </w:tcPr>
          <w:p>
            <w:pPr>
              <w:spacing w:after="0"/>
              <w:rPr>
                <w:rFonts w:ascii="Arial" w:cs="Arial" w:eastAsia="Arial" w:hAnsi="Arial"/>
                <w:sz w:val="20"/>
                <w:szCs w:val="20"/>
                <w:color w:val="0000EE"/>
                <w:w w:val="88"/>
              </w:rPr>
            </w:pPr>
            <w:hyperlink w:anchor="page4">
              <w:r>
                <w:rPr>
                  <w:rFonts w:ascii="Arial" w:cs="Arial" w:eastAsia="Arial" w:hAnsi="Arial"/>
                  <w:sz w:val="20"/>
                  <w:szCs w:val="20"/>
                  <w:color w:val="0000EE"/>
                  <w:w w:val="88"/>
                </w:rPr>
                <w:t>Condensed Consolidated Statements of Comprehensive Income for the Three- and Six-Months Ended June 30,</w:t>
              </w:r>
            </w:hyperlink>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20" w:type="dxa"/>
            <w:vAlign w:val="bottom"/>
            <w:gridSpan w:val="18"/>
          </w:tcPr>
          <w:p>
            <w:pPr>
              <w:spacing w:after="0" w:line="209" w:lineRule="exact"/>
              <w:rPr>
                <w:rFonts w:ascii="Arial" w:cs="Arial" w:eastAsia="Arial" w:hAnsi="Arial"/>
                <w:sz w:val="20"/>
                <w:szCs w:val="20"/>
                <w:color w:val="0000EE"/>
              </w:rPr>
            </w:pPr>
            <w:hyperlink w:anchor="page4">
              <w:r>
                <w:rPr>
                  <w:rFonts w:ascii="Arial" w:cs="Arial" w:eastAsia="Arial" w:hAnsi="Arial"/>
                  <w:sz w:val="20"/>
                  <w:szCs w:val="20"/>
                  <w:color w:val="0000EE"/>
                </w:rPr>
                <w:t>2016 and 2015</w:t>
              </w:r>
            </w:hyperlink>
          </w:p>
        </w:tc>
        <w:tc>
          <w:tcPr>
            <w:tcW w:w="780" w:type="dxa"/>
            <w:vAlign w:val="bottom"/>
            <w:gridSpan w:val="2"/>
          </w:tcPr>
          <w:p>
            <w:pPr>
              <w:jc w:val="right"/>
              <w:ind w:right="40"/>
              <w:spacing w:after="0" w:line="209" w:lineRule="exact"/>
              <w:rPr>
                <w:sz w:val="20"/>
                <w:szCs w:val="20"/>
                <w:color w:val="auto"/>
              </w:rPr>
            </w:pPr>
            <w:r>
              <w:rPr>
                <w:rFonts w:ascii="Arial" w:cs="Arial" w:eastAsia="Arial" w:hAnsi="Arial"/>
                <w:sz w:val="20"/>
                <w:szCs w:val="20"/>
                <w:color w:val="auto"/>
              </w:rPr>
              <w:t>5</w:t>
            </w: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26"/>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140" w:type="dxa"/>
            <w:vAlign w:val="bottom"/>
            <w:tcBorders>
              <w:bottom w:val="single" w:sz="8" w:color="0000EE"/>
            </w:tcBorders>
            <w:gridSpan w:val="15"/>
          </w:tcPr>
          <w:p>
            <w:pPr>
              <w:spacing w:after="0"/>
              <w:rPr>
                <w:rFonts w:ascii="Arial" w:cs="Arial" w:eastAsia="Arial" w:hAnsi="Arial"/>
                <w:sz w:val="20"/>
                <w:szCs w:val="20"/>
                <w:color w:val="0000EE"/>
                <w:w w:val="88"/>
              </w:rPr>
            </w:pPr>
            <w:hyperlink w:anchor="page4">
              <w:r>
                <w:rPr>
                  <w:rFonts w:ascii="Arial" w:cs="Arial" w:eastAsia="Arial" w:hAnsi="Arial"/>
                  <w:sz w:val="20"/>
                  <w:szCs w:val="20"/>
                  <w:color w:val="0000EE"/>
                  <w:w w:val="88"/>
                </w:rPr>
                <w:t>Condensed Consolidated Statements of Cash Flows for the Six-Months Ended June 30, 2016 and 2015</w:t>
              </w:r>
            </w:hyperlink>
          </w:p>
        </w:tc>
        <w:tc>
          <w:tcPr>
            <w:tcW w:w="1280" w:type="dxa"/>
            <w:vAlign w:val="bottom"/>
            <w:gridSpan w:val="3"/>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6</w:t>
            </w:r>
          </w:p>
        </w:tc>
      </w:tr>
      <w:tr>
        <w:trPr>
          <w:trHeight w:val="426"/>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0" w:type="dxa"/>
            <w:vAlign w:val="bottom"/>
            <w:tcBorders>
              <w:bottom w:val="single" w:sz="8" w:color="0000EE"/>
            </w:tcBorders>
            <w:gridSpan w:val="10"/>
          </w:tcPr>
          <w:p>
            <w:pPr>
              <w:spacing w:after="0"/>
              <w:rPr>
                <w:rFonts w:ascii="Arial" w:cs="Arial" w:eastAsia="Arial" w:hAnsi="Arial"/>
                <w:sz w:val="20"/>
                <w:szCs w:val="20"/>
                <w:color w:val="0000EE"/>
                <w:w w:val="88"/>
              </w:rPr>
            </w:pPr>
            <w:hyperlink w:anchor="page5">
              <w:r>
                <w:rPr>
                  <w:rFonts w:ascii="Arial" w:cs="Arial" w:eastAsia="Arial" w:hAnsi="Arial"/>
                  <w:sz w:val="20"/>
                  <w:szCs w:val="20"/>
                  <w:color w:val="0000EE"/>
                  <w:w w:val="88"/>
                </w:rPr>
                <w:t>Notes to Condensed Consolidated Financial Statements</w:t>
              </w:r>
            </w:hyperlink>
          </w:p>
        </w:tc>
        <w:tc>
          <w:tcPr>
            <w:tcW w:w="5020" w:type="dxa"/>
            <w:vAlign w:val="bottom"/>
            <w:gridSpan w:val="8"/>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8</w:t>
            </w:r>
          </w:p>
        </w:tc>
      </w:tr>
      <w:tr>
        <w:trPr>
          <w:trHeight w:val="426"/>
        </w:trPr>
        <w:tc>
          <w:tcPr>
            <w:tcW w:w="640" w:type="dxa"/>
            <w:vAlign w:val="bottom"/>
            <w:gridSpan w:val="2"/>
          </w:tcPr>
          <w:p>
            <w:pPr>
              <w:spacing w:after="0"/>
              <w:rPr>
                <w:rFonts w:ascii="Arial" w:cs="Arial" w:eastAsia="Arial" w:hAnsi="Arial"/>
                <w:sz w:val="20"/>
                <w:szCs w:val="20"/>
                <w:color w:val="0000EE"/>
              </w:rPr>
            </w:pPr>
            <w:hyperlink w:anchor="page22">
              <w:r>
                <w:rPr>
                  <w:rFonts w:ascii="Arial" w:cs="Arial" w:eastAsia="Arial" w:hAnsi="Arial"/>
                  <w:sz w:val="20"/>
                  <w:szCs w:val="20"/>
                  <w:color w:val="0000EE"/>
                </w:rPr>
                <w:t>Item 2.</w:t>
              </w:r>
            </w:hyperlink>
          </w:p>
        </w:tc>
        <w:tc>
          <w:tcPr>
            <w:tcW w:w="620" w:type="dxa"/>
            <w:vAlign w:val="bottom"/>
            <w:gridSpan w:val="2"/>
          </w:tcPr>
          <w:p>
            <w:pPr>
              <w:spacing w:after="0"/>
              <w:rPr>
                <w:sz w:val="24"/>
                <w:szCs w:val="24"/>
                <w:color w:val="auto"/>
              </w:rPr>
            </w:pPr>
          </w:p>
        </w:tc>
        <w:tc>
          <w:tcPr>
            <w:tcW w:w="9420" w:type="dxa"/>
            <w:vAlign w:val="bottom"/>
            <w:gridSpan w:val="18"/>
          </w:tcPr>
          <w:p>
            <w:pPr>
              <w:spacing w:after="0"/>
              <w:rPr>
                <w:rFonts w:ascii="Arial" w:cs="Arial" w:eastAsia="Arial" w:hAnsi="Arial"/>
                <w:sz w:val="20"/>
                <w:szCs w:val="20"/>
                <w:color w:val="0000EE"/>
              </w:rPr>
            </w:pPr>
            <w:hyperlink w:anchor="page22">
              <w:r>
                <w:rPr>
                  <w:rFonts w:ascii="Arial" w:cs="Arial" w:eastAsia="Arial" w:hAnsi="Arial"/>
                  <w:sz w:val="20"/>
                  <w:szCs w:val="20"/>
                  <w:color w:val="0000EE"/>
                </w:rPr>
                <w:t>Management’s Discussion and Analysis of Financial Condition and Results of Operations</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33</w:t>
            </w:r>
          </w:p>
        </w:tc>
      </w:tr>
      <w:tr>
        <w:trPr>
          <w:trHeight w:val="426"/>
        </w:trPr>
        <w:tc>
          <w:tcPr>
            <w:tcW w:w="640" w:type="dxa"/>
            <w:vAlign w:val="bottom"/>
            <w:tcBorders>
              <w:top w:val="single" w:sz="8" w:color="0000EE"/>
            </w:tcBorders>
            <w:gridSpan w:val="2"/>
          </w:tcPr>
          <w:p>
            <w:pPr>
              <w:spacing w:after="0"/>
              <w:rPr>
                <w:rFonts w:ascii="Arial" w:cs="Arial" w:eastAsia="Arial" w:hAnsi="Arial"/>
                <w:sz w:val="20"/>
                <w:szCs w:val="20"/>
                <w:color w:val="0000EE"/>
              </w:rPr>
            </w:pPr>
            <w:hyperlink w:anchor="page36">
              <w:r>
                <w:rPr>
                  <w:rFonts w:ascii="Arial" w:cs="Arial" w:eastAsia="Arial" w:hAnsi="Arial"/>
                  <w:sz w:val="20"/>
                  <w:szCs w:val="20"/>
                  <w:color w:val="0000EE"/>
                </w:rPr>
                <w:t>Item 3.</w:t>
              </w:r>
            </w:hyperlink>
          </w:p>
        </w:tc>
        <w:tc>
          <w:tcPr>
            <w:tcW w:w="620" w:type="dxa"/>
            <w:vAlign w:val="bottom"/>
            <w:gridSpan w:val="2"/>
          </w:tcPr>
          <w:p>
            <w:pPr>
              <w:spacing w:after="0"/>
              <w:rPr>
                <w:sz w:val="24"/>
                <w:szCs w:val="24"/>
                <w:color w:val="auto"/>
              </w:rPr>
            </w:pPr>
          </w:p>
        </w:tc>
        <w:tc>
          <w:tcPr>
            <w:tcW w:w="7100" w:type="dxa"/>
            <w:vAlign w:val="bottom"/>
            <w:tcBorders>
              <w:top w:val="single" w:sz="8" w:color="0000EE"/>
            </w:tcBorders>
            <w:gridSpan w:val="14"/>
          </w:tcPr>
          <w:p>
            <w:pPr>
              <w:spacing w:after="0"/>
              <w:rPr>
                <w:rFonts w:ascii="Arial" w:cs="Arial" w:eastAsia="Arial" w:hAnsi="Arial"/>
                <w:sz w:val="20"/>
                <w:szCs w:val="20"/>
                <w:color w:val="0000EE"/>
              </w:rPr>
            </w:pPr>
            <w:hyperlink w:anchor="page36">
              <w:r>
                <w:rPr>
                  <w:rFonts w:ascii="Arial" w:cs="Arial" w:eastAsia="Arial" w:hAnsi="Arial"/>
                  <w:sz w:val="20"/>
                  <w:szCs w:val="20"/>
                  <w:color w:val="0000EE"/>
                </w:rPr>
                <w:t>Quantitative and Qualitative Disclosures About Market Risk</w:t>
              </w:r>
            </w:hyperlink>
          </w:p>
        </w:tc>
        <w:tc>
          <w:tcPr>
            <w:tcW w:w="2320" w:type="dxa"/>
            <w:vAlign w:val="bottom"/>
            <w:gridSpan w:val="4"/>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53</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40" w:type="dxa"/>
            <w:vAlign w:val="bottom"/>
            <w:tcBorders>
              <w:right w:val="single" w:sz="8" w:color="0000EE"/>
            </w:tcBorders>
            <w:gridSpan w:val="4"/>
            <w:shd w:val="clear" w:color="auto" w:fill="0000EE"/>
          </w:tcPr>
          <w:p>
            <w:pPr>
              <w:spacing w:after="0" w:line="20" w:lineRule="exact"/>
              <w:rPr>
                <w:sz w:val="1"/>
                <w:szCs w:val="1"/>
                <w:color w:val="auto"/>
              </w:rPr>
            </w:pPr>
          </w:p>
        </w:tc>
        <w:tc>
          <w:tcPr>
            <w:tcW w:w="4620" w:type="dxa"/>
            <w:vAlign w:val="bottom"/>
            <w:gridSpan w:val="6"/>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26"/>
        </w:trPr>
        <w:tc>
          <w:tcPr>
            <w:tcW w:w="1260" w:type="dxa"/>
            <w:vAlign w:val="bottom"/>
            <w:gridSpan w:val="4"/>
          </w:tcPr>
          <w:p>
            <w:pPr>
              <w:spacing w:after="0"/>
              <w:rPr>
                <w:rFonts w:ascii="Arial" w:cs="Arial" w:eastAsia="Arial" w:hAnsi="Arial"/>
                <w:sz w:val="20"/>
                <w:szCs w:val="20"/>
                <w:color w:val="0000EE"/>
              </w:rPr>
            </w:pPr>
            <w:hyperlink w:anchor="page36">
              <w:r>
                <w:rPr>
                  <w:rFonts w:ascii="Arial" w:cs="Arial" w:eastAsia="Arial" w:hAnsi="Arial"/>
                  <w:sz w:val="20"/>
                  <w:szCs w:val="20"/>
                  <w:color w:val="0000EE"/>
                </w:rPr>
                <w:t>Item 4.</w:t>
              </w:r>
            </w:hyperlink>
          </w:p>
        </w:tc>
        <w:tc>
          <w:tcPr>
            <w:tcW w:w="9420" w:type="dxa"/>
            <w:vAlign w:val="bottom"/>
            <w:gridSpan w:val="18"/>
          </w:tcPr>
          <w:p>
            <w:pPr>
              <w:spacing w:after="0"/>
              <w:rPr>
                <w:rFonts w:ascii="Arial" w:cs="Arial" w:eastAsia="Arial" w:hAnsi="Arial"/>
                <w:sz w:val="20"/>
                <w:szCs w:val="20"/>
                <w:color w:val="0000EE"/>
              </w:rPr>
            </w:pPr>
            <w:hyperlink w:anchor="page36">
              <w:r>
                <w:rPr>
                  <w:rFonts w:ascii="Arial" w:cs="Arial" w:eastAsia="Arial" w:hAnsi="Arial"/>
                  <w:sz w:val="20"/>
                  <w:szCs w:val="20"/>
                  <w:color w:val="0000EE"/>
                </w:rPr>
                <w:t>Controls and Procedures</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54</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462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640" w:type="dxa"/>
            <w:vAlign w:val="bottom"/>
            <w:gridSpan w:val="2"/>
          </w:tcPr>
          <w:p>
            <w:pPr>
              <w:spacing w:after="0"/>
              <w:rPr>
                <w:rFonts w:ascii="Arial" w:cs="Arial" w:eastAsia="Arial" w:hAnsi="Arial"/>
                <w:sz w:val="20"/>
                <w:szCs w:val="20"/>
                <w:b w:val="1"/>
                <w:bCs w:val="1"/>
                <w:color w:val="0000EE"/>
              </w:rPr>
            </w:pPr>
            <w:hyperlink w:anchor="page36">
              <w:r>
                <w:rPr>
                  <w:rFonts w:ascii="Arial" w:cs="Arial" w:eastAsia="Arial" w:hAnsi="Arial"/>
                  <w:sz w:val="20"/>
                  <w:szCs w:val="20"/>
                  <w:b w:val="1"/>
                  <w:bCs w:val="1"/>
                  <w:color w:val="0000EE"/>
                </w:rPr>
                <w:t>Part II.</w:t>
              </w:r>
            </w:hyperlink>
          </w:p>
        </w:tc>
        <w:tc>
          <w:tcPr>
            <w:tcW w:w="620" w:type="dxa"/>
            <w:vAlign w:val="bottom"/>
            <w:gridSpan w:val="2"/>
          </w:tcPr>
          <w:p>
            <w:pPr>
              <w:spacing w:after="0"/>
              <w:rPr>
                <w:sz w:val="24"/>
                <w:szCs w:val="24"/>
                <w:color w:val="auto"/>
              </w:rPr>
            </w:pPr>
          </w:p>
        </w:tc>
        <w:tc>
          <w:tcPr>
            <w:tcW w:w="9420" w:type="dxa"/>
            <w:vAlign w:val="bottom"/>
            <w:gridSpan w:val="18"/>
          </w:tcPr>
          <w:p>
            <w:pPr>
              <w:spacing w:after="0"/>
              <w:rPr>
                <w:rFonts w:ascii="Arial" w:cs="Arial" w:eastAsia="Arial" w:hAnsi="Arial"/>
                <w:sz w:val="20"/>
                <w:szCs w:val="20"/>
                <w:b w:val="1"/>
                <w:bCs w:val="1"/>
                <w:color w:val="0000EE"/>
              </w:rPr>
            </w:pPr>
            <w:hyperlink w:anchor="page36">
              <w:r>
                <w:rPr>
                  <w:rFonts w:ascii="Arial" w:cs="Arial" w:eastAsia="Arial" w:hAnsi="Arial"/>
                  <w:sz w:val="20"/>
                  <w:szCs w:val="20"/>
                  <w:b w:val="1"/>
                  <w:bCs w:val="1"/>
                  <w:color w:val="0000EE"/>
                </w:rPr>
                <w:t>OTHER INFORMATION</w:t>
              </w:r>
            </w:hyperlink>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26"/>
        </w:trPr>
        <w:tc>
          <w:tcPr>
            <w:tcW w:w="640" w:type="dxa"/>
            <w:vAlign w:val="bottom"/>
            <w:tcBorders>
              <w:top w:val="single" w:sz="8" w:color="0000EE"/>
            </w:tcBorders>
            <w:gridSpan w:val="2"/>
          </w:tcPr>
          <w:p>
            <w:pPr>
              <w:spacing w:after="0"/>
              <w:rPr>
                <w:rFonts w:ascii="Arial" w:cs="Arial" w:eastAsia="Arial" w:hAnsi="Arial"/>
                <w:sz w:val="20"/>
                <w:szCs w:val="20"/>
                <w:color w:val="0000EE"/>
              </w:rPr>
            </w:pPr>
            <w:hyperlink w:anchor="page36">
              <w:r>
                <w:rPr>
                  <w:rFonts w:ascii="Arial" w:cs="Arial" w:eastAsia="Arial" w:hAnsi="Arial"/>
                  <w:sz w:val="20"/>
                  <w:szCs w:val="20"/>
                  <w:color w:val="0000EE"/>
                </w:rPr>
                <w:t>Item 1.</w:t>
              </w:r>
            </w:hyperlink>
          </w:p>
        </w:tc>
        <w:tc>
          <w:tcPr>
            <w:tcW w:w="620" w:type="dxa"/>
            <w:vAlign w:val="bottom"/>
            <w:gridSpan w:val="2"/>
          </w:tcPr>
          <w:p>
            <w:pPr>
              <w:spacing w:after="0"/>
              <w:rPr>
                <w:sz w:val="24"/>
                <w:szCs w:val="24"/>
                <w:color w:val="auto"/>
              </w:rPr>
            </w:pPr>
          </w:p>
        </w:tc>
        <w:tc>
          <w:tcPr>
            <w:tcW w:w="2220" w:type="dxa"/>
            <w:vAlign w:val="bottom"/>
            <w:tcBorders>
              <w:top w:val="single" w:sz="8" w:color="0000EE"/>
            </w:tcBorders>
            <w:gridSpan w:val="7"/>
          </w:tcPr>
          <w:p>
            <w:pPr>
              <w:spacing w:after="0"/>
              <w:rPr>
                <w:rFonts w:ascii="Arial" w:cs="Arial" w:eastAsia="Arial" w:hAnsi="Arial"/>
                <w:sz w:val="20"/>
                <w:szCs w:val="20"/>
                <w:color w:val="0000EE"/>
              </w:rPr>
            </w:pPr>
            <w:hyperlink w:anchor="page36">
              <w:r>
                <w:rPr>
                  <w:rFonts w:ascii="Arial" w:cs="Arial" w:eastAsia="Arial" w:hAnsi="Arial"/>
                  <w:sz w:val="20"/>
                  <w:szCs w:val="20"/>
                  <w:color w:val="0000EE"/>
                </w:rPr>
                <w:t>Legal Proceedings</w:t>
              </w:r>
            </w:hyperlink>
          </w:p>
        </w:tc>
        <w:tc>
          <w:tcPr>
            <w:tcW w:w="7200" w:type="dxa"/>
            <w:vAlign w:val="bottom"/>
            <w:gridSpan w:val="11"/>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54</w:t>
            </w:r>
          </w:p>
        </w:tc>
      </w:tr>
      <w:tr>
        <w:trPr>
          <w:trHeight w:val="20"/>
        </w:trPr>
        <w:tc>
          <w:tcPr>
            <w:tcW w:w="56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120" w:type="dxa"/>
            <w:vAlign w:val="bottom"/>
            <w:tcBorders>
              <w:left w:val="single" w:sz="8" w:color="0000EE"/>
            </w:tcBorders>
            <w:gridSpan w:val="3"/>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4620" w:type="dxa"/>
            <w:vAlign w:val="bottom"/>
            <w:gridSpan w:val="6"/>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26"/>
        </w:trPr>
        <w:tc>
          <w:tcPr>
            <w:tcW w:w="720" w:type="dxa"/>
            <w:vAlign w:val="bottom"/>
            <w:tcBorders>
              <w:bottom w:val="single" w:sz="8" w:color="0000EE"/>
            </w:tcBorders>
            <w:gridSpan w:val="3"/>
          </w:tcPr>
          <w:p>
            <w:pPr>
              <w:spacing w:after="0"/>
              <w:rPr>
                <w:rFonts w:ascii="Arial" w:cs="Arial" w:eastAsia="Arial" w:hAnsi="Arial"/>
                <w:sz w:val="20"/>
                <w:szCs w:val="20"/>
                <w:color w:val="0000EE"/>
                <w:w w:val="93"/>
              </w:rPr>
            </w:pPr>
            <w:hyperlink w:anchor="page36">
              <w:r>
                <w:rPr>
                  <w:rFonts w:ascii="Arial" w:cs="Arial" w:eastAsia="Arial" w:hAnsi="Arial"/>
                  <w:sz w:val="20"/>
                  <w:szCs w:val="20"/>
                  <w:color w:val="0000EE"/>
                  <w:w w:val="93"/>
                </w:rPr>
                <w:t>Item 1A.</w:t>
              </w:r>
            </w:hyperlink>
          </w:p>
        </w:tc>
        <w:tc>
          <w:tcPr>
            <w:tcW w:w="540" w:type="dxa"/>
            <w:vAlign w:val="bottom"/>
          </w:tcPr>
          <w:p>
            <w:pPr>
              <w:spacing w:after="0"/>
              <w:rPr>
                <w:sz w:val="24"/>
                <w:szCs w:val="24"/>
                <w:color w:val="auto"/>
              </w:rPr>
            </w:pPr>
          </w:p>
        </w:tc>
        <w:tc>
          <w:tcPr>
            <w:tcW w:w="1000" w:type="dxa"/>
            <w:vAlign w:val="bottom"/>
            <w:tcBorders>
              <w:bottom w:val="single" w:sz="8" w:color="0000EE"/>
            </w:tcBorders>
            <w:gridSpan w:val="3"/>
          </w:tcPr>
          <w:p>
            <w:pPr>
              <w:spacing w:after="0"/>
              <w:rPr>
                <w:rFonts w:ascii="Arial" w:cs="Arial" w:eastAsia="Arial" w:hAnsi="Arial"/>
                <w:sz w:val="20"/>
                <w:szCs w:val="20"/>
                <w:color w:val="0000EE"/>
                <w:w w:val="88"/>
              </w:rPr>
            </w:pPr>
            <w:hyperlink w:anchor="page36">
              <w:r>
                <w:rPr>
                  <w:rFonts w:ascii="Arial" w:cs="Arial" w:eastAsia="Arial" w:hAnsi="Arial"/>
                  <w:sz w:val="20"/>
                  <w:szCs w:val="20"/>
                  <w:color w:val="0000EE"/>
                  <w:w w:val="88"/>
                </w:rPr>
                <w:t>Risk Factors</w:t>
              </w:r>
            </w:hyperlink>
          </w:p>
        </w:tc>
        <w:tc>
          <w:tcPr>
            <w:tcW w:w="8420" w:type="dxa"/>
            <w:vAlign w:val="bottom"/>
            <w:gridSpan w:val="15"/>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54</w:t>
            </w:r>
          </w:p>
        </w:tc>
      </w:tr>
      <w:tr>
        <w:trPr>
          <w:trHeight w:val="426"/>
        </w:trPr>
        <w:tc>
          <w:tcPr>
            <w:tcW w:w="1260" w:type="dxa"/>
            <w:vAlign w:val="bottom"/>
            <w:gridSpan w:val="4"/>
          </w:tcPr>
          <w:p>
            <w:pPr>
              <w:spacing w:after="0"/>
              <w:rPr>
                <w:rFonts w:ascii="Arial" w:cs="Arial" w:eastAsia="Arial" w:hAnsi="Arial"/>
                <w:sz w:val="20"/>
                <w:szCs w:val="20"/>
                <w:color w:val="0000EE"/>
              </w:rPr>
            </w:pPr>
            <w:hyperlink w:anchor="page36">
              <w:r>
                <w:rPr>
                  <w:rFonts w:ascii="Arial" w:cs="Arial" w:eastAsia="Arial" w:hAnsi="Arial"/>
                  <w:sz w:val="20"/>
                  <w:szCs w:val="20"/>
                  <w:color w:val="0000EE"/>
                </w:rPr>
                <w:t>Item 2.</w:t>
              </w:r>
            </w:hyperlink>
          </w:p>
        </w:tc>
        <w:tc>
          <w:tcPr>
            <w:tcW w:w="9420" w:type="dxa"/>
            <w:vAlign w:val="bottom"/>
            <w:gridSpan w:val="18"/>
          </w:tcPr>
          <w:p>
            <w:pPr>
              <w:spacing w:after="0"/>
              <w:rPr>
                <w:rFonts w:ascii="Arial" w:cs="Arial" w:eastAsia="Arial" w:hAnsi="Arial"/>
                <w:sz w:val="20"/>
                <w:szCs w:val="20"/>
                <w:color w:val="0000EE"/>
              </w:rPr>
            </w:pPr>
            <w:hyperlink w:anchor="page36">
              <w:r>
                <w:rPr>
                  <w:rFonts w:ascii="Arial" w:cs="Arial" w:eastAsia="Arial" w:hAnsi="Arial"/>
                  <w:sz w:val="20"/>
                  <w:szCs w:val="20"/>
                  <w:color w:val="0000EE"/>
                </w:rPr>
                <w:t>Unregistered Sales of Equity Securities and Use of Proceeds</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54</w:t>
            </w:r>
          </w:p>
        </w:tc>
      </w:tr>
      <w:tr>
        <w:trPr>
          <w:trHeight w:val="426"/>
        </w:trPr>
        <w:tc>
          <w:tcPr>
            <w:tcW w:w="1260" w:type="dxa"/>
            <w:vAlign w:val="bottom"/>
            <w:tcBorders>
              <w:top w:val="single" w:sz="8" w:color="0000EE"/>
            </w:tcBorders>
            <w:gridSpan w:val="4"/>
          </w:tcPr>
          <w:p>
            <w:pPr>
              <w:spacing w:after="0"/>
              <w:rPr>
                <w:rFonts w:ascii="Arial" w:cs="Arial" w:eastAsia="Arial" w:hAnsi="Arial"/>
                <w:sz w:val="20"/>
                <w:szCs w:val="20"/>
                <w:color w:val="0000EE"/>
              </w:rPr>
            </w:pPr>
            <w:hyperlink w:anchor="page37">
              <w:r>
                <w:rPr>
                  <w:rFonts w:ascii="Arial" w:cs="Arial" w:eastAsia="Arial" w:hAnsi="Arial"/>
                  <w:sz w:val="20"/>
                  <w:szCs w:val="20"/>
                  <w:color w:val="0000EE"/>
                </w:rPr>
                <w:t>Item 3.</w:t>
              </w:r>
            </w:hyperlink>
          </w:p>
        </w:tc>
        <w:tc>
          <w:tcPr>
            <w:tcW w:w="4800" w:type="dxa"/>
            <w:vAlign w:val="bottom"/>
            <w:tcBorders>
              <w:top w:val="single" w:sz="8" w:color="0000EE"/>
            </w:tcBorders>
            <w:gridSpan w:val="12"/>
          </w:tcPr>
          <w:p>
            <w:pPr>
              <w:spacing w:after="0"/>
              <w:rPr>
                <w:rFonts w:ascii="Arial" w:cs="Arial" w:eastAsia="Arial" w:hAnsi="Arial"/>
                <w:sz w:val="20"/>
                <w:szCs w:val="20"/>
                <w:color w:val="0000EE"/>
              </w:rPr>
            </w:pPr>
            <w:hyperlink w:anchor="page37">
              <w:r>
                <w:rPr>
                  <w:rFonts w:ascii="Arial" w:cs="Arial" w:eastAsia="Arial" w:hAnsi="Arial"/>
                  <w:sz w:val="20"/>
                  <w:szCs w:val="20"/>
                  <w:color w:val="0000EE"/>
                </w:rPr>
                <w:t>Defaults Upon Senior Securities</w:t>
              </w:r>
            </w:hyperlink>
          </w:p>
        </w:tc>
        <w:tc>
          <w:tcPr>
            <w:tcW w:w="4620" w:type="dxa"/>
            <w:vAlign w:val="bottom"/>
            <w:gridSpan w:val="6"/>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55</w:t>
            </w:r>
          </w:p>
        </w:tc>
      </w:tr>
      <w:tr>
        <w:trPr>
          <w:trHeight w:val="20"/>
        </w:trPr>
        <w:tc>
          <w:tcPr>
            <w:tcW w:w="560" w:type="dxa"/>
            <w:vAlign w:val="bottom"/>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120" w:type="dxa"/>
            <w:vAlign w:val="bottom"/>
            <w:tcBorders>
              <w:left w:val="single" w:sz="8" w:color="0000EE"/>
            </w:tcBorders>
            <w:gridSpan w:val="3"/>
            <w:shd w:val="clear" w:color="auto" w:fill="0000EE"/>
          </w:tcPr>
          <w:p>
            <w:pPr>
              <w:spacing w:after="0" w:line="20" w:lineRule="exact"/>
              <w:rPr>
                <w:sz w:val="1"/>
                <w:szCs w:val="1"/>
                <w:color w:val="auto"/>
              </w:rPr>
            </w:pPr>
          </w:p>
        </w:tc>
        <w:tc>
          <w:tcPr>
            <w:tcW w:w="6860" w:type="dxa"/>
            <w:vAlign w:val="bottom"/>
            <w:gridSpan w:val="1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26"/>
        </w:trPr>
        <w:tc>
          <w:tcPr>
            <w:tcW w:w="1260" w:type="dxa"/>
            <w:vAlign w:val="bottom"/>
            <w:gridSpan w:val="4"/>
          </w:tcPr>
          <w:p>
            <w:pPr>
              <w:spacing w:after="0"/>
              <w:rPr>
                <w:rFonts w:ascii="Arial" w:cs="Arial" w:eastAsia="Arial" w:hAnsi="Arial"/>
                <w:sz w:val="20"/>
                <w:szCs w:val="20"/>
                <w:color w:val="0000EE"/>
              </w:rPr>
            </w:pPr>
            <w:hyperlink w:anchor="page37">
              <w:r>
                <w:rPr>
                  <w:rFonts w:ascii="Arial" w:cs="Arial" w:eastAsia="Arial" w:hAnsi="Arial"/>
                  <w:sz w:val="20"/>
                  <w:szCs w:val="20"/>
                  <w:color w:val="0000EE"/>
                </w:rPr>
                <w:t>Item 4.</w:t>
              </w:r>
            </w:hyperlink>
          </w:p>
        </w:tc>
        <w:tc>
          <w:tcPr>
            <w:tcW w:w="9420" w:type="dxa"/>
            <w:vAlign w:val="bottom"/>
            <w:gridSpan w:val="18"/>
          </w:tcPr>
          <w:p>
            <w:pPr>
              <w:spacing w:after="0"/>
              <w:rPr>
                <w:rFonts w:ascii="Arial" w:cs="Arial" w:eastAsia="Arial" w:hAnsi="Arial"/>
                <w:sz w:val="20"/>
                <w:szCs w:val="20"/>
                <w:color w:val="0000EE"/>
              </w:rPr>
            </w:pPr>
            <w:hyperlink w:anchor="page37">
              <w:r>
                <w:rPr>
                  <w:rFonts w:ascii="Arial" w:cs="Arial" w:eastAsia="Arial" w:hAnsi="Arial"/>
                  <w:sz w:val="20"/>
                  <w:szCs w:val="20"/>
                  <w:color w:val="0000EE"/>
                </w:rPr>
                <w:t>Mine Safety Disclosures</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55</w:t>
            </w:r>
          </w:p>
        </w:tc>
      </w:tr>
      <w:tr>
        <w:trPr>
          <w:trHeight w:val="20"/>
        </w:trPr>
        <w:tc>
          <w:tcPr>
            <w:tcW w:w="560" w:type="dxa"/>
            <w:vAlign w:val="bottom"/>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7480" w:type="dxa"/>
            <w:vAlign w:val="bottom"/>
            <w:gridSpan w:val="1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26"/>
        </w:trPr>
        <w:tc>
          <w:tcPr>
            <w:tcW w:w="1260" w:type="dxa"/>
            <w:vAlign w:val="bottom"/>
            <w:gridSpan w:val="4"/>
          </w:tcPr>
          <w:p>
            <w:pPr>
              <w:spacing w:after="0"/>
              <w:rPr>
                <w:rFonts w:ascii="Arial" w:cs="Arial" w:eastAsia="Arial" w:hAnsi="Arial"/>
                <w:sz w:val="20"/>
                <w:szCs w:val="20"/>
                <w:color w:val="0000EE"/>
              </w:rPr>
            </w:pPr>
            <w:hyperlink w:anchor="page37">
              <w:r>
                <w:rPr>
                  <w:rFonts w:ascii="Arial" w:cs="Arial" w:eastAsia="Arial" w:hAnsi="Arial"/>
                  <w:sz w:val="20"/>
                  <w:szCs w:val="20"/>
                  <w:color w:val="0000EE"/>
                </w:rPr>
                <w:t>Item 5.</w:t>
              </w:r>
            </w:hyperlink>
          </w:p>
        </w:tc>
        <w:tc>
          <w:tcPr>
            <w:tcW w:w="9420" w:type="dxa"/>
            <w:vAlign w:val="bottom"/>
            <w:gridSpan w:val="18"/>
          </w:tcPr>
          <w:p>
            <w:pPr>
              <w:spacing w:after="0"/>
              <w:rPr>
                <w:rFonts w:ascii="Arial" w:cs="Arial" w:eastAsia="Arial" w:hAnsi="Arial"/>
                <w:sz w:val="20"/>
                <w:szCs w:val="20"/>
                <w:color w:val="0000EE"/>
              </w:rPr>
            </w:pPr>
            <w:hyperlink w:anchor="page37">
              <w:r>
                <w:rPr>
                  <w:rFonts w:ascii="Arial" w:cs="Arial" w:eastAsia="Arial" w:hAnsi="Arial"/>
                  <w:sz w:val="20"/>
                  <w:szCs w:val="20"/>
                  <w:color w:val="0000EE"/>
                </w:rPr>
                <w:t>Other Information</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55</w:t>
            </w:r>
          </w:p>
        </w:tc>
      </w:tr>
      <w:tr>
        <w:trPr>
          <w:trHeight w:val="20"/>
        </w:trPr>
        <w:tc>
          <w:tcPr>
            <w:tcW w:w="560" w:type="dxa"/>
            <w:vAlign w:val="bottom"/>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980" w:type="dxa"/>
            <w:vAlign w:val="bottom"/>
            <w:gridSpan w:val="1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26"/>
        </w:trPr>
        <w:tc>
          <w:tcPr>
            <w:tcW w:w="1260" w:type="dxa"/>
            <w:vAlign w:val="bottom"/>
            <w:gridSpan w:val="4"/>
          </w:tcPr>
          <w:p>
            <w:pPr>
              <w:spacing w:after="0"/>
              <w:rPr>
                <w:rFonts w:ascii="Arial" w:cs="Arial" w:eastAsia="Arial" w:hAnsi="Arial"/>
                <w:sz w:val="20"/>
                <w:szCs w:val="20"/>
                <w:color w:val="0000EE"/>
              </w:rPr>
            </w:pPr>
            <w:hyperlink w:anchor="page37">
              <w:r>
                <w:rPr>
                  <w:rFonts w:ascii="Arial" w:cs="Arial" w:eastAsia="Arial" w:hAnsi="Arial"/>
                  <w:sz w:val="20"/>
                  <w:szCs w:val="20"/>
                  <w:color w:val="0000EE"/>
                </w:rPr>
                <w:t>Item 6.</w:t>
              </w:r>
            </w:hyperlink>
          </w:p>
        </w:tc>
        <w:tc>
          <w:tcPr>
            <w:tcW w:w="9420" w:type="dxa"/>
            <w:vAlign w:val="bottom"/>
            <w:gridSpan w:val="18"/>
          </w:tcPr>
          <w:p>
            <w:pPr>
              <w:spacing w:after="0"/>
              <w:rPr>
                <w:rFonts w:ascii="Arial" w:cs="Arial" w:eastAsia="Arial" w:hAnsi="Arial"/>
                <w:sz w:val="20"/>
                <w:szCs w:val="20"/>
                <w:color w:val="0000EE"/>
              </w:rPr>
            </w:pPr>
            <w:hyperlink w:anchor="page37">
              <w:r>
                <w:rPr>
                  <w:rFonts w:ascii="Arial" w:cs="Arial" w:eastAsia="Arial" w:hAnsi="Arial"/>
                  <w:sz w:val="20"/>
                  <w:szCs w:val="20"/>
                  <w:color w:val="0000EE"/>
                </w:rPr>
                <w:t>Exhibits</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55</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580" w:type="dxa"/>
            <w:vAlign w:val="bottom"/>
            <w:gridSpan w:val="16"/>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26"/>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Borders>
              <w:bottom w:val="single" w:sz="8" w:color="0000EE"/>
            </w:tcBorders>
            <w:gridSpan w:val="2"/>
          </w:tcPr>
          <w:p>
            <w:pPr>
              <w:spacing w:after="0"/>
              <w:rPr>
                <w:rFonts w:ascii="Arial" w:cs="Arial" w:eastAsia="Arial" w:hAnsi="Arial"/>
                <w:sz w:val="20"/>
                <w:szCs w:val="20"/>
                <w:color w:val="0000EE"/>
                <w:w w:val="85"/>
              </w:rPr>
            </w:pPr>
            <w:hyperlink w:anchor="page37">
              <w:r>
                <w:rPr>
                  <w:rFonts w:ascii="Arial" w:cs="Arial" w:eastAsia="Arial" w:hAnsi="Arial"/>
                  <w:sz w:val="20"/>
                  <w:szCs w:val="20"/>
                  <w:color w:val="0000EE"/>
                  <w:w w:val="85"/>
                </w:rPr>
                <w:t>Signatures</w:t>
              </w:r>
            </w:hyperlink>
          </w:p>
        </w:tc>
        <w:tc>
          <w:tcPr>
            <w:tcW w:w="8580" w:type="dxa"/>
            <w:vAlign w:val="bottom"/>
            <w:gridSpan w:val="16"/>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56</w:t>
            </w:r>
          </w:p>
        </w:tc>
      </w:tr>
      <w:tr>
        <w:trPr>
          <w:trHeight w:val="466"/>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80" w:type="dxa"/>
            <w:vAlign w:val="bottom"/>
            <w:gridSpan w:val="11"/>
          </w:tcPr>
          <w:p>
            <w:pPr>
              <w:ind w:left="44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7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9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 –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CONDENSED CONSOLIDATED FINANCIAL STATEMENTS (UNAUDITED)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CONDENSED CONSOLIDATED BALANCE SHEETS</w:t>
      </w:r>
    </w:p>
    <w:p>
      <w:pPr>
        <w:spacing w:after="0"/>
        <w:rPr>
          <w:sz w:val="20"/>
          <w:szCs w:val="20"/>
          <w:color w:val="auto"/>
        </w:rPr>
      </w:pPr>
      <w:r>
        <w:rPr>
          <w:rFonts w:ascii="Arial" w:cs="Arial" w:eastAsia="Arial" w:hAnsi="Arial"/>
          <w:sz w:val="20"/>
          <w:szCs w:val="20"/>
          <w:b w:val="1"/>
          <w:bCs w:val="1"/>
          <w:color w:val="auto"/>
        </w:rPr>
        <w:t>AS OF JUNE 30, 2016 AND DECEMBER 31, 2015</w:t>
      </w:r>
    </w:p>
    <w:p>
      <w:pPr>
        <w:spacing w:after="0"/>
        <w:rPr>
          <w:sz w:val="20"/>
          <w:szCs w:val="20"/>
          <w:color w:val="auto"/>
        </w:rPr>
      </w:pPr>
      <w:r>
        <w:rPr>
          <w:rFonts w:ascii="Arial" w:cs="Arial" w:eastAsia="Arial" w:hAnsi="Arial"/>
          <w:sz w:val="20"/>
          <w:szCs w:val="20"/>
          <w:b w:val="1"/>
          <w:bCs w:val="1"/>
          <w:color w:val="auto"/>
        </w:rPr>
        <w:t>(In Thousands, Except Par Value)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220" w:type="dxa"/>
            <w:vAlign w:val="bottom"/>
          </w:tcPr>
          <w:p>
            <w:pPr>
              <w:spacing w:after="0"/>
              <w:rPr>
                <w:sz w:val="18"/>
                <w:szCs w:val="18"/>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rPr>
                <w:sz w:val="1"/>
                <w:szCs w:val="1"/>
                <w:color w:val="auto"/>
              </w:rPr>
            </w:pPr>
          </w:p>
        </w:tc>
      </w:tr>
      <w:tr>
        <w:trPr>
          <w:trHeight w:val="219"/>
        </w:trPr>
        <w:tc>
          <w:tcPr>
            <w:tcW w:w="3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172"/>
        </w:trPr>
        <w:tc>
          <w:tcPr>
            <w:tcW w:w="3180" w:type="dxa"/>
            <w:vAlign w:val="bottom"/>
            <w:vMerge w:val="restart"/>
          </w:tcPr>
          <w:p>
            <w:pPr>
              <w:spacing w:after="0"/>
              <w:rPr>
                <w:sz w:val="20"/>
                <w:szCs w:val="20"/>
                <w:color w:val="auto"/>
              </w:rPr>
            </w:pPr>
            <w:r>
              <w:rPr>
                <w:rFonts w:ascii="Arial" w:cs="Arial" w:eastAsia="Arial" w:hAnsi="Arial"/>
                <w:sz w:val="16"/>
                <w:szCs w:val="16"/>
                <w:color w:val="auto"/>
              </w:rPr>
              <w:t>CURRENT ASSETS:</w:t>
            </w:r>
          </w:p>
        </w:tc>
        <w:tc>
          <w:tcPr>
            <w:tcW w:w="5020" w:type="dxa"/>
            <w:vAlign w:val="bottom"/>
            <w:gridSpan w:val="3"/>
          </w:tcPr>
          <w:p>
            <w:pPr>
              <w:ind w:left="460"/>
              <w:spacing w:after="0" w:line="172" w:lineRule="exact"/>
              <w:rPr>
                <w:sz w:val="20"/>
                <w:szCs w:val="20"/>
                <w:color w:val="auto"/>
              </w:rPr>
            </w:pPr>
            <w:r>
              <w:rPr>
                <w:rFonts w:ascii="Arial" w:cs="Arial" w:eastAsia="Arial" w:hAnsi="Arial"/>
                <w:sz w:val="16"/>
                <w:szCs w:val="16"/>
                <w:b w:val="1"/>
                <w:bCs w:val="1"/>
                <w:color w:val="auto"/>
              </w:rPr>
              <w:t>ASSETS</w:t>
            </w: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318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3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5320" w:type="dxa"/>
            <w:vAlign w:val="bottom"/>
            <w:gridSpan w:val="4"/>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434,769</w:t>
            </w:r>
          </w:p>
        </w:tc>
        <w:tc>
          <w:tcPr>
            <w:tcW w:w="2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2,175,417</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Short-term investments</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44,319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744,610</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Accounts receivable, net</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465,708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352,955</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TCCC Transaction receivable</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125,000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125,000</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Inventories</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174,401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156,121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Prepaid expenses and other current assets</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28,081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26,967</w:t>
            </w:r>
          </w:p>
        </w:tc>
        <w:tc>
          <w:tcPr>
            <w:tcW w:w="0" w:type="dxa"/>
            <w:vAlign w:val="bottom"/>
          </w:tcPr>
          <w:p>
            <w:pPr>
              <w:spacing w:after="0"/>
              <w:rPr>
                <w:sz w:val="1"/>
                <w:szCs w:val="1"/>
                <w:color w:val="auto"/>
              </w:rPr>
            </w:pPr>
          </w:p>
        </w:tc>
      </w:tr>
      <w:tr>
        <w:trPr>
          <w:trHeight w:val="209"/>
        </w:trPr>
        <w:tc>
          <w:tcPr>
            <w:tcW w:w="3180" w:type="dxa"/>
            <w:vAlign w:val="bottom"/>
          </w:tcPr>
          <w:p>
            <w:pPr>
              <w:spacing w:after="0"/>
              <w:rPr>
                <w:sz w:val="20"/>
                <w:szCs w:val="20"/>
                <w:color w:val="auto"/>
              </w:rPr>
            </w:pPr>
            <w:r>
              <w:rPr>
                <w:rFonts w:ascii="Arial" w:cs="Arial" w:eastAsia="Arial" w:hAnsi="Arial"/>
                <w:sz w:val="16"/>
                <w:szCs w:val="16"/>
                <w:color w:val="auto"/>
              </w:rPr>
              <w:t>Prepaid income taxes</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20,547</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1,532</w:t>
            </w:r>
          </w:p>
        </w:tc>
        <w:tc>
          <w:tcPr>
            <w:tcW w:w="0" w:type="dxa"/>
            <w:vAlign w:val="bottom"/>
          </w:tcPr>
          <w:p>
            <w:pPr>
              <w:spacing w:after="0"/>
              <w:rPr>
                <w:sz w:val="1"/>
                <w:szCs w:val="1"/>
                <w:color w:val="auto"/>
              </w:rPr>
            </w:pPr>
          </w:p>
        </w:tc>
      </w:tr>
      <w:tr>
        <w:trPr>
          <w:trHeight w:val="217"/>
        </w:trPr>
        <w:tc>
          <w:tcPr>
            <w:tcW w:w="318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1,292,825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3,582,602</w:t>
            </w:r>
          </w:p>
        </w:tc>
        <w:tc>
          <w:tcPr>
            <w:tcW w:w="0" w:type="dxa"/>
            <w:vAlign w:val="bottom"/>
          </w:tcPr>
          <w:p>
            <w:pPr>
              <w:spacing w:after="0"/>
              <w:rPr>
                <w:sz w:val="1"/>
                <w:szCs w:val="1"/>
                <w:color w:val="auto"/>
              </w:rPr>
            </w:pPr>
          </w:p>
        </w:tc>
      </w:tr>
      <w:tr>
        <w:trPr>
          <w:trHeight w:val="446"/>
        </w:trPr>
        <w:tc>
          <w:tcPr>
            <w:tcW w:w="3180" w:type="dxa"/>
            <w:vAlign w:val="bottom"/>
          </w:tcPr>
          <w:p>
            <w:pPr>
              <w:spacing w:after="0"/>
              <w:rPr>
                <w:sz w:val="20"/>
                <w:szCs w:val="20"/>
                <w:color w:val="auto"/>
              </w:rPr>
            </w:pPr>
            <w:r>
              <w:rPr>
                <w:rFonts w:ascii="Arial" w:cs="Arial" w:eastAsia="Arial" w:hAnsi="Arial"/>
                <w:sz w:val="16"/>
                <w:szCs w:val="16"/>
                <w:color w:val="auto"/>
              </w:rPr>
              <w:t>INVESTMENTS</w:t>
            </w: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15,348</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102,562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97,354</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DEFERRED INCOME TAXES</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261,319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261,310</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GOODWILL</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1,283,643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1,279,715</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1,082,151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427,986</w:t>
            </w:r>
          </w:p>
        </w:tc>
        <w:tc>
          <w:tcPr>
            <w:tcW w:w="0" w:type="dxa"/>
            <w:vAlign w:val="bottom"/>
          </w:tcPr>
          <w:p>
            <w:pPr>
              <w:spacing w:after="0"/>
              <w:rPr>
                <w:sz w:val="1"/>
                <w:szCs w:val="1"/>
                <w:color w:val="auto"/>
              </w:rPr>
            </w:pPr>
          </w:p>
        </w:tc>
      </w:tr>
    </w:tbl>
    <w:p>
      <w:pPr>
        <w:sectPr>
          <w:pgSz w:w="11900" w:h="16891" w:orient="portrait"/>
          <w:cols w:equalWidth="0" w:num="1">
            <w:col w:w="11460"/>
          </w:cols>
          <w:pgMar w:left="240" w:top="558" w:right="19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00" w:type="dxa"/>
            <w:vAlign w:val="bottom"/>
            <w:gridSpan w:val="3"/>
          </w:tcPr>
          <w:p>
            <w:pPr>
              <w:spacing w:after="0"/>
              <w:rPr>
                <w:sz w:val="20"/>
                <w:szCs w:val="20"/>
                <w:color w:val="auto"/>
              </w:rPr>
            </w:pPr>
            <w:r>
              <w:rPr>
                <w:rFonts w:ascii="Arial" w:cs="Arial" w:eastAsia="Arial" w:hAnsi="Arial"/>
                <w:sz w:val="16"/>
                <w:szCs w:val="16"/>
                <w:color w:val="auto"/>
              </w:rPr>
              <w:t>OTHER ASSETS</w:t>
            </w: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15,556</w:t>
            </w:r>
          </w:p>
        </w:tc>
        <w:tc>
          <w:tcPr>
            <w:tcW w:w="2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10,874</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6000" w:type="dxa"/>
            <w:vAlign w:val="bottom"/>
            <w:gridSpan w:val="2"/>
          </w:tcPr>
          <w:p>
            <w:pPr>
              <w:jc w:val="center"/>
              <w:ind w:right="2500"/>
              <w:spacing w:after="0"/>
              <w:rPr>
                <w:sz w:val="20"/>
                <w:szCs w:val="20"/>
                <w:color w:val="auto"/>
              </w:rPr>
            </w:pPr>
            <w:r>
              <w:rPr>
                <w:rFonts w:ascii="Arial" w:cs="Arial" w:eastAsia="Arial" w:hAnsi="Arial"/>
                <w:sz w:val="16"/>
                <w:szCs w:val="16"/>
                <w:b w:val="1"/>
                <w:bCs w:val="1"/>
                <w:color w:val="auto"/>
                <w:w w:val="86"/>
              </w:rPr>
              <w:t>Total Assets</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4,038,056</w:t>
            </w:r>
          </w:p>
        </w:tc>
        <w:tc>
          <w:tcPr>
            <w:tcW w:w="280" w:type="dxa"/>
            <w:vAlign w:val="bottom"/>
          </w:tcPr>
          <w:p>
            <w:pPr>
              <w:spacing w:after="0"/>
              <w:rPr>
                <w:sz w:val="18"/>
                <w:szCs w:val="18"/>
                <w:color w:val="auto"/>
              </w:rPr>
            </w:pP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5,675,189</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35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LIABILITIES AND STOCKHOLDERS’ EQUITY</w:t>
            </w:r>
          </w:p>
        </w:tc>
        <w:tc>
          <w:tcPr>
            <w:tcW w:w="248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2200" w:type="dxa"/>
            <w:vAlign w:val="bottom"/>
          </w:tcPr>
          <w:p>
            <w:pPr>
              <w:spacing w:after="0"/>
              <w:rPr>
                <w:sz w:val="24"/>
                <w:szCs w:val="24"/>
                <w:color w:val="auto"/>
              </w:rPr>
            </w:pPr>
          </w:p>
        </w:tc>
        <w:tc>
          <w:tcPr>
            <w:tcW w:w="3520" w:type="dxa"/>
            <w:vAlign w:val="bottom"/>
            <w:tcBorders>
              <w:bottom w:val="single" w:sz="8" w:color="auto"/>
            </w:tcBorders>
            <w:vMerge w:val="continue"/>
          </w:tcPr>
          <w:p>
            <w:pPr>
              <w:spacing w:after="0"/>
              <w:rPr>
                <w:sz w:val="24"/>
                <w:szCs w:val="24"/>
                <w:color w:val="auto"/>
              </w:rPr>
            </w:pPr>
          </w:p>
        </w:tc>
        <w:tc>
          <w:tcPr>
            <w:tcW w:w="24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8200" w:type="dxa"/>
            <w:vAlign w:val="bottom"/>
            <w:gridSpan w:val="3"/>
          </w:tcPr>
          <w:p>
            <w:pPr>
              <w:spacing w:after="0"/>
              <w:rPr>
                <w:sz w:val="20"/>
                <w:szCs w:val="20"/>
                <w:color w:val="auto"/>
              </w:rPr>
            </w:pPr>
            <w:r>
              <w:rPr>
                <w:rFonts w:ascii="Arial" w:cs="Arial" w:eastAsia="Arial" w:hAnsi="Arial"/>
                <w:sz w:val="16"/>
                <w:szCs w:val="16"/>
                <w:color w:val="auto"/>
              </w:rPr>
              <w:t>CURRENT LIABILITIES:</w:t>
            </w: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200" w:type="dxa"/>
            <w:vAlign w:val="bottom"/>
            <w:gridSpan w:val="3"/>
          </w:tcPr>
          <w:p>
            <w:pPr>
              <w:spacing w:after="0"/>
              <w:rPr>
                <w:sz w:val="20"/>
                <w:szCs w:val="20"/>
                <w:color w:val="auto"/>
              </w:rPr>
            </w:pPr>
            <w:r>
              <w:rPr>
                <w:rFonts w:ascii="Arial" w:cs="Arial" w:eastAsia="Arial" w:hAnsi="Arial"/>
                <w:sz w:val="16"/>
                <w:szCs w:val="16"/>
                <w:color w:val="auto"/>
              </w:rPr>
              <w:t>Accounts payable</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183,084</w:t>
            </w:r>
          </w:p>
        </w:tc>
        <w:tc>
          <w:tcPr>
            <w:tcW w:w="280" w:type="dxa"/>
            <w:vAlign w:val="bottom"/>
          </w:tcPr>
          <w:p>
            <w:pPr>
              <w:spacing w:after="0"/>
              <w:rPr>
                <w:sz w:val="19"/>
                <w:szCs w:val="19"/>
                <w:color w:val="auto"/>
              </w:rPr>
            </w:pP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144,763</w:t>
            </w:r>
          </w:p>
        </w:tc>
        <w:tc>
          <w:tcPr>
            <w:tcW w:w="0" w:type="dxa"/>
            <w:vAlign w:val="bottom"/>
          </w:tcPr>
          <w:p>
            <w:pPr>
              <w:spacing w:after="0"/>
              <w:rPr>
                <w:sz w:val="1"/>
                <w:szCs w:val="1"/>
                <w:color w:val="auto"/>
              </w:rPr>
            </w:pPr>
          </w:p>
        </w:tc>
      </w:tr>
      <w:tr>
        <w:trPr>
          <w:trHeight w:val="216"/>
        </w:trPr>
        <w:tc>
          <w:tcPr>
            <w:tcW w:w="8200" w:type="dxa"/>
            <w:vAlign w:val="bottom"/>
            <w:gridSpan w:val="3"/>
          </w:tcPr>
          <w:p>
            <w:pPr>
              <w:spacing w:after="0"/>
              <w:rPr>
                <w:sz w:val="20"/>
                <w:szCs w:val="20"/>
                <w:color w:val="auto"/>
              </w:rPr>
            </w:pPr>
            <w:r>
              <w:rPr>
                <w:rFonts w:ascii="Arial" w:cs="Arial" w:eastAsia="Arial" w:hAnsi="Arial"/>
                <w:sz w:val="16"/>
                <w:szCs w:val="16"/>
                <w:color w:val="auto"/>
              </w:rPr>
              <w:t>Accrued liabilities</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90,400</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81,786</w:t>
            </w:r>
          </w:p>
        </w:tc>
        <w:tc>
          <w:tcPr>
            <w:tcW w:w="0" w:type="dxa"/>
            <w:vAlign w:val="bottom"/>
          </w:tcPr>
          <w:p>
            <w:pPr>
              <w:spacing w:after="0"/>
              <w:rPr>
                <w:sz w:val="1"/>
                <w:szCs w:val="1"/>
                <w:color w:val="auto"/>
              </w:rPr>
            </w:pPr>
          </w:p>
        </w:tc>
      </w:tr>
      <w:tr>
        <w:trPr>
          <w:trHeight w:val="216"/>
        </w:trPr>
        <w:tc>
          <w:tcPr>
            <w:tcW w:w="8200" w:type="dxa"/>
            <w:vAlign w:val="bottom"/>
            <w:gridSpan w:val="3"/>
          </w:tcPr>
          <w:p>
            <w:pPr>
              <w:spacing w:after="0"/>
              <w:rPr>
                <w:sz w:val="20"/>
                <w:szCs w:val="20"/>
                <w:color w:val="auto"/>
              </w:rPr>
            </w:pPr>
            <w:r>
              <w:rPr>
                <w:rFonts w:ascii="Arial" w:cs="Arial" w:eastAsia="Arial" w:hAnsi="Arial"/>
                <w:sz w:val="16"/>
                <w:szCs w:val="16"/>
                <w:color w:val="auto"/>
              </w:rPr>
              <w:t>Accrued promotional allowances</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144,419</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115,530</w:t>
            </w:r>
          </w:p>
        </w:tc>
        <w:tc>
          <w:tcPr>
            <w:tcW w:w="0" w:type="dxa"/>
            <w:vAlign w:val="bottom"/>
          </w:tcPr>
          <w:p>
            <w:pPr>
              <w:spacing w:after="0"/>
              <w:rPr>
                <w:sz w:val="1"/>
                <w:szCs w:val="1"/>
                <w:color w:val="auto"/>
              </w:rPr>
            </w:pPr>
          </w:p>
        </w:tc>
      </w:tr>
      <w:tr>
        <w:trPr>
          <w:trHeight w:val="216"/>
        </w:trPr>
        <w:tc>
          <w:tcPr>
            <w:tcW w:w="8200" w:type="dxa"/>
            <w:vAlign w:val="bottom"/>
            <w:gridSpan w:val="3"/>
          </w:tcPr>
          <w:p>
            <w:pPr>
              <w:spacing w:after="0"/>
              <w:rPr>
                <w:sz w:val="20"/>
                <w:szCs w:val="20"/>
                <w:color w:val="auto"/>
              </w:rPr>
            </w:pPr>
            <w:r>
              <w:rPr>
                <w:rFonts w:ascii="Arial" w:cs="Arial" w:eastAsia="Arial" w:hAnsi="Arial"/>
                <w:sz w:val="16"/>
                <w:szCs w:val="16"/>
                <w:color w:val="auto"/>
              </w:rPr>
              <w:t>Accrued distributor terminations</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24,484</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11,018</w:t>
            </w:r>
          </w:p>
        </w:tc>
        <w:tc>
          <w:tcPr>
            <w:tcW w:w="0" w:type="dxa"/>
            <w:vAlign w:val="bottom"/>
          </w:tcPr>
          <w:p>
            <w:pPr>
              <w:spacing w:after="0"/>
              <w:rPr>
                <w:sz w:val="1"/>
                <w:szCs w:val="1"/>
                <w:color w:val="auto"/>
              </w:rPr>
            </w:pPr>
          </w:p>
        </w:tc>
      </w:tr>
      <w:tr>
        <w:trPr>
          <w:trHeight w:val="216"/>
        </w:trPr>
        <w:tc>
          <w:tcPr>
            <w:tcW w:w="8200" w:type="dxa"/>
            <w:vAlign w:val="bottom"/>
            <w:gridSpan w:val="3"/>
          </w:tcPr>
          <w:p>
            <w:pPr>
              <w:spacing w:after="0"/>
              <w:rPr>
                <w:sz w:val="20"/>
                <w:szCs w:val="20"/>
                <w:color w:val="auto"/>
              </w:rPr>
            </w:pPr>
            <w:r>
              <w:rPr>
                <w:rFonts w:ascii="Arial" w:cs="Arial" w:eastAsia="Arial" w:hAnsi="Arial"/>
                <w:sz w:val="16"/>
                <w:szCs w:val="16"/>
                <w:color w:val="auto"/>
              </w:rPr>
              <w:t>Deferred revenue</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33,053</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32,271</w:t>
            </w:r>
          </w:p>
        </w:tc>
        <w:tc>
          <w:tcPr>
            <w:tcW w:w="0" w:type="dxa"/>
            <w:vAlign w:val="bottom"/>
          </w:tcPr>
          <w:p>
            <w:pPr>
              <w:spacing w:after="0"/>
              <w:rPr>
                <w:sz w:val="1"/>
                <w:szCs w:val="1"/>
                <w:color w:val="auto"/>
              </w:rPr>
            </w:pPr>
          </w:p>
        </w:tc>
      </w:tr>
      <w:tr>
        <w:trPr>
          <w:trHeight w:val="216"/>
        </w:trPr>
        <w:tc>
          <w:tcPr>
            <w:tcW w:w="8200" w:type="dxa"/>
            <w:vAlign w:val="bottom"/>
            <w:gridSpan w:val="3"/>
          </w:tcPr>
          <w:p>
            <w:pPr>
              <w:spacing w:after="0"/>
              <w:rPr>
                <w:sz w:val="20"/>
                <w:szCs w:val="20"/>
                <w:color w:val="auto"/>
              </w:rPr>
            </w:pPr>
            <w:r>
              <w:rPr>
                <w:rFonts w:ascii="Arial" w:cs="Arial" w:eastAsia="Arial" w:hAnsi="Arial"/>
                <w:sz w:val="16"/>
                <w:szCs w:val="16"/>
                <w:color w:val="auto"/>
              </w:rPr>
              <w:t>Accrued compensation</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16,265</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22,159</w:t>
            </w:r>
          </w:p>
        </w:tc>
        <w:tc>
          <w:tcPr>
            <w:tcW w:w="0" w:type="dxa"/>
            <w:vAlign w:val="bottom"/>
          </w:tcPr>
          <w:p>
            <w:pPr>
              <w:spacing w:after="0"/>
              <w:rPr>
                <w:sz w:val="1"/>
                <w:szCs w:val="1"/>
                <w:color w:val="auto"/>
              </w:rPr>
            </w:pPr>
          </w:p>
        </w:tc>
      </w:tr>
      <w:tr>
        <w:trPr>
          <w:trHeight w:val="209"/>
        </w:trPr>
        <w:tc>
          <w:tcPr>
            <w:tcW w:w="8200" w:type="dxa"/>
            <w:vAlign w:val="bottom"/>
            <w:gridSpan w:val="3"/>
          </w:tcPr>
          <w:p>
            <w:pPr>
              <w:spacing w:after="0"/>
              <w:rPr>
                <w:sz w:val="20"/>
                <w:szCs w:val="20"/>
                <w:color w:val="auto"/>
              </w:rPr>
            </w:pPr>
            <w:r>
              <w:rPr>
                <w:rFonts w:ascii="Arial" w:cs="Arial" w:eastAsia="Arial" w:hAnsi="Arial"/>
                <w:sz w:val="16"/>
                <w:szCs w:val="16"/>
                <w:color w:val="auto"/>
              </w:rPr>
              <w:t>Income taxes payable</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5,651</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106,662</w:t>
            </w:r>
          </w:p>
        </w:tc>
        <w:tc>
          <w:tcPr>
            <w:tcW w:w="0" w:type="dxa"/>
            <w:vAlign w:val="bottom"/>
          </w:tcPr>
          <w:p>
            <w:pPr>
              <w:spacing w:after="0"/>
              <w:rPr>
                <w:sz w:val="1"/>
                <w:szCs w:val="1"/>
                <w:color w:val="auto"/>
              </w:rPr>
            </w:pPr>
          </w:p>
        </w:tc>
      </w:tr>
      <w:tr>
        <w:trPr>
          <w:trHeight w:val="217"/>
        </w:trPr>
        <w:tc>
          <w:tcPr>
            <w:tcW w:w="8200" w:type="dxa"/>
            <w:vAlign w:val="bottom"/>
            <w:gridSpan w:val="3"/>
          </w:tcPr>
          <w:p>
            <w:pPr>
              <w:ind w:left="200"/>
              <w:spacing w:after="0"/>
              <w:rPr>
                <w:sz w:val="20"/>
                <w:szCs w:val="20"/>
                <w:color w:val="auto"/>
              </w:rPr>
            </w:pPr>
            <w:r>
              <w:rPr>
                <w:rFonts w:ascii="Arial" w:cs="Arial" w:eastAsia="Arial" w:hAnsi="Arial"/>
                <w:sz w:val="16"/>
                <w:szCs w:val="16"/>
                <w:color w:val="auto"/>
              </w:rPr>
              <w:t>Total current liabilities</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497,356</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514,189</w:t>
            </w:r>
          </w:p>
        </w:tc>
        <w:tc>
          <w:tcPr>
            <w:tcW w:w="0" w:type="dxa"/>
            <w:vAlign w:val="bottom"/>
          </w:tcPr>
          <w:p>
            <w:pPr>
              <w:spacing w:after="0"/>
              <w:rPr>
                <w:sz w:val="1"/>
                <w:szCs w:val="1"/>
                <w:color w:val="auto"/>
              </w:rPr>
            </w:pPr>
          </w:p>
        </w:tc>
      </w:tr>
      <w:tr>
        <w:trPr>
          <w:trHeight w:val="311"/>
        </w:trPr>
        <w:tc>
          <w:tcPr>
            <w:tcW w:w="8200" w:type="dxa"/>
            <w:vAlign w:val="bottom"/>
            <w:gridSpan w:val="3"/>
          </w:tcPr>
          <w:p>
            <w:pPr>
              <w:spacing w:after="0"/>
              <w:rPr>
                <w:sz w:val="20"/>
                <w:szCs w:val="20"/>
                <w:color w:val="auto"/>
              </w:rPr>
            </w:pPr>
            <w:r>
              <w:rPr>
                <w:rFonts w:ascii="Arial" w:cs="Arial" w:eastAsia="Arial" w:hAnsi="Arial"/>
                <w:sz w:val="16"/>
                <w:szCs w:val="16"/>
                <w:color w:val="auto"/>
              </w:rPr>
              <w:t>DEFERRED REVENUE</w:t>
            </w:r>
          </w:p>
        </w:tc>
        <w:tc>
          <w:tcPr>
            <w:tcW w:w="4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348,289</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351,590</w:t>
            </w:r>
          </w:p>
        </w:tc>
        <w:tc>
          <w:tcPr>
            <w:tcW w:w="0" w:type="dxa"/>
            <w:vAlign w:val="bottom"/>
          </w:tcPr>
          <w:p>
            <w:pPr>
              <w:spacing w:after="0"/>
              <w:rPr>
                <w:sz w:val="1"/>
                <w:szCs w:val="1"/>
                <w:color w:val="auto"/>
              </w:rPr>
            </w:pPr>
          </w:p>
        </w:tc>
      </w:tr>
      <w:tr>
        <w:trPr>
          <w:trHeight w:val="311"/>
        </w:trPr>
        <w:tc>
          <w:tcPr>
            <w:tcW w:w="8200" w:type="dxa"/>
            <w:vAlign w:val="bottom"/>
            <w:gridSpan w:val="3"/>
          </w:tcPr>
          <w:p>
            <w:pPr>
              <w:spacing w:after="0"/>
              <w:rPr>
                <w:sz w:val="20"/>
                <w:szCs w:val="20"/>
                <w:color w:val="auto"/>
              </w:rPr>
            </w:pPr>
            <w:r>
              <w:rPr>
                <w:rFonts w:ascii="Arial" w:cs="Arial" w:eastAsia="Arial" w:hAnsi="Arial"/>
                <w:sz w:val="16"/>
                <w:szCs w:val="16"/>
                <w:color w:val="auto"/>
              </w:rPr>
              <w:t>COMMITMENTS AND CONTINGENCIES (Note 11)</w:t>
            </w: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200" w:type="dxa"/>
            <w:vAlign w:val="bottom"/>
            <w:gridSpan w:val="3"/>
          </w:tcPr>
          <w:p>
            <w:pPr>
              <w:spacing w:after="0"/>
              <w:rPr>
                <w:sz w:val="20"/>
                <w:szCs w:val="20"/>
                <w:color w:val="auto"/>
              </w:rPr>
            </w:pPr>
            <w:r>
              <w:rPr>
                <w:rFonts w:ascii="Arial" w:cs="Arial" w:eastAsia="Arial" w:hAnsi="Arial"/>
                <w:sz w:val="16"/>
                <w:szCs w:val="16"/>
                <w:color w:val="auto"/>
              </w:rPr>
              <w:t>STOCKHOLDERS’ EQUITY:</w:t>
            </w: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8200" w:type="dxa"/>
            <w:vAlign w:val="bottom"/>
            <w:gridSpan w:val="3"/>
          </w:tcPr>
          <w:p>
            <w:pPr>
              <w:spacing w:after="0"/>
              <w:rPr>
                <w:sz w:val="20"/>
                <w:szCs w:val="20"/>
                <w:color w:val="auto"/>
              </w:rPr>
            </w:pPr>
            <w:r>
              <w:rPr>
                <w:rFonts w:ascii="Arial" w:cs="Arial" w:eastAsia="Arial" w:hAnsi="Arial"/>
                <w:sz w:val="16"/>
                <w:szCs w:val="16"/>
                <w:color w:val="auto"/>
              </w:rPr>
              <w:t>Common stock - $0.005 par value; 240,000 shares authorized;</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200" w:type="dxa"/>
            <w:vAlign w:val="bottom"/>
            <w:gridSpan w:val="3"/>
          </w:tcPr>
          <w:p>
            <w:pPr>
              <w:ind w:left="140"/>
              <w:spacing w:after="0"/>
              <w:rPr>
                <w:sz w:val="20"/>
                <w:szCs w:val="20"/>
                <w:color w:val="auto"/>
              </w:rPr>
            </w:pPr>
            <w:r>
              <w:rPr>
                <w:rFonts w:ascii="Arial" w:cs="Arial" w:eastAsia="Arial" w:hAnsi="Arial"/>
                <w:sz w:val="16"/>
                <w:szCs w:val="16"/>
                <w:color w:val="auto"/>
              </w:rPr>
              <w:t>207,298 shares issued and 190,341 outstanding as of June 30, 2016;</w:t>
            </w: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200" w:type="dxa"/>
            <w:vAlign w:val="bottom"/>
            <w:gridSpan w:val="3"/>
          </w:tcPr>
          <w:p>
            <w:pPr>
              <w:ind w:left="140"/>
              <w:spacing w:after="0"/>
              <w:rPr>
                <w:sz w:val="20"/>
                <w:szCs w:val="20"/>
                <w:color w:val="auto"/>
              </w:rPr>
            </w:pPr>
            <w:r>
              <w:rPr>
                <w:rFonts w:ascii="Arial" w:cs="Arial" w:eastAsia="Arial" w:hAnsi="Arial"/>
                <w:sz w:val="16"/>
                <w:szCs w:val="16"/>
                <w:color w:val="auto"/>
              </w:rPr>
              <w:t>207,019 shares issued and 202,900 outstanding as of December 31, 2015</w:t>
            </w:r>
          </w:p>
        </w:tc>
        <w:tc>
          <w:tcPr>
            <w:tcW w:w="4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1,036</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1,035</w:t>
            </w:r>
          </w:p>
        </w:tc>
        <w:tc>
          <w:tcPr>
            <w:tcW w:w="0" w:type="dxa"/>
            <w:vAlign w:val="bottom"/>
          </w:tcPr>
          <w:p>
            <w:pPr>
              <w:spacing w:after="0"/>
              <w:rPr>
                <w:sz w:val="1"/>
                <w:szCs w:val="1"/>
                <w:color w:val="auto"/>
              </w:rPr>
            </w:pPr>
          </w:p>
        </w:tc>
      </w:tr>
      <w:tr>
        <w:trPr>
          <w:trHeight w:val="216"/>
        </w:trPr>
        <w:tc>
          <w:tcPr>
            <w:tcW w:w="8200" w:type="dxa"/>
            <w:vAlign w:val="bottom"/>
            <w:gridSpan w:val="3"/>
          </w:tcPr>
          <w:p>
            <w:pPr>
              <w:spacing w:after="0"/>
              <w:rPr>
                <w:sz w:val="20"/>
                <w:szCs w:val="20"/>
                <w:color w:val="auto"/>
              </w:rPr>
            </w:pPr>
            <w:r>
              <w:rPr>
                <w:rFonts w:ascii="Arial" w:cs="Arial" w:eastAsia="Arial" w:hAnsi="Arial"/>
                <w:sz w:val="16"/>
                <w:szCs w:val="16"/>
                <w:color w:val="auto"/>
              </w:rPr>
              <w:t>Additional paid-in capital</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4,021,613</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3,991,857</w:t>
            </w:r>
          </w:p>
        </w:tc>
        <w:tc>
          <w:tcPr>
            <w:tcW w:w="0" w:type="dxa"/>
            <w:vAlign w:val="bottom"/>
          </w:tcPr>
          <w:p>
            <w:pPr>
              <w:spacing w:after="0"/>
              <w:rPr>
                <w:sz w:val="1"/>
                <w:szCs w:val="1"/>
                <w:color w:val="auto"/>
              </w:rPr>
            </w:pPr>
          </w:p>
        </w:tc>
      </w:tr>
      <w:tr>
        <w:trPr>
          <w:trHeight w:val="216"/>
        </w:trPr>
        <w:tc>
          <w:tcPr>
            <w:tcW w:w="8200" w:type="dxa"/>
            <w:vAlign w:val="bottom"/>
            <w:gridSpan w:val="3"/>
          </w:tcPr>
          <w:p>
            <w:pPr>
              <w:spacing w:after="0"/>
              <w:rPr>
                <w:sz w:val="20"/>
                <w:szCs w:val="20"/>
                <w:color w:val="auto"/>
              </w:rPr>
            </w:pPr>
            <w:r>
              <w:rPr>
                <w:rFonts w:ascii="Arial" w:cs="Arial" w:eastAsia="Arial" w:hAnsi="Arial"/>
                <w:sz w:val="16"/>
                <w:szCs w:val="16"/>
                <w:color w:val="auto"/>
              </w:rPr>
              <w:t>Retained earnings</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1,742,960</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1,394,863</w:t>
            </w:r>
          </w:p>
        </w:tc>
        <w:tc>
          <w:tcPr>
            <w:tcW w:w="0" w:type="dxa"/>
            <w:vAlign w:val="bottom"/>
          </w:tcPr>
          <w:p>
            <w:pPr>
              <w:spacing w:after="0"/>
              <w:rPr>
                <w:sz w:val="1"/>
                <w:szCs w:val="1"/>
                <w:color w:val="auto"/>
              </w:rPr>
            </w:pPr>
          </w:p>
        </w:tc>
      </w:tr>
      <w:tr>
        <w:trPr>
          <w:trHeight w:val="216"/>
        </w:trPr>
        <w:tc>
          <w:tcPr>
            <w:tcW w:w="8200" w:type="dxa"/>
            <w:vAlign w:val="bottom"/>
            <w:gridSpan w:val="3"/>
          </w:tcPr>
          <w:p>
            <w:pPr>
              <w:spacing w:after="0"/>
              <w:rPr>
                <w:sz w:val="20"/>
                <w:szCs w:val="20"/>
                <w:color w:val="auto"/>
              </w:rPr>
            </w:pPr>
            <w:r>
              <w:rPr>
                <w:rFonts w:ascii="Arial" w:cs="Arial" w:eastAsia="Arial" w:hAnsi="Arial"/>
                <w:sz w:val="16"/>
                <w:szCs w:val="16"/>
                <w:color w:val="auto"/>
              </w:rPr>
              <w:t>Accumulated other comprehensive loss</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(14,477)</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(21,878)</w:t>
            </w:r>
          </w:p>
        </w:tc>
        <w:tc>
          <w:tcPr>
            <w:tcW w:w="0" w:type="dxa"/>
            <w:vAlign w:val="bottom"/>
          </w:tcPr>
          <w:p>
            <w:pPr>
              <w:spacing w:after="0"/>
              <w:rPr>
                <w:sz w:val="1"/>
                <w:szCs w:val="1"/>
                <w:color w:val="auto"/>
              </w:rPr>
            </w:pPr>
          </w:p>
        </w:tc>
      </w:tr>
      <w:tr>
        <w:trPr>
          <w:trHeight w:val="212"/>
        </w:trPr>
        <w:tc>
          <w:tcPr>
            <w:tcW w:w="8200" w:type="dxa"/>
            <w:vAlign w:val="bottom"/>
            <w:gridSpan w:val="3"/>
          </w:tcPr>
          <w:p>
            <w:pPr>
              <w:spacing w:after="0"/>
              <w:rPr>
                <w:sz w:val="20"/>
                <w:szCs w:val="20"/>
                <w:color w:val="auto"/>
              </w:rPr>
            </w:pPr>
            <w:r>
              <w:rPr>
                <w:rFonts w:ascii="Arial" w:cs="Arial" w:eastAsia="Arial" w:hAnsi="Arial"/>
                <w:sz w:val="16"/>
                <w:szCs w:val="16"/>
                <w:color w:val="auto"/>
              </w:rPr>
              <w:t>Common stock in treasury, at cost; 16,957 shares and 4,119 shares as of June 30, 2016 and December 31, 2015,</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8200" w:type="dxa"/>
            <w:vAlign w:val="bottom"/>
            <w:gridSpan w:val="3"/>
          </w:tcPr>
          <w:p>
            <w:pPr>
              <w:ind w:left="140"/>
              <w:spacing w:after="0"/>
              <w:rPr>
                <w:sz w:val="20"/>
                <w:szCs w:val="20"/>
                <w:color w:val="auto"/>
              </w:rPr>
            </w:pPr>
            <w:r>
              <w:rPr>
                <w:rFonts w:ascii="Arial" w:cs="Arial" w:eastAsia="Arial" w:hAnsi="Arial"/>
                <w:sz w:val="16"/>
                <w:szCs w:val="16"/>
                <w:color w:val="auto"/>
              </w:rPr>
              <w:t>respectively</w:t>
            </w: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(2,558,721)</w:t>
            </w:r>
          </w:p>
        </w:tc>
        <w:tc>
          <w:tcPr>
            <w:tcW w:w="2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(556,467)</w:t>
            </w:r>
          </w:p>
        </w:tc>
        <w:tc>
          <w:tcPr>
            <w:tcW w:w="0" w:type="dxa"/>
            <w:vAlign w:val="bottom"/>
          </w:tcPr>
          <w:p>
            <w:pPr>
              <w:spacing w:after="0"/>
              <w:rPr>
                <w:sz w:val="1"/>
                <w:szCs w:val="1"/>
                <w:color w:val="auto"/>
              </w:rPr>
            </w:pPr>
          </w:p>
        </w:tc>
      </w:tr>
      <w:tr>
        <w:trPr>
          <w:trHeight w:val="210"/>
        </w:trPr>
        <w:tc>
          <w:tcPr>
            <w:tcW w:w="8200" w:type="dxa"/>
            <w:vAlign w:val="bottom"/>
            <w:gridSpan w:val="3"/>
          </w:tcPr>
          <w:p>
            <w:pPr>
              <w:ind w:left="200"/>
              <w:spacing w:after="0"/>
              <w:rPr>
                <w:sz w:val="20"/>
                <w:szCs w:val="20"/>
                <w:color w:val="auto"/>
              </w:rPr>
            </w:pPr>
            <w:r>
              <w:rPr>
                <w:rFonts w:ascii="Arial" w:cs="Arial" w:eastAsia="Arial" w:hAnsi="Arial"/>
                <w:sz w:val="16"/>
                <w:szCs w:val="16"/>
                <w:color w:val="auto"/>
              </w:rPr>
              <w:t>Total stockholders’ equity</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3,192,411</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4,809,410</w:t>
            </w:r>
          </w:p>
        </w:tc>
        <w:tc>
          <w:tcPr>
            <w:tcW w:w="0" w:type="dxa"/>
            <w:vAlign w:val="bottom"/>
          </w:tcPr>
          <w:p>
            <w:pPr>
              <w:spacing w:after="0"/>
              <w:rPr>
                <w:sz w:val="1"/>
                <w:szCs w:val="1"/>
                <w:color w:val="auto"/>
              </w:rPr>
            </w:pPr>
          </w:p>
        </w:tc>
      </w:tr>
      <w:tr>
        <w:trPr>
          <w:trHeight w:val="210"/>
        </w:trPr>
        <w:tc>
          <w:tcPr>
            <w:tcW w:w="2200" w:type="dxa"/>
            <w:vAlign w:val="bottom"/>
          </w:tcPr>
          <w:p>
            <w:pPr>
              <w:spacing w:after="0"/>
              <w:rPr>
                <w:sz w:val="18"/>
                <w:szCs w:val="18"/>
                <w:color w:val="auto"/>
              </w:rPr>
            </w:pPr>
          </w:p>
        </w:tc>
        <w:tc>
          <w:tcPr>
            <w:tcW w:w="6000" w:type="dxa"/>
            <w:vAlign w:val="bottom"/>
            <w:gridSpan w:val="2"/>
          </w:tcPr>
          <w:p>
            <w:pPr>
              <w:jc w:val="center"/>
              <w:ind w:right="2500"/>
              <w:spacing w:after="0"/>
              <w:rPr>
                <w:sz w:val="20"/>
                <w:szCs w:val="20"/>
                <w:color w:val="auto"/>
              </w:rPr>
            </w:pPr>
            <w:r>
              <w:rPr>
                <w:rFonts w:ascii="Arial" w:cs="Arial" w:eastAsia="Arial" w:hAnsi="Arial"/>
                <w:sz w:val="16"/>
                <w:szCs w:val="16"/>
                <w:b w:val="1"/>
                <w:bCs w:val="1"/>
                <w:color w:val="auto"/>
                <w:w w:val="92"/>
              </w:rPr>
              <w:t>Total Liabilities and Stockholders’ Equity</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4,038,056</w:t>
            </w:r>
          </w:p>
        </w:tc>
        <w:tc>
          <w:tcPr>
            <w:tcW w:w="280" w:type="dxa"/>
            <w:vAlign w:val="bottom"/>
          </w:tcPr>
          <w:p>
            <w:pPr>
              <w:spacing w:after="0"/>
              <w:rPr>
                <w:sz w:val="18"/>
                <w:szCs w:val="18"/>
                <w:color w:val="auto"/>
              </w:rPr>
            </w:pP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5,675,189</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CONDENSED CONSOLIDATED STATEMENTS OF INCOME</w:t>
      </w:r>
    </w:p>
    <w:p>
      <w:pPr>
        <w:ind w:right="4940"/>
        <w:spacing w:after="0" w:line="244" w:lineRule="auto"/>
        <w:rPr>
          <w:sz w:val="20"/>
          <w:szCs w:val="20"/>
          <w:color w:val="auto"/>
        </w:rPr>
      </w:pPr>
      <w:r>
        <w:rPr>
          <w:rFonts w:ascii="Arial" w:cs="Arial" w:eastAsia="Arial" w:hAnsi="Arial"/>
          <w:sz w:val="20"/>
          <w:szCs w:val="20"/>
          <w:b w:val="1"/>
          <w:bCs w:val="1"/>
          <w:color w:val="auto"/>
        </w:rPr>
        <w:t>FOR THE THREE- AND SIX-MONTHS ENDED JUNE 30, 2016 AND 2015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6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Three-Months Ended</w:t>
            </w:r>
          </w:p>
        </w:tc>
        <w:tc>
          <w:tcPr>
            <w:tcW w:w="300" w:type="dxa"/>
            <w:vAlign w:val="bottom"/>
          </w:tcPr>
          <w:p>
            <w:pPr>
              <w:spacing w:after="0"/>
              <w:rPr>
                <w:sz w:val="18"/>
                <w:szCs w:val="18"/>
                <w:color w:val="auto"/>
              </w:rPr>
            </w:pPr>
          </w:p>
        </w:tc>
        <w:tc>
          <w:tcPr>
            <w:tcW w:w="236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Six-Months Ended</w:t>
            </w:r>
          </w:p>
        </w:tc>
        <w:tc>
          <w:tcPr>
            <w:tcW w:w="0" w:type="dxa"/>
            <w:vAlign w:val="bottom"/>
          </w:tcPr>
          <w:p>
            <w:pPr>
              <w:spacing w:after="0"/>
              <w:rPr>
                <w:sz w:val="1"/>
                <w:szCs w:val="1"/>
                <w:color w:val="auto"/>
              </w:rPr>
            </w:pPr>
          </w:p>
        </w:tc>
      </w:tr>
      <w:tr>
        <w:trPr>
          <w:trHeight w:val="234"/>
        </w:trPr>
        <w:tc>
          <w:tcPr>
            <w:tcW w:w="57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426"/>
        </w:trPr>
        <w:tc>
          <w:tcPr>
            <w:tcW w:w="5780" w:type="dxa"/>
            <w:vAlign w:val="bottom"/>
          </w:tcPr>
          <w:p>
            <w:pPr>
              <w:spacing w:after="0"/>
              <w:rPr>
                <w:sz w:val="20"/>
                <w:szCs w:val="20"/>
                <w:color w:val="auto"/>
              </w:rPr>
            </w:pPr>
            <w:r>
              <w:rPr>
                <w:rFonts w:ascii="Arial" w:cs="Arial" w:eastAsia="Arial" w:hAnsi="Arial"/>
                <w:sz w:val="18"/>
                <w:szCs w:val="18"/>
                <w:color w:val="auto"/>
              </w:rPr>
              <w:t>NET SALES</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827,488</w:t>
            </w:r>
          </w:p>
        </w:tc>
        <w:tc>
          <w:tcPr>
            <w:tcW w:w="180" w:type="dxa"/>
            <w:vAlign w:val="bottom"/>
          </w:tcPr>
          <w:p>
            <w:pPr>
              <w:spacing w:after="0"/>
              <w:rPr>
                <w:sz w:val="24"/>
                <w:szCs w:val="24"/>
                <w:color w:val="auto"/>
              </w:rPr>
            </w:pP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693,722</w:t>
            </w:r>
          </w:p>
        </w:tc>
        <w:tc>
          <w:tcPr>
            <w:tcW w:w="180" w:type="dxa"/>
            <w:vAlign w:val="bottom"/>
          </w:tcPr>
          <w:p>
            <w:pPr>
              <w:spacing w:after="0"/>
              <w:rPr>
                <w:sz w:val="24"/>
                <w:szCs w:val="24"/>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1,507,674</w:t>
            </w:r>
          </w:p>
        </w:tc>
        <w:tc>
          <w:tcPr>
            <w:tcW w:w="180" w:type="dxa"/>
            <w:vAlign w:val="bottom"/>
          </w:tcPr>
          <w:p>
            <w:pPr>
              <w:spacing w:after="0"/>
              <w:rPr>
                <w:sz w:val="24"/>
                <w:szCs w:val="24"/>
                <w:color w:val="auto"/>
              </w:rPr>
            </w:pP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1,320,512</w:t>
            </w:r>
          </w:p>
        </w:tc>
        <w:tc>
          <w:tcPr>
            <w:tcW w:w="0" w:type="dxa"/>
            <w:vAlign w:val="bottom"/>
          </w:tcPr>
          <w:p>
            <w:pPr>
              <w:spacing w:after="0"/>
              <w:rPr>
                <w:sz w:val="1"/>
                <w:szCs w:val="1"/>
                <w:color w:val="auto"/>
              </w:rPr>
            </w:pPr>
          </w:p>
        </w:tc>
      </w:tr>
      <w:tr>
        <w:trPr>
          <w:trHeight w:val="432"/>
        </w:trPr>
        <w:tc>
          <w:tcPr>
            <w:tcW w:w="5780" w:type="dxa"/>
            <w:vAlign w:val="bottom"/>
          </w:tcPr>
          <w:p>
            <w:pPr>
              <w:spacing w:after="0"/>
              <w:rPr>
                <w:sz w:val="20"/>
                <w:szCs w:val="20"/>
                <w:color w:val="auto"/>
              </w:rPr>
            </w:pPr>
            <w:r>
              <w:rPr>
                <w:rFonts w:ascii="Arial" w:cs="Arial" w:eastAsia="Arial" w:hAnsi="Arial"/>
                <w:sz w:val="18"/>
                <w:szCs w:val="18"/>
                <w:color w:val="auto"/>
              </w:rPr>
              <w:t>COST OF SALES</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309,674</w:t>
            </w:r>
          </w:p>
        </w:tc>
        <w:tc>
          <w:tcPr>
            <w:tcW w:w="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299,214</w:t>
            </w:r>
          </w:p>
        </w:tc>
        <w:tc>
          <w:tcPr>
            <w:tcW w:w="1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566,762</w:t>
            </w: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557,048</w:t>
            </w:r>
          </w:p>
        </w:tc>
        <w:tc>
          <w:tcPr>
            <w:tcW w:w="0" w:type="dxa"/>
            <w:vAlign w:val="bottom"/>
          </w:tcPr>
          <w:p>
            <w:pPr>
              <w:spacing w:after="0"/>
              <w:rPr>
                <w:sz w:val="1"/>
                <w:szCs w:val="1"/>
                <w:color w:val="auto"/>
              </w:rPr>
            </w:pPr>
          </w:p>
        </w:tc>
      </w:tr>
      <w:tr>
        <w:trPr>
          <w:trHeight w:val="426"/>
        </w:trPr>
        <w:tc>
          <w:tcPr>
            <w:tcW w:w="5780" w:type="dxa"/>
            <w:vAlign w:val="bottom"/>
          </w:tcPr>
          <w:p>
            <w:pPr>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517,814</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394,508</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940,912</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763,464</w:t>
            </w:r>
          </w:p>
        </w:tc>
        <w:tc>
          <w:tcPr>
            <w:tcW w:w="0" w:type="dxa"/>
            <w:vAlign w:val="bottom"/>
          </w:tcPr>
          <w:p>
            <w:pPr>
              <w:spacing w:after="0"/>
              <w:rPr>
                <w:sz w:val="1"/>
                <w:szCs w:val="1"/>
                <w:color w:val="auto"/>
              </w:rPr>
            </w:pPr>
          </w:p>
        </w:tc>
      </w:tr>
      <w:tr>
        <w:trPr>
          <w:trHeight w:val="432"/>
        </w:trPr>
        <w:tc>
          <w:tcPr>
            <w:tcW w:w="5780" w:type="dxa"/>
            <w:vAlign w:val="bottom"/>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229,291</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189,839</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397,675</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551,167</w:t>
            </w:r>
          </w:p>
        </w:tc>
        <w:tc>
          <w:tcPr>
            <w:tcW w:w="0" w:type="dxa"/>
            <w:vAlign w:val="bottom"/>
          </w:tcPr>
          <w:p>
            <w:pPr>
              <w:spacing w:after="0"/>
              <w:rPr>
                <w:sz w:val="1"/>
                <w:szCs w:val="1"/>
                <w:color w:val="auto"/>
              </w:rPr>
            </w:pPr>
          </w:p>
        </w:tc>
      </w:tr>
      <w:tr>
        <w:trPr>
          <w:trHeight w:val="432"/>
        </w:trPr>
        <w:tc>
          <w:tcPr>
            <w:tcW w:w="5780" w:type="dxa"/>
            <w:vAlign w:val="bottom"/>
          </w:tcPr>
          <w:p>
            <w:pPr>
              <w:spacing w:after="0"/>
              <w:rPr>
                <w:sz w:val="20"/>
                <w:szCs w:val="20"/>
                <w:color w:val="auto"/>
              </w:rPr>
            </w:pPr>
            <w:r>
              <w:rPr>
                <w:rFonts w:ascii="Arial" w:cs="Arial" w:eastAsia="Arial" w:hAnsi="Arial"/>
                <w:sz w:val="18"/>
                <w:szCs w:val="18"/>
                <w:color w:val="auto"/>
              </w:rPr>
              <w:t>GAIN ON SALE OF MONSTER NON-ENERGY</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161,470</w:t>
            </w:r>
          </w:p>
        </w:tc>
        <w:tc>
          <w:tcPr>
            <w:tcW w:w="1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161,470</w:t>
            </w:r>
          </w:p>
        </w:tc>
        <w:tc>
          <w:tcPr>
            <w:tcW w:w="0" w:type="dxa"/>
            <w:vAlign w:val="bottom"/>
          </w:tcPr>
          <w:p>
            <w:pPr>
              <w:spacing w:after="0"/>
              <w:rPr>
                <w:sz w:val="1"/>
                <w:szCs w:val="1"/>
                <w:color w:val="auto"/>
              </w:rPr>
            </w:pPr>
          </w:p>
        </w:tc>
      </w:tr>
      <w:tr>
        <w:trPr>
          <w:trHeight w:val="426"/>
        </w:trPr>
        <w:tc>
          <w:tcPr>
            <w:tcW w:w="5780" w:type="dxa"/>
            <w:vAlign w:val="bottom"/>
          </w:tcPr>
          <w:p>
            <w:pPr>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288,523</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366,139</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543,237</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373,767</w:t>
            </w:r>
          </w:p>
        </w:tc>
        <w:tc>
          <w:tcPr>
            <w:tcW w:w="0" w:type="dxa"/>
            <w:vAlign w:val="bottom"/>
          </w:tcPr>
          <w:p>
            <w:pPr>
              <w:spacing w:after="0"/>
              <w:rPr>
                <w:sz w:val="1"/>
                <w:szCs w:val="1"/>
                <w:color w:val="auto"/>
              </w:rPr>
            </w:pPr>
          </w:p>
        </w:tc>
      </w:tr>
      <w:tr>
        <w:trPr>
          <w:trHeight w:val="432"/>
        </w:trPr>
        <w:tc>
          <w:tcPr>
            <w:tcW w:w="5780" w:type="dxa"/>
            <w:vAlign w:val="bottom"/>
          </w:tcPr>
          <w:p>
            <w:pPr>
              <w:spacing w:after="0"/>
              <w:rPr>
                <w:sz w:val="20"/>
                <w:szCs w:val="20"/>
                <w:color w:val="auto"/>
              </w:rPr>
            </w:pPr>
            <w:r>
              <w:rPr>
                <w:rFonts w:ascii="Arial" w:cs="Arial" w:eastAsia="Arial" w:hAnsi="Arial"/>
                <w:sz w:val="18"/>
                <w:szCs w:val="18"/>
                <w:color w:val="auto"/>
              </w:rPr>
              <w:t>INTEREST and OTHER (EXPENSE) INCOME, net</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1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426"/>
        </w:trPr>
        <w:tc>
          <w:tcPr>
            <w:tcW w:w="578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288,301</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365,124</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543,623</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373,985</w:t>
            </w:r>
          </w:p>
        </w:tc>
        <w:tc>
          <w:tcPr>
            <w:tcW w:w="0" w:type="dxa"/>
            <w:vAlign w:val="bottom"/>
          </w:tcPr>
          <w:p>
            <w:pPr>
              <w:spacing w:after="0"/>
              <w:rPr>
                <w:sz w:val="1"/>
                <w:szCs w:val="1"/>
                <w:color w:val="auto"/>
              </w:rPr>
            </w:pPr>
          </w:p>
        </w:tc>
      </w:tr>
      <w:tr>
        <w:trPr>
          <w:trHeight w:val="432"/>
        </w:trPr>
        <w:tc>
          <w:tcPr>
            <w:tcW w:w="57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104,082</w:t>
            </w:r>
          </w:p>
        </w:tc>
        <w:tc>
          <w:tcPr>
            <w:tcW w:w="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136,120</w:t>
            </w:r>
          </w:p>
        </w:tc>
        <w:tc>
          <w:tcPr>
            <w:tcW w:w="1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195,526</w:t>
            </w: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140,568</w:t>
            </w:r>
          </w:p>
        </w:tc>
        <w:tc>
          <w:tcPr>
            <w:tcW w:w="0" w:type="dxa"/>
            <w:vAlign w:val="bottom"/>
          </w:tcPr>
          <w:p>
            <w:pPr>
              <w:spacing w:after="0"/>
              <w:rPr>
                <w:sz w:val="1"/>
                <w:szCs w:val="1"/>
                <w:color w:val="auto"/>
              </w:rPr>
            </w:pPr>
          </w:p>
        </w:tc>
      </w:tr>
      <w:tr>
        <w:trPr>
          <w:trHeight w:val="426"/>
        </w:trPr>
        <w:tc>
          <w:tcPr>
            <w:tcW w:w="5780" w:type="dxa"/>
            <w:vAlign w:val="bottom"/>
          </w:tcPr>
          <w:p>
            <w:pPr>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184,219</w:t>
            </w:r>
          </w:p>
        </w:tc>
        <w:tc>
          <w:tcPr>
            <w:tcW w:w="180" w:type="dxa"/>
            <w:vAlign w:val="bottom"/>
          </w:tcPr>
          <w:p>
            <w:pPr>
              <w:spacing w:after="0"/>
              <w:rPr>
                <w:sz w:val="24"/>
                <w:szCs w:val="24"/>
                <w:color w:val="auto"/>
              </w:rPr>
            </w:pP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229,004</w:t>
            </w:r>
          </w:p>
        </w:tc>
        <w:tc>
          <w:tcPr>
            <w:tcW w:w="180" w:type="dxa"/>
            <w:vAlign w:val="bottom"/>
          </w:tcPr>
          <w:p>
            <w:pPr>
              <w:spacing w:after="0"/>
              <w:rPr>
                <w:sz w:val="24"/>
                <w:szCs w:val="24"/>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348,097</w:t>
            </w:r>
          </w:p>
        </w:tc>
        <w:tc>
          <w:tcPr>
            <w:tcW w:w="180" w:type="dxa"/>
            <w:vAlign w:val="bottom"/>
          </w:tcPr>
          <w:p>
            <w:pPr>
              <w:spacing w:after="0"/>
              <w:rPr>
                <w:sz w:val="24"/>
                <w:szCs w:val="24"/>
                <w:color w:val="auto"/>
              </w:rPr>
            </w:pP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233,417</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8"/>
                <w:szCs w:val="18"/>
                <w:color w:val="auto"/>
              </w:rPr>
              <w:t>NET INCOME PER COMMON SHARE:</w:t>
            </w: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7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0.92</w:t>
            </w:r>
          </w:p>
        </w:tc>
        <w:tc>
          <w:tcPr>
            <w:tcW w:w="180" w:type="dxa"/>
            <w:vAlign w:val="bottom"/>
          </w:tcPr>
          <w:p>
            <w:pPr>
              <w:spacing w:after="0"/>
              <w:rPr>
                <w:sz w:val="20"/>
                <w:szCs w:val="20"/>
                <w:color w:val="auto"/>
              </w:rPr>
            </w:pP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Pr>
          <w:p>
            <w:pPr>
              <w:spacing w:after="0"/>
              <w:rPr>
                <w:sz w:val="20"/>
                <w:szCs w:val="20"/>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80" w:type="dxa"/>
            <w:vAlign w:val="bottom"/>
          </w:tcPr>
          <w:p>
            <w:pPr>
              <w:spacing w:after="0"/>
              <w:rPr>
                <w:sz w:val="20"/>
                <w:szCs w:val="20"/>
                <w:color w:val="auto"/>
              </w:rPr>
            </w:pP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5780" w:type="dxa"/>
            <w:vAlign w:val="bottom"/>
            <w:vMerge w:val="restart"/>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8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0.90</w:t>
            </w:r>
          </w:p>
        </w:tc>
        <w:tc>
          <w:tcPr>
            <w:tcW w:w="180" w:type="dxa"/>
            <w:vAlign w:val="bottom"/>
          </w:tcPr>
          <w:p>
            <w:pPr>
              <w:spacing w:after="0"/>
              <w:rPr>
                <w:sz w:val="17"/>
                <w:szCs w:val="17"/>
                <w:color w:val="auto"/>
              </w:rPr>
            </w:pPr>
          </w:p>
        </w:tc>
        <w:tc>
          <w:tcPr>
            <w:tcW w:w="3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w:t>
            </w:r>
          </w:p>
        </w:tc>
        <w:tc>
          <w:tcPr>
            <w:tcW w:w="180" w:type="dxa"/>
            <w:vAlign w:val="bottom"/>
          </w:tcPr>
          <w:p>
            <w:pPr>
              <w:spacing w:after="0"/>
              <w:rPr>
                <w:sz w:val="17"/>
                <w:szCs w:val="17"/>
                <w:color w:val="auto"/>
              </w:rPr>
            </w:pPr>
          </w:p>
        </w:tc>
        <w:tc>
          <w:tcPr>
            <w:tcW w:w="3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1.69</w:t>
            </w:r>
          </w:p>
        </w:tc>
        <w:tc>
          <w:tcPr>
            <w:tcW w:w="180" w:type="dxa"/>
            <w:vAlign w:val="bottom"/>
          </w:tcPr>
          <w:p>
            <w:pPr>
              <w:spacing w:after="0"/>
              <w:rPr>
                <w:sz w:val="17"/>
                <w:szCs w:val="17"/>
                <w:color w:val="auto"/>
              </w:rPr>
            </w:pPr>
          </w:p>
        </w:tc>
        <w:tc>
          <w:tcPr>
            <w:tcW w:w="3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OF COMMON STOCK</w:t>
            </w: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7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80"/>
              <w:spacing w:after="0"/>
              <w:rPr>
                <w:sz w:val="20"/>
                <w:szCs w:val="20"/>
                <w:color w:val="auto"/>
              </w:rPr>
            </w:pPr>
            <w:r>
              <w:rPr>
                <w:rFonts w:ascii="Arial" w:cs="Arial" w:eastAsia="Arial" w:hAnsi="Arial"/>
                <w:sz w:val="18"/>
                <w:szCs w:val="18"/>
                <w:color w:val="auto"/>
              </w:rPr>
              <w:t>AND COMMON STOCK EQUIVALENTS: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200,979</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176,985</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201,962</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173,447</w:t>
            </w:r>
          </w:p>
        </w:tc>
        <w:tc>
          <w:tcPr>
            <w:tcW w:w="0" w:type="dxa"/>
            <w:vAlign w:val="bottom"/>
          </w:tcPr>
          <w:p>
            <w:pPr>
              <w:spacing w:after="0"/>
              <w:rPr>
                <w:sz w:val="1"/>
                <w:szCs w:val="1"/>
                <w:color w:val="auto"/>
              </w:rPr>
            </w:pPr>
          </w:p>
        </w:tc>
      </w:tr>
      <w:tr>
        <w:trPr>
          <w:trHeight w:val="20"/>
        </w:trPr>
        <w:tc>
          <w:tcPr>
            <w:tcW w:w="5780" w:type="dxa"/>
            <w:vAlign w:val="bottom"/>
            <w:vMerge w:val="restart"/>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8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204,968</w:t>
            </w:r>
          </w:p>
        </w:tc>
        <w:tc>
          <w:tcPr>
            <w:tcW w:w="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181,417</w:t>
            </w: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205,948</w:t>
            </w: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177,998</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30" w:right="239" w:bottom="0" w:gutter="0" w:footer="0" w:header="0"/>
        </w:sectPr>
      </w:pPr>
    </w:p>
    <w:bookmarkStart w:id="3" w:name="page4"/>
    <w:bookmarkEnd w:id="3"/>
    <w:p>
      <w:pPr>
        <w:spacing w:after="0" w:line="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020"/>
        <w:spacing w:after="0" w:line="241" w:lineRule="auto"/>
        <w:rPr>
          <w:sz w:val="20"/>
          <w:szCs w:val="20"/>
          <w:color w:val="auto"/>
        </w:rPr>
      </w:pPr>
      <w:r>
        <w:rPr>
          <w:rFonts w:ascii="Arial" w:cs="Arial" w:eastAsia="Arial" w:hAnsi="Arial"/>
          <w:sz w:val="20"/>
          <w:szCs w:val="20"/>
          <w:b w:val="1"/>
          <w:bCs w:val="1"/>
          <w:color w:val="auto"/>
        </w:rPr>
        <w:t>CONDENSED CONSOLIDATED STATEMENTS OF COMPREHENSIVE INCOME FOR THE THREE- AND SIX-MONTHS ENDED JUNE 30, 2016 AND 2015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80" w:type="dxa"/>
            <w:vAlign w:val="bottom"/>
            <w:gridSpan w:val="5"/>
          </w:tcPr>
          <w:p>
            <w:pPr>
              <w:ind w:left="220"/>
              <w:spacing w:after="0"/>
              <w:rPr>
                <w:sz w:val="20"/>
                <w:szCs w:val="20"/>
                <w:color w:val="auto"/>
              </w:rPr>
            </w:pPr>
            <w:r>
              <w:rPr>
                <w:rFonts w:ascii="Arial" w:cs="Arial" w:eastAsia="Arial" w:hAnsi="Arial"/>
                <w:sz w:val="20"/>
                <w:szCs w:val="20"/>
                <w:color w:val="auto"/>
              </w:rPr>
              <w:t>Three-Months Ended</w:t>
            </w:r>
          </w:p>
        </w:tc>
        <w:tc>
          <w:tcPr>
            <w:tcW w:w="300" w:type="dxa"/>
            <w:vAlign w:val="bottom"/>
          </w:tcPr>
          <w:p>
            <w:pPr>
              <w:spacing w:after="0"/>
              <w:rPr>
                <w:sz w:val="19"/>
                <w:szCs w:val="19"/>
                <w:color w:val="auto"/>
              </w:rPr>
            </w:pPr>
          </w:p>
        </w:tc>
        <w:tc>
          <w:tcPr>
            <w:tcW w:w="2400" w:type="dxa"/>
            <w:vAlign w:val="bottom"/>
            <w:gridSpan w:val="4"/>
          </w:tcPr>
          <w:p>
            <w:pPr>
              <w:jc w:val="right"/>
              <w:ind w:right="521"/>
              <w:spacing w:after="0"/>
              <w:rPr>
                <w:sz w:val="20"/>
                <w:szCs w:val="20"/>
                <w:color w:val="auto"/>
              </w:rPr>
            </w:pPr>
            <w:r>
              <w:rPr>
                <w:rFonts w:ascii="Arial" w:cs="Arial" w:eastAsia="Arial" w:hAnsi="Arial"/>
                <w:sz w:val="20"/>
                <w:szCs w:val="20"/>
                <w:color w:val="auto"/>
              </w:rPr>
              <w:t>Six-Months Ended</w:t>
            </w:r>
          </w:p>
        </w:tc>
        <w:tc>
          <w:tcPr>
            <w:tcW w:w="0" w:type="dxa"/>
            <w:vAlign w:val="bottom"/>
          </w:tcPr>
          <w:p>
            <w:pPr>
              <w:spacing w:after="0"/>
              <w:rPr>
                <w:sz w:val="1"/>
                <w:szCs w:val="1"/>
                <w:color w:val="auto"/>
              </w:rPr>
            </w:pPr>
          </w:p>
        </w:tc>
      </w:tr>
      <w:tr>
        <w:trPr>
          <w:trHeight w:val="246"/>
        </w:trPr>
        <w:tc>
          <w:tcPr>
            <w:tcW w:w="56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20"/>
                <w:szCs w:val="20"/>
                <w:color w:val="auto"/>
              </w:rPr>
              <w:t>June 30,</w:t>
            </w:r>
          </w:p>
        </w:tc>
        <w:tc>
          <w:tcPr>
            <w:tcW w:w="9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20"/>
                <w:szCs w:val="20"/>
                <w:color w:val="auto"/>
              </w:rPr>
              <w:t>June 30,</w:t>
            </w:r>
          </w:p>
        </w:tc>
        <w:tc>
          <w:tcPr>
            <w:tcW w:w="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620" w:type="dxa"/>
            <w:vAlign w:val="bottom"/>
            <w:vMerge w:val="restart"/>
          </w:tcPr>
          <w:p>
            <w:pPr>
              <w:spacing w:after="0"/>
              <w:rPr>
                <w:sz w:val="20"/>
                <w:szCs w:val="20"/>
                <w:color w:val="auto"/>
              </w:rPr>
            </w:pPr>
            <w:r>
              <w:rPr>
                <w:rFonts w:ascii="Arial" w:cs="Arial" w:eastAsia="Arial" w:hAnsi="Arial"/>
                <w:sz w:val="20"/>
                <w:szCs w:val="20"/>
                <w:color w:val="auto"/>
              </w:rPr>
              <w:t>Net income, as reported</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41"/>
              <w:spacing w:after="0" w:line="223" w:lineRule="exact"/>
              <w:rPr>
                <w:sz w:val="20"/>
                <w:szCs w:val="20"/>
                <w:color w:val="auto"/>
              </w:rPr>
            </w:pPr>
            <w:r>
              <w:rPr>
                <w:rFonts w:ascii="Arial" w:cs="Arial" w:eastAsia="Arial" w:hAnsi="Arial"/>
                <w:sz w:val="20"/>
                <w:szCs w:val="20"/>
                <w:color w:val="auto"/>
              </w:rPr>
              <w:t>2016</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41"/>
              <w:spacing w:after="0" w:line="223" w:lineRule="exact"/>
              <w:rPr>
                <w:sz w:val="20"/>
                <w:szCs w:val="20"/>
                <w:color w:val="auto"/>
              </w:rPr>
            </w:pPr>
            <w:r>
              <w:rPr>
                <w:rFonts w:ascii="Arial" w:cs="Arial" w:eastAsia="Arial" w:hAnsi="Arial"/>
                <w:sz w:val="20"/>
                <w:szCs w:val="20"/>
                <w:color w:val="auto"/>
              </w:rPr>
              <w:t>2015</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1"/>
              <w:spacing w:after="0" w:line="223" w:lineRule="exact"/>
              <w:rPr>
                <w:sz w:val="20"/>
                <w:szCs w:val="20"/>
                <w:color w:val="auto"/>
              </w:rPr>
            </w:pPr>
            <w:r>
              <w:rPr>
                <w:rFonts w:ascii="Arial" w:cs="Arial" w:eastAsia="Arial" w:hAnsi="Arial"/>
                <w:sz w:val="20"/>
                <w:szCs w:val="20"/>
                <w:color w:val="auto"/>
              </w:rPr>
              <w:t>2016</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1"/>
              <w:spacing w:after="0" w:line="223" w:lineRule="exact"/>
              <w:rPr>
                <w:sz w:val="20"/>
                <w:szCs w:val="20"/>
                <w:color w:val="auto"/>
              </w:rPr>
            </w:pPr>
            <w:r>
              <w:rPr>
                <w:rFonts w:ascii="Arial" w:cs="Arial" w:eastAsia="Arial" w:hAnsi="Arial"/>
                <w:sz w:val="20"/>
                <w:szCs w:val="20"/>
                <w:color w:val="auto"/>
              </w:rPr>
              <w:t>2015</w:t>
            </w:r>
          </w:p>
        </w:tc>
        <w:tc>
          <w:tcPr>
            <w:tcW w:w="0" w:type="dxa"/>
            <w:vAlign w:val="bottom"/>
          </w:tcPr>
          <w:p>
            <w:pPr>
              <w:spacing w:after="0"/>
              <w:rPr>
                <w:sz w:val="1"/>
                <w:szCs w:val="1"/>
                <w:color w:val="auto"/>
              </w:rPr>
            </w:pPr>
          </w:p>
        </w:tc>
      </w:tr>
      <w:tr>
        <w:trPr>
          <w:trHeight w:val="206"/>
        </w:trPr>
        <w:tc>
          <w:tcPr>
            <w:tcW w:w="5620" w:type="dxa"/>
            <w:vAlign w:val="bottom"/>
            <w:vMerge w:val="continue"/>
          </w:tcPr>
          <w:p>
            <w:pPr>
              <w:spacing w:after="0"/>
              <w:rPr>
                <w:sz w:val="17"/>
                <w:szCs w:val="17"/>
                <w:color w:val="auto"/>
              </w:rPr>
            </w:pPr>
          </w:p>
        </w:tc>
        <w:tc>
          <w:tcPr>
            <w:tcW w:w="320" w:type="dxa"/>
            <w:vAlign w:val="bottom"/>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940" w:type="dxa"/>
            <w:vAlign w:val="bottom"/>
          </w:tcPr>
          <w:p>
            <w:pPr>
              <w:jc w:val="right"/>
              <w:spacing w:after="0" w:line="207" w:lineRule="exact"/>
              <w:rPr>
                <w:sz w:val="20"/>
                <w:szCs w:val="20"/>
                <w:color w:val="auto"/>
              </w:rPr>
            </w:pPr>
            <w:r>
              <w:rPr>
                <w:rFonts w:ascii="Arial" w:cs="Arial" w:eastAsia="Arial" w:hAnsi="Arial"/>
                <w:sz w:val="20"/>
                <w:szCs w:val="20"/>
                <w:color w:val="auto"/>
              </w:rPr>
              <w:t>184,219</w:t>
            </w:r>
          </w:p>
        </w:tc>
        <w:tc>
          <w:tcPr>
            <w:tcW w:w="240" w:type="dxa"/>
            <w:vAlign w:val="bottom"/>
          </w:tcPr>
          <w:p>
            <w:pPr>
              <w:spacing w:after="0"/>
              <w:rPr>
                <w:sz w:val="17"/>
                <w:szCs w:val="17"/>
                <w:color w:val="auto"/>
              </w:rPr>
            </w:pPr>
          </w:p>
        </w:tc>
        <w:tc>
          <w:tcPr>
            <w:tcW w:w="32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940" w:type="dxa"/>
            <w:vAlign w:val="bottom"/>
          </w:tcPr>
          <w:p>
            <w:pPr>
              <w:jc w:val="right"/>
              <w:spacing w:after="0" w:line="207" w:lineRule="exact"/>
              <w:rPr>
                <w:sz w:val="20"/>
                <w:szCs w:val="20"/>
                <w:color w:val="auto"/>
              </w:rPr>
            </w:pPr>
            <w:r>
              <w:rPr>
                <w:rFonts w:ascii="Arial" w:cs="Arial" w:eastAsia="Arial" w:hAnsi="Arial"/>
                <w:sz w:val="20"/>
                <w:szCs w:val="20"/>
                <w:color w:val="auto"/>
              </w:rPr>
              <w:t>229,004</w:t>
            </w:r>
          </w:p>
        </w:tc>
        <w:tc>
          <w:tcPr>
            <w:tcW w:w="240" w:type="dxa"/>
            <w:vAlign w:val="bottom"/>
          </w:tcPr>
          <w:p>
            <w:pPr>
              <w:spacing w:after="0"/>
              <w:rPr>
                <w:sz w:val="17"/>
                <w:szCs w:val="17"/>
                <w:color w:val="auto"/>
              </w:rPr>
            </w:pPr>
          </w:p>
        </w:tc>
        <w:tc>
          <w:tcPr>
            <w:tcW w:w="300" w:type="dxa"/>
            <w:vAlign w:val="bottom"/>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940" w:type="dxa"/>
            <w:vAlign w:val="bottom"/>
          </w:tcPr>
          <w:p>
            <w:pPr>
              <w:jc w:val="right"/>
              <w:spacing w:after="0" w:line="207" w:lineRule="exact"/>
              <w:rPr>
                <w:sz w:val="20"/>
                <w:szCs w:val="20"/>
                <w:color w:val="auto"/>
              </w:rPr>
            </w:pPr>
            <w:r>
              <w:rPr>
                <w:rFonts w:ascii="Arial" w:cs="Arial" w:eastAsia="Arial" w:hAnsi="Arial"/>
                <w:sz w:val="20"/>
                <w:szCs w:val="20"/>
                <w:color w:val="auto"/>
              </w:rPr>
              <w:t>348,097</w:t>
            </w:r>
          </w:p>
        </w:tc>
        <w:tc>
          <w:tcPr>
            <w:tcW w:w="220" w:type="dxa"/>
            <w:vAlign w:val="bottom"/>
          </w:tcPr>
          <w:p>
            <w:pPr>
              <w:spacing w:after="0"/>
              <w:rPr>
                <w:sz w:val="17"/>
                <w:szCs w:val="17"/>
                <w:color w:val="auto"/>
              </w:rPr>
            </w:pPr>
          </w:p>
        </w:tc>
        <w:tc>
          <w:tcPr>
            <w:tcW w:w="320" w:type="dxa"/>
            <w:vAlign w:val="bottom"/>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920" w:type="dxa"/>
            <w:vAlign w:val="bottom"/>
          </w:tcPr>
          <w:p>
            <w:pPr>
              <w:jc w:val="right"/>
              <w:spacing w:after="0" w:line="207" w:lineRule="exact"/>
              <w:rPr>
                <w:sz w:val="20"/>
                <w:szCs w:val="20"/>
                <w:color w:val="auto"/>
              </w:rPr>
            </w:pPr>
            <w:r>
              <w:rPr>
                <w:rFonts w:ascii="Arial" w:cs="Arial" w:eastAsia="Arial" w:hAnsi="Arial"/>
                <w:sz w:val="20"/>
                <w:szCs w:val="20"/>
                <w:color w:val="auto"/>
              </w:rPr>
              <w:t>233,417</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20"/>
                <w:szCs w:val="20"/>
                <w:color w:val="auto"/>
              </w:rPr>
              <w:t>Other comprehensive income (loss):</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0"/>
              <w:spacing w:after="0"/>
              <w:rPr>
                <w:sz w:val="20"/>
                <w:szCs w:val="20"/>
                <w:color w:val="auto"/>
              </w:rPr>
            </w:pPr>
            <w:r>
              <w:rPr>
                <w:rFonts w:ascii="Arial" w:cs="Arial" w:eastAsia="Arial" w:hAnsi="Arial"/>
                <w:sz w:val="20"/>
                <w:szCs w:val="20"/>
                <w:color w:val="auto"/>
              </w:rPr>
              <w:t>Change in foreign currency translation adjustment</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966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2,360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7,401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(7,620)</w:t>
            </w:r>
          </w:p>
        </w:tc>
        <w:tc>
          <w:tcPr>
            <w:tcW w:w="0" w:type="dxa"/>
            <w:vAlign w:val="bottom"/>
          </w:tcPr>
          <w:p>
            <w:pPr>
              <w:spacing w:after="0"/>
              <w:rPr>
                <w:sz w:val="1"/>
                <w:szCs w:val="1"/>
                <w:color w:val="auto"/>
              </w:rPr>
            </w:pPr>
          </w:p>
        </w:tc>
      </w:tr>
      <w:tr>
        <w:trPr>
          <w:trHeight w:val="230"/>
        </w:trPr>
        <w:tc>
          <w:tcPr>
            <w:tcW w:w="5620" w:type="dxa"/>
            <w:vAlign w:val="bottom"/>
          </w:tcPr>
          <w:p>
            <w:pPr>
              <w:ind w:left="200"/>
              <w:spacing w:after="0"/>
              <w:rPr>
                <w:sz w:val="20"/>
                <w:szCs w:val="20"/>
                <w:color w:val="auto"/>
              </w:rPr>
            </w:pPr>
            <w:r>
              <w:rPr>
                <w:rFonts w:ascii="Arial" w:cs="Arial" w:eastAsia="Arial" w:hAnsi="Arial"/>
                <w:sz w:val="20"/>
                <w:szCs w:val="20"/>
                <w:color w:val="auto"/>
              </w:rPr>
              <w:t>Available-for-sale investments:</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520"/>
              <w:spacing w:after="0"/>
              <w:rPr>
                <w:sz w:val="20"/>
                <w:szCs w:val="20"/>
                <w:color w:val="auto"/>
              </w:rPr>
            </w:pPr>
            <w:r>
              <w:rPr>
                <w:rFonts w:ascii="Arial" w:cs="Arial" w:eastAsia="Arial" w:hAnsi="Arial"/>
                <w:sz w:val="20"/>
                <w:szCs w:val="20"/>
                <w:color w:val="auto"/>
              </w:rPr>
              <w:t>Change in net unrealized gains</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5620" w:type="dxa"/>
            <w:vAlign w:val="bottom"/>
          </w:tcPr>
          <w:p>
            <w:pPr>
              <w:ind w:left="520"/>
              <w:spacing w:after="0"/>
              <w:rPr>
                <w:sz w:val="20"/>
                <w:szCs w:val="20"/>
                <w:color w:val="auto"/>
              </w:rPr>
            </w:pPr>
            <w:r>
              <w:rPr>
                <w:rFonts w:ascii="Arial" w:cs="Arial" w:eastAsia="Arial" w:hAnsi="Arial"/>
                <w:sz w:val="20"/>
                <w:szCs w:val="20"/>
                <w:color w:val="auto"/>
              </w:rPr>
              <w:t>Reclassification adjustment for net gains included in net</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620" w:type="dxa"/>
            <w:vAlign w:val="bottom"/>
          </w:tcPr>
          <w:p>
            <w:pPr>
              <w:ind w:left="700"/>
              <w:spacing w:after="0"/>
              <w:rPr>
                <w:sz w:val="20"/>
                <w:szCs w:val="20"/>
                <w:color w:val="auto"/>
              </w:rPr>
            </w:pPr>
            <w:r>
              <w:rPr>
                <w:rFonts w:ascii="Arial" w:cs="Arial" w:eastAsia="Arial" w:hAnsi="Arial"/>
                <w:sz w:val="20"/>
                <w:szCs w:val="20"/>
                <w:color w:val="auto"/>
              </w:rPr>
              <w:t>income</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5620" w:type="dxa"/>
            <w:vAlign w:val="bottom"/>
          </w:tcPr>
          <w:p>
            <w:pPr>
              <w:ind w:left="520"/>
              <w:spacing w:after="0" w:line="213" w:lineRule="exact"/>
              <w:rPr>
                <w:sz w:val="20"/>
                <w:szCs w:val="20"/>
                <w:color w:val="auto"/>
              </w:rPr>
            </w:pPr>
            <w:r>
              <w:rPr>
                <w:rFonts w:ascii="Arial" w:cs="Arial" w:eastAsia="Arial" w:hAnsi="Arial"/>
                <w:sz w:val="20"/>
                <w:szCs w:val="20"/>
                <w:color w:val="auto"/>
              </w:rPr>
              <w:t>Net change in available-for-sale investments</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5620" w:type="dxa"/>
            <w:vAlign w:val="bottom"/>
          </w:tcPr>
          <w:p>
            <w:pPr>
              <w:spacing w:after="0" w:line="213" w:lineRule="exact"/>
              <w:rPr>
                <w:sz w:val="20"/>
                <w:szCs w:val="20"/>
                <w:color w:val="auto"/>
              </w:rPr>
            </w:pPr>
            <w:r>
              <w:rPr>
                <w:rFonts w:ascii="Arial" w:cs="Arial" w:eastAsia="Arial" w:hAnsi="Arial"/>
                <w:sz w:val="20"/>
                <w:szCs w:val="20"/>
                <w:color w:val="auto"/>
              </w:rPr>
              <w:t>Other comprehensive income (loss)</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966</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2,360</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7,401</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(7,620)</w:t>
            </w:r>
          </w:p>
        </w:tc>
        <w:tc>
          <w:tcPr>
            <w:tcW w:w="0" w:type="dxa"/>
            <w:vAlign w:val="bottom"/>
          </w:tcPr>
          <w:p>
            <w:pPr>
              <w:spacing w:after="0"/>
              <w:rPr>
                <w:sz w:val="1"/>
                <w:szCs w:val="1"/>
                <w:color w:val="auto"/>
              </w:rPr>
            </w:pPr>
          </w:p>
        </w:tc>
      </w:tr>
      <w:tr>
        <w:trPr>
          <w:trHeight w:val="230"/>
        </w:trPr>
        <w:tc>
          <w:tcPr>
            <w:tcW w:w="5620" w:type="dxa"/>
            <w:vAlign w:val="bottom"/>
          </w:tcPr>
          <w:p>
            <w:pPr>
              <w:spacing w:after="0" w:line="220" w:lineRule="exact"/>
              <w:rPr>
                <w:sz w:val="20"/>
                <w:szCs w:val="20"/>
                <w:color w:val="auto"/>
              </w:rPr>
            </w:pPr>
            <w:r>
              <w:rPr>
                <w:rFonts w:ascii="Arial" w:cs="Arial" w:eastAsia="Arial" w:hAnsi="Arial"/>
                <w:sz w:val="20"/>
                <w:szCs w:val="20"/>
                <w:color w:val="auto"/>
              </w:rPr>
              <w:t>Comprehensive income</w:t>
            </w:r>
          </w:p>
        </w:tc>
        <w:tc>
          <w:tcPr>
            <w:tcW w:w="3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185,185</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231,364</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355,498</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225,797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ind w:right="5360"/>
        <w:spacing w:after="0" w:line="248" w:lineRule="auto"/>
        <w:rPr>
          <w:sz w:val="20"/>
          <w:szCs w:val="20"/>
          <w:color w:val="auto"/>
        </w:rPr>
      </w:pPr>
      <w:r>
        <w:rPr>
          <w:rFonts w:ascii="Arial" w:cs="Arial" w:eastAsia="Arial" w:hAnsi="Arial"/>
          <w:sz w:val="20"/>
          <w:szCs w:val="20"/>
          <w:b w:val="1"/>
          <w:bCs w:val="1"/>
          <w:color w:val="auto"/>
        </w:rPr>
        <w:t>MONSTER BEVERAGE CORPORATION AND SUBSIDIARIES CONDENSED CONSOLIDATED STATEMENTS OF CASH FLOWS FOR THE SIX-MONTHS ENDED JUNE 30, 2016 AND 2015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4"/>
          </w:tcPr>
          <w:p>
            <w:pPr>
              <w:jc w:val="right"/>
              <w:ind w:right="1088"/>
              <w:spacing w:after="0"/>
              <w:rPr>
                <w:sz w:val="20"/>
                <w:szCs w:val="20"/>
                <w:color w:val="auto"/>
              </w:rPr>
            </w:pPr>
            <w:r>
              <w:rPr>
                <w:rFonts w:ascii="Arial" w:cs="Arial" w:eastAsia="Arial" w:hAnsi="Arial"/>
                <w:sz w:val="14"/>
                <w:szCs w:val="14"/>
                <w:b w:val="1"/>
                <w:bCs w:val="1"/>
                <w:color w:val="auto"/>
              </w:rPr>
              <w:t>Six-Months Ended</w:t>
            </w:r>
          </w:p>
        </w:tc>
        <w:tc>
          <w:tcPr>
            <w:tcW w:w="0" w:type="dxa"/>
            <w:vAlign w:val="bottom"/>
          </w:tcPr>
          <w:p>
            <w:pPr>
              <w:spacing w:after="0"/>
              <w:rPr>
                <w:sz w:val="1"/>
                <w:szCs w:val="1"/>
                <w:color w:val="auto"/>
              </w:rPr>
            </w:pPr>
          </w:p>
        </w:tc>
      </w:tr>
      <w:tr>
        <w:trPr>
          <w:trHeight w:val="142"/>
        </w:trPr>
        <w:tc>
          <w:tcPr>
            <w:tcW w:w="7780" w:type="dxa"/>
            <w:vAlign w:val="bottom"/>
            <w:vMerge w:val="restart"/>
          </w:tcPr>
          <w:p>
            <w:pPr>
              <w:spacing w:after="0"/>
              <w:rPr>
                <w:sz w:val="20"/>
                <w:szCs w:val="20"/>
                <w:color w:val="auto"/>
              </w:rPr>
            </w:pPr>
            <w:r>
              <w:rPr>
                <w:rFonts w:ascii="Arial" w:cs="Arial" w:eastAsia="Arial" w:hAnsi="Arial"/>
                <w:sz w:val="14"/>
                <w:szCs w:val="14"/>
                <w:color w:val="auto"/>
              </w:rPr>
              <w:t>CASH FLOWS FROM OPERATING ACTIVITIES:</w:t>
            </w:r>
          </w:p>
        </w:tc>
        <w:tc>
          <w:tcPr>
            <w:tcW w:w="260" w:type="dxa"/>
            <w:vAlign w:val="bottom"/>
          </w:tcPr>
          <w:p>
            <w:pPr>
              <w:spacing w:after="0"/>
              <w:rPr>
                <w:sz w:val="12"/>
                <w:szCs w:val="12"/>
                <w:color w:val="auto"/>
              </w:rPr>
            </w:pPr>
          </w:p>
        </w:tc>
        <w:tc>
          <w:tcPr>
            <w:tcW w:w="160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June 30, 2016</w:t>
            </w:r>
          </w:p>
        </w:tc>
        <w:tc>
          <w:tcPr>
            <w:tcW w:w="260" w:type="dxa"/>
            <w:vAlign w:val="bottom"/>
          </w:tcPr>
          <w:p>
            <w:pPr>
              <w:spacing w:after="0"/>
              <w:rPr>
                <w:sz w:val="12"/>
                <w:szCs w:val="12"/>
                <w:color w:val="auto"/>
              </w:rPr>
            </w:pPr>
          </w:p>
        </w:tc>
        <w:tc>
          <w:tcPr>
            <w:tcW w:w="1340" w:type="dxa"/>
            <w:vAlign w:val="bottom"/>
          </w:tcPr>
          <w:p>
            <w:pPr>
              <w:jc w:val="right"/>
              <w:ind w:right="308"/>
              <w:spacing w:after="0" w:line="142" w:lineRule="exact"/>
              <w:rPr>
                <w:sz w:val="20"/>
                <w:szCs w:val="20"/>
                <w:color w:val="auto"/>
              </w:rPr>
            </w:pPr>
            <w:r>
              <w:rPr>
                <w:rFonts w:ascii="Arial" w:cs="Arial" w:eastAsia="Arial" w:hAnsi="Arial"/>
                <w:sz w:val="14"/>
                <w:szCs w:val="14"/>
                <w:b w:val="1"/>
                <w:bCs w:val="1"/>
                <w:color w:val="auto"/>
              </w:rPr>
              <w:t>June 30, 2015</w:t>
            </w:r>
          </w:p>
        </w:tc>
        <w:tc>
          <w:tcPr>
            <w:tcW w:w="0" w:type="dxa"/>
            <w:vAlign w:val="bottom"/>
          </w:tcPr>
          <w:p>
            <w:pPr>
              <w:spacing w:after="0"/>
              <w:rPr>
                <w:sz w:val="1"/>
                <w:szCs w:val="1"/>
                <w:color w:val="auto"/>
              </w:rPr>
            </w:pPr>
          </w:p>
        </w:tc>
      </w:tr>
      <w:tr>
        <w:trPr>
          <w:trHeight w:val="110"/>
        </w:trPr>
        <w:tc>
          <w:tcPr>
            <w:tcW w:w="7780" w:type="dxa"/>
            <w:vAlign w:val="bottom"/>
            <w:vMerge w:val="continue"/>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32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3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7780" w:type="dxa"/>
            <w:vAlign w:val="bottom"/>
          </w:tcPr>
          <w:p>
            <w:pPr>
              <w:spacing w:after="0"/>
              <w:rPr>
                <w:sz w:val="20"/>
                <w:szCs w:val="20"/>
                <w:color w:val="auto"/>
              </w:rPr>
            </w:pPr>
            <w:r>
              <w:rPr>
                <w:rFonts w:ascii="Arial" w:cs="Arial" w:eastAsia="Arial" w:hAnsi="Arial"/>
                <w:sz w:val="14"/>
                <w:szCs w:val="14"/>
                <w:color w:val="auto"/>
              </w:rPr>
              <w:t>Net income</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348,097</w:t>
            </w:r>
          </w:p>
        </w:tc>
        <w:tc>
          <w:tcPr>
            <w:tcW w:w="280" w:type="dxa"/>
            <w:vAlign w:val="bottom"/>
          </w:tcPr>
          <w:p>
            <w:pPr>
              <w:spacing w:after="0"/>
              <w:rPr>
                <w:sz w:val="16"/>
                <w:szCs w:val="16"/>
                <w:color w:val="auto"/>
              </w:rPr>
            </w:pP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233,417</w:t>
            </w:r>
          </w:p>
        </w:tc>
        <w:tc>
          <w:tcPr>
            <w:tcW w:w="0" w:type="dxa"/>
            <w:vAlign w:val="bottom"/>
          </w:tcPr>
          <w:p>
            <w:pPr>
              <w:spacing w:after="0"/>
              <w:rPr>
                <w:sz w:val="1"/>
                <w:szCs w:val="1"/>
                <w:color w:val="auto"/>
              </w:rPr>
            </w:pPr>
          </w:p>
        </w:tc>
      </w:tr>
      <w:tr>
        <w:trPr>
          <w:trHeight w:val="149"/>
        </w:trPr>
        <w:tc>
          <w:tcPr>
            <w:tcW w:w="7780" w:type="dxa"/>
            <w:vAlign w:val="bottom"/>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78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19,329</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13,249</w:t>
            </w:r>
          </w:p>
        </w:tc>
        <w:tc>
          <w:tcPr>
            <w:tcW w:w="0" w:type="dxa"/>
            <w:vAlign w:val="bottom"/>
          </w:tcPr>
          <w:p>
            <w:pPr>
              <w:spacing w:after="0"/>
              <w:rPr>
                <w:sz w:val="1"/>
                <w:szCs w:val="1"/>
                <w:color w:val="auto"/>
              </w:rPr>
            </w:pPr>
          </w:p>
        </w:tc>
      </w:tr>
      <w:tr>
        <w:trPr>
          <w:trHeight w:val="189"/>
        </w:trPr>
        <w:tc>
          <w:tcPr>
            <w:tcW w:w="7780" w:type="dxa"/>
            <w:vAlign w:val="bottom"/>
          </w:tcPr>
          <w:p>
            <w:pPr>
              <w:ind w:left="380"/>
              <w:spacing w:after="0"/>
              <w:rPr>
                <w:sz w:val="20"/>
                <w:szCs w:val="20"/>
                <w:color w:val="auto"/>
              </w:rPr>
            </w:pPr>
            <w:r>
              <w:rPr>
                <w:rFonts w:ascii="Arial" w:cs="Arial" w:eastAsia="Arial" w:hAnsi="Arial"/>
                <w:sz w:val="14"/>
                <w:szCs w:val="14"/>
                <w:color w:val="auto"/>
              </w:rPr>
              <w:t>Gain on disposal of property and equipment</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(120)</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89"/>
        </w:trPr>
        <w:tc>
          <w:tcPr>
            <w:tcW w:w="7780" w:type="dxa"/>
            <w:vAlign w:val="bottom"/>
          </w:tcPr>
          <w:p>
            <w:pPr>
              <w:ind w:left="380"/>
              <w:spacing w:after="0"/>
              <w:rPr>
                <w:sz w:val="20"/>
                <w:szCs w:val="20"/>
                <w:color w:val="auto"/>
              </w:rPr>
            </w:pPr>
            <w:r>
              <w:rPr>
                <w:rFonts w:ascii="Arial" w:cs="Arial" w:eastAsia="Arial" w:hAnsi="Arial"/>
                <w:sz w:val="14"/>
                <w:szCs w:val="14"/>
                <w:color w:val="auto"/>
              </w:rPr>
              <w:t>Gain on sale of Monster Non-Energy</w:t>
            </w:r>
          </w:p>
        </w:tc>
        <w:tc>
          <w:tcPr>
            <w:tcW w:w="26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(161,470)</w:t>
            </w:r>
          </w:p>
        </w:tc>
        <w:tc>
          <w:tcPr>
            <w:tcW w:w="0" w:type="dxa"/>
            <w:vAlign w:val="bottom"/>
          </w:tcPr>
          <w:p>
            <w:pPr>
              <w:spacing w:after="0"/>
              <w:rPr>
                <w:sz w:val="1"/>
                <w:szCs w:val="1"/>
                <w:color w:val="auto"/>
              </w:rPr>
            </w:pPr>
          </w:p>
        </w:tc>
      </w:tr>
      <w:tr>
        <w:trPr>
          <w:trHeight w:val="189"/>
        </w:trPr>
        <w:tc>
          <w:tcPr>
            <w:tcW w:w="7780" w:type="dxa"/>
            <w:vAlign w:val="bottom"/>
          </w:tcPr>
          <w:p>
            <w:pPr>
              <w:ind w:left="380"/>
              <w:spacing w:after="0"/>
              <w:rPr>
                <w:sz w:val="20"/>
                <w:szCs w:val="20"/>
                <w:color w:val="auto"/>
              </w:rPr>
            </w:pPr>
            <w:r>
              <w:rPr>
                <w:rFonts w:ascii="Arial" w:cs="Arial" w:eastAsia="Arial" w:hAnsi="Arial"/>
                <w:sz w:val="14"/>
                <w:szCs w:val="14"/>
                <w:color w:val="auto"/>
              </w:rPr>
              <w:t>Stock-based compensation</w:t>
            </w:r>
          </w:p>
        </w:tc>
        <w:tc>
          <w:tcPr>
            <w:tcW w:w="26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21,590</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14,837</w:t>
            </w:r>
          </w:p>
        </w:tc>
        <w:tc>
          <w:tcPr>
            <w:tcW w:w="0" w:type="dxa"/>
            <w:vAlign w:val="bottom"/>
          </w:tcPr>
          <w:p>
            <w:pPr>
              <w:spacing w:after="0"/>
              <w:rPr>
                <w:sz w:val="1"/>
                <w:szCs w:val="1"/>
                <w:color w:val="auto"/>
              </w:rPr>
            </w:pPr>
          </w:p>
        </w:tc>
      </w:tr>
      <w:tr>
        <w:trPr>
          <w:trHeight w:val="189"/>
        </w:trPr>
        <w:tc>
          <w:tcPr>
            <w:tcW w:w="7780" w:type="dxa"/>
            <w:vAlign w:val="bottom"/>
          </w:tcPr>
          <w:p>
            <w:pPr>
              <w:ind w:left="38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156,710</w:t>
            </w:r>
          </w:p>
        </w:tc>
        <w:tc>
          <w:tcPr>
            <w:tcW w:w="0" w:type="dxa"/>
            <w:vAlign w:val="bottom"/>
          </w:tcPr>
          <w:p>
            <w:pPr>
              <w:spacing w:after="0"/>
              <w:rPr>
                <w:sz w:val="1"/>
                <w:szCs w:val="1"/>
                <w:color w:val="auto"/>
              </w:rPr>
            </w:pPr>
          </w:p>
        </w:tc>
      </w:tr>
      <w:tr>
        <w:trPr>
          <w:trHeight w:val="149"/>
        </w:trPr>
        <w:tc>
          <w:tcPr>
            <w:tcW w:w="7780" w:type="dxa"/>
            <w:vAlign w:val="bottom"/>
          </w:tcPr>
          <w:p>
            <w:pPr>
              <w:ind w:left="380"/>
              <w:spacing w:after="0" w:line="149" w:lineRule="exact"/>
              <w:rPr>
                <w:sz w:val="20"/>
                <w:szCs w:val="20"/>
                <w:color w:val="auto"/>
              </w:rPr>
            </w:pPr>
            <w:r>
              <w:rPr>
                <w:rFonts w:ascii="Arial" w:cs="Arial" w:eastAsia="Arial" w:hAnsi="Arial"/>
                <w:sz w:val="14"/>
                <w:szCs w:val="14"/>
                <w:color w:val="auto"/>
              </w:rPr>
              <w:t>Effect on cash of changes in operating assets and liabilities, net of effects of acquisitions:</w:t>
            </w: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780" w:type="dxa"/>
            <w:vAlign w:val="bottom"/>
          </w:tcPr>
          <w:p>
            <w:pPr>
              <w:ind w:left="560"/>
              <w:spacing w:after="0"/>
              <w:rPr>
                <w:sz w:val="20"/>
                <w:szCs w:val="20"/>
                <w:color w:val="auto"/>
              </w:rPr>
            </w:pPr>
            <w:r>
              <w:rPr>
                <w:rFonts w:ascii="Arial" w:cs="Arial" w:eastAsia="Arial" w:hAnsi="Arial"/>
                <w:sz w:val="14"/>
                <w:szCs w:val="14"/>
                <w:color w:val="auto"/>
              </w:rPr>
              <w:t>Accounts receivable</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(103,303)</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(95,235)</w:t>
            </w:r>
          </w:p>
        </w:tc>
        <w:tc>
          <w:tcPr>
            <w:tcW w:w="0" w:type="dxa"/>
            <w:vAlign w:val="bottom"/>
          </w:tcPr>
          <w:p>
            <w:pPr>
              <w:spacing w:after="0"/>
              <w:rPr>
                <w:sz w:val="1"/>
                <w:szCs w:val="1"/>
                <w:color w:val="auto"/>
              </w:rPr>
            </w:pPr>
          </w:p>
        </w:tc>
      </w:tr>
      <w:tr>
        <w:trPr>
          <w:trHeight w:val="189"/>
        </w:trPr>
        <w:tc>
          <w:tcPr>
            <w:tcW w:w="7780" w:type="dxa"/>
            <w:vAlign w:val="bottom"/>
          </w:tcPr>
          <w:p>
            <w:pPr>
              <w:ind w:left="560"/>
              <w:spacing w:after="0"/>
              <w:rPr>
                <w:sz w:val="20"/>
                <w:szCs w:val="20"/>
                <w:color w:val="auto"/>
              </w:rPr>
            </w:pPr>
            <w:r>
              <w:rPr>
                <w:rFonts w:ascii="Arial" w:cs="Arial" w:eastAsia="Arial" w:hAnsi="Arial"/>
                <w:sz w:val="14"/>
                <w:szCs w:val="14"/>
                <w:color w:val="auto"/>
              </w:rPr>
              <w:t>Distributor receivables</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(1,716)</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89"/>
        </w:trPr>
        <w:tc>
          <w:tcPr>
            <w:tcW w:w="7780" w:type="dxa"/>
            <w:vAlign w:val="bottom"/>
          </w:tcPr>
          <w:p>
            <w:pPr>
              <w:ind w:left="560"/>
              <w:spacing w:after="0"/>
              <w:rPr>
                <w:sz w:val="20"/>
                <w:szCs w:val="20"/>
                <w:color w:val="auto"/>
              </w:rPr>
            </w:pPr>
            <w:r>
              <w:rPr>
                <w:rFonts w:ascii="Arial" w:cs="Arial" w:eastAsia="Arial" w:hAnsi="Arial"/>
                <w:sz w:val="14"/>
                <w:szCs w:val="14"/>
                <w:color w:val="auto"/>
              </w:rPr>
              <w:t>Inventories</w:t>
            </w:r>
          </w:p>
        </w:tc>
        <w:tc>
          <w:tcPr>
            <w:tcW w:w="26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11,613</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(28,919)</w:t>
            </w:r>
          </w:p>
        </w:tc>
        <w:tc>
          <w:tcPr>
            <w:tcW w:w="0" w:type="dxa"/>
            <w:vAlign w:val="bottom"/>
          </w:tcPr>
          <w:p>
            <w:pPr>
              <w:spacing w:after="0"/>
              <w:rPr>
                <w:sz w:val="1"/>
                <w:szCs w:val="1"/>
                <w:color w:val="auto"/>
              </w:rPr>
            </w:pPr>
          </w:p>
        </w:tc>
      </w:tr>
      <w:tr>
        <w:trPr>
          <w:trHeight w:val="189"/>
        </w:trPr>
        <w:tc>
          <w:tcPr>
            <w:tcW w:w="7780" w:type="dxa"/>
            <w:vAlign w:val="bottom"/>
          </w:tcPr>
          <w:p>
            <w:pPr>
              <w:ind w:left="56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(2,515)</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(3,322)</w:t>
            </w:r>
          </w:p>
        </w:tc>
        <w:tc>
          <w:tcPr>
            <w:tcW w:w="0" w:type="dxa"/>
            <w:vAlign w:val="bottom"/>
          </w:tcPr>
          <w:p>
            <w:pPr>
              <w:spacing w:after="0"/>
              <w:rPr>
                <w:sz w:val="1"/>
                <w:szCs w:val="1"/>
                <w:color w:val="auto"/>
              </w:rPr>
            </w:pPr>
          </w:p>
        </w:tc>
      </w:tr>
      <w:tr>
        <w:trPr>
          <w:trHeight w:val="189"/>
        </w:trPr>
        <w:tc>
          <w:tcPr>
            <w:tcW w:w="7780" w:type="dxa"/>
            <w:vAlign w:val="bottom"/>
          </w:tcPr>
          <w:p>
            <w:pPr>
              <w:ind w:left="560"/>
              <w:spacing w:after="0"/>
              <w:rPr>
                <w:sz w:val="20"/>
                <w:szCs w:val="20"/>
                <w:color w:val="auto"/>
              </w:rPr>
            </w:pPr>
            <w:r>
              <w:rPr>
                <w:rFonts w:ascii="Arial" w:cs="Arial" w:eastAsia="Arial" w:hAnsi="Arial"/>
                <w:sz w:val="14"/>
                <w:szCs w:val="14"/>
                <w:color w:val="auto"/>
              </w:rPr>
              <w:t>Prepaid income taxes</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(18,694)</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(84,147)</w:t>
            </w:r>
          </w:p>
        </w:tc>
        <w:tc>
          <w:tcPr>
            <w:tcW w:w="0" w:type="dxa"/>
            <w:vAlign w:val="bottom"/>
          </w:tcPr>
          <w:p>
            <w:pPr>
              <w:spacing w:after="0"/>
              <w:rPr>
                <w:sz w:val="1"/>
                <w:szCs w:val="1"/>
                <w:color w:val="auto"/>
              </w:rPr>
            </w:pPr>
          </w:p>
        </w:tc>
      </w:tr>
      <w:tr>
        <w:trPr>
          <w:trHeight w:val="189"/>
        </w:trPr>
        <w:tc>
          <w:tcPr>
            <w:tcW w:w="7780" w:type="dxa"/>
            <w:vAlign w:val="bottom"/>
          </w:tcPr>
          <w:p>
            <w:pPr>
              <w:ind w:left="560"/>
              <w:spacing w:after="0"/>
              <w:rPr>
                <w:sz w:val="20"/>
                <w:szCs w:val="20"/>
                <w:color w:val="auto"/>
              </w:rPr>
            </w:pPr>
            <w:r>
              <w:rPr>
                <w:rFonts w:ascii="Arial" w:cs="Arial" w:eastAsia="Arial" w:hAnsi="Arial"/>
                <w:sz w:val="14"/>
                <w:szCs w:val="14"/>
                <w:color w:val="auto"/>
              </w:rPr>
              <w:t>Accounts payable</w:t>
            </w:r>
          </w:p>
        </w:tc>
        <w:tc>
          <w:tcPr>
            <w:tcW w:w="26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35,005</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72,124</w:t>
            </w:r>
          </w:p>
        </w:tc>
        <w:tc>
          <w:tcPr>
            <w:tcW w:w="0" w:type="dxa"/>
            <w:vAlign w:val="bottom"/>
          </w:tcPr>
          <w:p>
            <w:pPr>
              <w:spacing w:after="0"/>
              <w:rPr>
                <w:sz w:val="1"/>
                <w:szCs w:val="1"/>
                <w:color w:val="auto"/>
              </w:rPr>
            </w:pPr>
          </w:p>
        </w:tc>
      </w:tr>
      <w:tr>
        <w:trPr>
          <w:trHeight w:val="189"/>
        </w:trPr>
        <w:tc>
          <w:tcPr>
            <w:tcW w:w="7780" w:type="dxa"/>
            <w:vAlign w:val="bottom"/>
          </w:tcPr>
          <w:p>
            <w:pPr>
              <w:ind w:left="560"/>
              <w:spacing w:after="0"/>
              <w:rPr>
                <w:sz w:val="20"/>
                <w:szCs w:val="20"/>
                <w:color w:val="auto"/>
              </w:rPr>
            </w:pPr>
            <w:r>
              <w:rPr>
                <w:rFonts w:ascii="Arial" w:cs="Arial" w:eastAsia="Arial" w:hAnsi="Arial"/>
                <w:sz w:val="14"/>
                <w:szCs w:val="14"/>
                <w:color w:val="auto"/>
              </w:rPr>
              <w:t>Accrued liabilities</w:t>
            </w:r>
          </w:p>
        </w:tc>
        <w:tc>
          <w:tcPr>
            <w:tcW w:w="26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6,780</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12,482</w:t>
            </w:r>
          </w:p>
        </w:tc>
        <w:tc>
          <w:tcPr>
            <w:tcW w:w="0" w:type="dxa"/>
            <w:vAlign w:val="bottom"/>
          </w:tcPr>
          <w:p>
            <w:pPr>
              <w:spacing w:after="0"/>
              <w:rPr>
                <w:sz w:val="1"/>
                <w:szCs w:val="1"/>
                <w:color w:val="auto"/>
              </w:rPr>
            </w:pPr>
          </w:p>
        </w:tc>
      </w:tr>
      <w:tr>
        <w:trPr>
          <w:trHeight w:val="189"/>
        </w:trPr>
        <w:tc>
          <w:tcPr>
            <w:tcW w:w="7780" w:type="dxa"/>
            <w:vAlign w:val="bottom"/>
          </w:tcPr>
          <w:p>
            <w:pPr>
              <w:ind w:left="560"/>
              <w:spacing w:after="0"/>
              <w:rPr>
                <w:sz w:val="20"/>
                <w:szCs w:val="20"/>
                <w:color w:val="auto"/>
              </w:rPr>
            </w:pPr>
            <w:r>
              <w:rPr>
                <w:rFonts w:ascii="Arial" w:cs="Arial" w:eastAsia="Arial" w:hAnsi="Arial"/>
                <w:sz w:val="14"/>
                <w:szCs w:val="14"/>
                <w:color w:val="auto"/>
              </w:rPr>
              <w:t>Accrued promotional allowances</w:t>
            </w:r>
          </w:p>
        </w:tc>
        <w:tc>
          <w:tcPr>
            <w:tcW w:w="26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27,238</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18,038</w:t>
            </w:r>
          </w:p>
        </w:tc>
        <w:tc>
          <w:tcPr>
            <w:tcW w:w="0" w:type="dxa"/>
            <w:vAlign w:val="bottom"/>
          </w:tcPr>
          <w:p>
            <w:pPr>
              <w:spacing w:after="0"/>
              <w:rPr>
                <w:sz w:val="1"/>
                <w:szCs w:val="1"/>
                <w:color w:val="auto"/>
              </w:rPr>
            </w:pPr>
          </w:p>
        </w:tc>
      </w:tr>
      <w:tr>
        <w:trPr>
          <w:trHeight w:val="189"/>
        </w:trPr>
        <w:tc>
          <w:tcPr>
            <w:tcW w:w="7780" w:type="dxa"/>
            <w:vAlign w:val="bottom"/>
          </w:tcPr>
          <w:p>
            <w:pPr>
              <w:ind w:left="560"/>
              <w:spacing w:after="0"/>
              <w:rPr>
                <w:sz w:val="20"/>
                <w:szCs w:val="20"/>
                <w:color w:val="auto"/>
              </w:rPr>
            </w:pPr>
            <w:r>
              <w:rPr>
                <w:rFonts w:ascii="Arial" w:cs="Arial" w:eastAsia="Arial" w:hAnsi="Arial"/>
                <w:sz w:val="14"/>
                <w:szCs w:val="14"/>
                <w:color w:val="auto"/>
              </w:rPr>
              <w:t>Accrued distributor terminations</w:t>
            </w:r>
          </w:p>
        </w:tc>
        <w:tc>
          <w:tcPr>
            <w:tcW w:w="26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13,822</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64,767</w:t>
            </w:r>
          </w:p>
        </w:tc>
        <w:tc>
          <w:tcPr>
            <w:tcW w:w="0" w:type="dxa"/>
            <w:vAlign w:val="bottom"/>
          </w:tcPr>
          <w:p>
            <w:pPr>
              <w:spacing w:after="0"/>
              <w:rPr>
                <w:sz w:val="1"/>
                <w:szCs w:val="1"/>
                <w:color w:val="auto"/>
              </w:rPr>
            </w:pPr>
          </w:p>
        </w:tc>
      </w:tr>
      <w:tr>
        <w:trPr>
          <w:trHeight w:val="189"/>
        </w:trPr>
        <w:tc>
          <w:tcPr>
            <w:tcW w:w="7780" w:type="dxa"/>
            <w:vAlign w:val="bottom"/>
          </w:tcPr>
          <w:p>
            <w:pPr>
              <w:ind w:left="560"/>
              <w:spacing w:after="0"/>
              <w:rPr>
                <w:sz w:val="20"/>
                <w:szCs w:val="20"/>
                <w:color w:val="auto"/>
              </w:rPr>
            </w:pPr>
            <w:r>
              <w:rPr>
                <w:rFonts w:ascii="Arial" w:cs="Arial" w:eastAsia="Arial" w:hAnsi="Arial"/>
                <w:sz w:val="14"/>
                <w:szCs w:val="14"/>
                <w:color w:val="auto"/>
              </w:rPr>
              <w:t>Accrued compensation</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(6,077)</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(3,493)</w:t>
            </w:r>
          </w:p>
        </w:tc>
        <w:tc>
          <w:tcPr>
            <w:tcW w:w="0" w:type="dxa"/>
            <w:vAlign w:val="bottom"/>
          </w:tcPr>
          <w:p>
            <w:pPr>
              <w:spacing w:after="0"/>
              <w:rPr>
                <w:sz w:val="1"/>
                <w:szCs w:val="1"/>
                <w:color w:val="auto"/>
              </w:rPr>
            </w:pPr>
          </w:p>
        </w:tc>
      </w:tr>
      <w:tr>
        <w:trPr>
          <w:trHeight w:val="189"/>
        </w:trPr>
        <w:tc>
          <w:tcPr>
            <w:tcW w:w="7780" w:type="dxa"/>
            <w:vAlign w:val="bottom"/>
          </w:tcPr>
          <w:p>
            <w:pPr>
              <w:ind w:left="560"/>
              <w:spacing w:after="0"/>
              <w:rPr>
                <w:sz w:val="20"/>
                <w:szCs w:val="20"/>
                <w:color w:val="auto"/>
              </w:rPr>
            </w:pPr>
            <w:r>
              <w:rPr>
                <w:rFonts w:ascii="Arial" w:cs="Arial" w:eastAsia="Arial" w:hAnsi="Arial"/>
                <w:sz w:val="14"/>
                <w:szCs w:val="14"/>
                <w:color w:val="auto"/>
              </w:rPr>
              <w:t>Income taxes payable</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(100,728)</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(7,533)</w:t>
            </w:r>
          </w:p>
        </w:tc>
        <w:tc>
          <w:tcPr>
            <w:tcW w:w="0" w:type="dxa"/>
            <w:vAlign w:val="bottom"/>
          </w:tcPr>
          <w:p>
            <w:pPr>
              <w:spacing w:after="0"/>
              <w:rPr>
                <w:sz w:val="1"/>
                <w:szCs w:val="1"/>
                <w:color w:val="auto"/>
              </w:rPr>
            </w:pPr>
          </w:p>
        </w:tc>
      </w:tr>
      <w:tr>
        <w:trPr>
          <w:trHeight w:val="201"/>
        </w:trPr>
        <w:tc>
          <w:tcPr>
            <w:tcW w:w="7780" w:type="dxa"/>
            <w:vAlign w:val="bottom"/>
          </w:tcPr>
          <w:p>
            <w:pPr>
              <w:ind w:left="560"/>
              <w:spacing w:after="0"/>
              <w:rPr>
                <w:sz w:val="20"/>
                <w:szCs w:val="20"/>
                <w:color w:val="auto"/>
              </w:rPr>
            </w:pPr>
            <w:r>
              <w:rPr>
                <w:rFonts w:ascii="Arial" w:cs="Arial" w:eastAsia="Arial" w:hAnsi="Arial"/>
                <w:sz w:val="14"/>
                <w:szCs w:val="14"/>
                <w:color w:val="auto"/>
              </w:rPr>
              <w:t>Deferred revenue</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(2,753)</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(40,792)</w:t>
            </w:r>
          </w:p>
        </w:tc>
        <w:tc>
          <w:tcPr>
            <w:tcW w:w="0" w:type="dxa"/>
            <w:vAlign w:val="bottom"/>
          </w:tcPr>
          <w:p>
            <w:pPr>
              <w:spacing w:after="0"/>
              <w:rPr>
                <w:sz w:val="1"/>
                <w:szCs w:val="1"/>
                <w:color w:val="auto"/>
              </w:rPr>
            </w:pPr>
          </w:p>
        </w:tc>
      </w:tr>
      <w:tr>
        <w:trPr>
          <w:trHeight w:val="191"/>
        </w:trPr>
        <w:tc>
          <w:tcPr>
            <w:tcW w:w="7780" w:type="dxa"/>
            <w:vAlign w:val="bottom"/>
          </w:tcPr>
          <w:p>
            <w:pPr>
              <w:ind w:left="740"/>
              <w:spacing w:after="0" w:line="150" w:lineRule="exact"/>
              <w:rPr>
                <w:sz w:val="20"/>
                <w:szCs w:val="20"/>
                <w:color w:val="auto"/>
              </w:rPr>
            </w:pPr>
            <w:r>
              <w:rPr>
                <w:rFonts w:ascii="Arial" w:cs="Arial" w:eastAsia="Arial" w:hAnsi="Arial"/>
                <w:sz w:val="14"/>
                <w:szCs w:val="14"/>
                <w:color w:val="auto"/>
              </w:rPr>
              <w:t>Net cash provided by operating activities</w:t>
            </w:r>
          </w:p>
        </w:tc>
        <w:tc>
          <w:tcPr>
            <w:tcW w:w="26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247,555</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160,796</w:t>
            </w:r>
          </w:p>
        </w:tc>
        <w:tc>
          <w:tcPr>
            <w:tcW w:w="0" w:type="dxa"/>
            <w:vAlign w:val="bottom"/>
          </w:tcPr>
          <w:p>
            <w:pPr>
              <w:spacing w:after="0"/>
              <w:rPr>
                <w:sz w:val="1"/>
                <w:szCs w:val="1"/>
                <w:color w:val="auto"/>
              </w:rPr>
            </w:pPr>
          </w:p>
        </w:tc>
      </w:tr>
      <w:tr>
        <w:trPr>
          <w:trHeight w:val="169"/>
        </w:trPr>
        <w:tc>
          <w:tcPr>
            <w:tcW w:w="7780" w:type="dxa"/>
            <w:vAlign w:val="bottom"/>
          </w:tcPr>
          <w:p>
            <w:pPr>
              <w:spacing w:after="0"/>
              <w:rPr>
                <w:sz w:val="20"/>
                <w:szCs w:val="20"/>
                <w:color w:val="auto"/>
              </w:rPr>
            </w:pPr>
            <w:r>
              <w:rPr>
                <w:rFonts w:ascii="Arial" w:cs="Arial" w:eastAsia="Arial" w:hAnsi="Arial"/>
                <w:sz w:val="14"/>
                <w:szCs w:val="14"/>
                <w:color w:val="auto"/>
              </w:rPr>
              <w:t>CASH FLOWS FROM INVESTING ACTIVITIES:</w:t>
            </w: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780" w:type="dxa"/>
            <w:vAlign w:val="bottom"/>
          </w:tcPr>
          <w:p>
            <w:pPr>
              <w:spacing w:after="0"/>
              <w:rPr>
                <w:sz w:val="20"/>
                <w:szCs w:val="20"/>
                <w:color w:val="auto"/>
              </w:rPr>
            </w:pPr>
            <w:r>
              <w:rPr>
                <w:rFonts w:ascii="Arial" w:cs="Arial" w:eastAsia="Arial" w:hAnsi="Arial"/>
                <w:sz w:val="14"/>
                <w:szCs w:val="14"/>
                <w:color w:val="auto"/>
              </w:rPr>
              <w:t>Maturities of held-to-maturity investments</w:t>
            </w:r>
          </w:p>
        </w:tc>
        <w:tc>
          <w:tcPr>
            <w:tcW w:w="26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868,304</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480,281</w:t>
            </w:r>
          </w:p>
        </w:tc>
        <w:tc>
          <w:tcPr>
            <w:tcW w:w="0" w:type="dxa"/>
            <w:vAlign w:val="bottom"/>
          </w:tcPr>
          <w:p>
            <w:pPr>
              <w:spacing w:after="0"/>
              <w:rPr>
                <w:sz w:val="1"/>
                <w:szCs w:val="1"/>
                <w:color w:val="auto"/>
              </w:rPr>
            </w:pPr>
          </w:p>
        </w:tc>
      </w:tr>
      <w:tr>
        <w:trPr>
          <w:trHeight w:val="189"/>
        </w:trPr>
        <w:tc>
          <w:tcPr>
            <w:tcW w:w="7780" w:type="dxa"/>
            <w:vAlign w:val="bottom"/>
          </w:tcPr>
          <w:p>
            <w:pPr>
              <w:spacing w:after="0"/>
              <w:rPr>
                <w:sz w:val="20"/>
                <w:szCs w:val="20"/>
                <w:color w:val="auto"/>
              </w:rPr>
            </w:pPr>
            <w:r>
              <w:rPr>
                <w:rFonts w:ascii="Arial" w:cs="Arial" w:eastAsia="Arial" w:hAnsi="Arial"/>
                <w:sz w:val="14"/>
                <w:szCs w:val="14"/>
                <w:color w:val="auto"/>
              </w:rPr>
              <w:t>Sales of available-for-sale investments</w:t>
            </w:r>
          </w:p>
        </w:tc>
        <w:tc>
          <w:tcPr>
            <w:tcW w:w="26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9"/>
        </w:trPr>
        <w:tc>
          <w:tcPr>
            <w:tcW w:w="7780" w:type="dxa"/>
            <w:vAlign w:val="bottom"/>
          </w:tcPr>
          <w:p>
            <w:pPr>
              <w:spacing w:after="0"/>
              <w:rPr>
                <w:sz w:val="20"/>
                <w:szCs w:val="20"/>
                <w:color w:val="auto"/>
              </w:rPr>
            </w:pPr>
            <w:r>
              <w:rPr>
                <w:rFonts w:ascii="Arial" w:cs="Arial" w:eastAsia="Arial" w:hAnsi="Arial"/>
                <w:sz w:val="14"/>
                <w:szCs w:val="14"/>
                <w:color w:val="auto"/>
              </w:rPr>
              <w:t>Sales of trading investments</w:t>
            </w:r>
          </w:p>
        </w:tc>
        <w:tc>
          <w:tcPr>
            <w:tcW w:w="26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725</w:t>
            </w:r>
          </w:p>
        </w:tc>
        <w:tc>
          <w:tcPr>
            <w:tcW w:w="0" w:type="dxa"/>
            <w:vAlign w:val="bottom"/>
          </w:tcPr>
          <w:p>
            <w:pPr>
              <w:spacing w:after="0"/>
              <w:rPr>
                <w:sz w:val="1"/>
                <w:szCs w:val="1"/>
                <w:color w:val="auto"/>
              </w:rPr>
            </w:pPr>
          </w:p>
        </w:tc>
      </w:tr>
      <w:tr>
        <w:trPr>
          <w:trHeight w:val="189"/>
        </w:trPr>
        <w:tc>
          <w:tcPr>
            <w:tcW w:w="7780" w:type="dxa"/>
            <w:vAlign w:val="bottom"/>
          </w:tcPr>
          <w:p>
            <w:pPr>
              <w:spacing w:after="0"/>
              <w:rPr>
                <w:sz w:val="20"/>
                <w:szCs w:val="20"/>
                <w:color w:val="auto"/>
              </w:rPr>
            </w:pPr>
            <w:r>
              <w:rPr>
                <w:rFonts w:ascii="Arial" w:cs="Arial" w:eastAsia="Arial" w:hAnsi="Arial"/>
                <w:sz w:val="14"/>
                <w:szCs w:val="14"/>
                <w:color w:val="auto"/>
              </w:rPr>
              <w:t>Proceeds from the transfer of distribution rights to TCCC</w:t>
            </w:r>
          </w:p>
        </w:tc>
        <w:tc>
          <w:tcPr>
            <w:tcW w:w="26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179,658</w:t>
            </w:r>
          </w:p>
        </w:tc>
        <w:tc>
          <w:tcPr>
            <w:tcW w:w="0" w:type="dxa"/>
            <w:vAlign w:val="bottom"/>
          </w:tcPr>
          <w:p>
            <w:pPr>
              <w:spacing w:after="0"/>
              <w:rPr>
                <w:sz w:val="1"/>
                <w:szCs w:val="1"/>
                <w:color w:val="auto"/>
              </w:rPr>
            </w:pPr>
          </w:p>
        </w:tc>
      </w:tr>
      <w:tr>
        <w:trPr>
          <w:trHeight w:val="189"/>
        </w:trPr>
        <w:tc>
          <w:tcPr>
            <w:tcW w:w="7780" w:type="dxa"/>
            <w:vAlign w:val="bottom"/>
          </w:tcPr>
          <w:p>
            <w:pPr>
              <w:spacing w:after="0"/>
              <w:rPr>
                <w:sz w:val="20"/>
                <w:szCs w:val="20"/>
                <w:color w:val="auto"/>
              </w:rPr>
            </w:pPr>
            <w:r>
              <w:rPr>
                <w:rFonts w:ascii="Arial" w:cs="Arial" w:eastAsia="Arial" w:hAnsi="Arial"/>
                <w:sz w:val="14"/>
                <w:szCs w:val="14"/>
                <w:color w:val="auto"/>
              </w:rPr>
              <w:t>Purchases of held-to-maturity investments</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(152,664)</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(944,193)</w:t>
            </w:r>
          </w:p>
        </w:tc>
        <w:tc>
          <w:tcPr>
            <w:tcW w:w="0" w:type="dxa"/>
            <w:vAlign w:val="bottom"/>
          </w:tcPr>
          <w:p>
            <w:pPr>
              <w:spacing w:after="0"/>
              <w:rPr>
                <w:sz w:val="1"/>
                <w:szCs w:val="1"/>
                <w:color w:val="auto"/>
              </w:rPr>
            </w:pPr>
          </w:p>
        </w:tc>
      </w:tr>
      <w:tr>
        <w:trPr>
          <w:trHeight w:val="189"/>
        </w:trPr>
        <w:tc>
          <w:tcPr>
            <w:tcW w:w="7780" w:type="dxa"/>
            <w:vAlign w:val="bottom"/>
          </w:tcPr>
          <w:p>
            <w:pPr>
              <w:spacing w:after="0"/>
              <w:rPr>
                <w:sz w:val="20"/>
                <w:szCs w:val="20"/>
                <w:color w:val="auto"/>
              </w:rPr>
            </w:pPr>
            <w:r>
              <w:rPr>
                <w:rFonts w:ascii="Arial" w:cs="Arial" w:eastAsia="Arial" w:hAnsi="Arial"/>
                <w:sz w:val="14"/>
                <w:szCs w:val="14"/>
                <w:color w:val="auto"/>
              </w:rPr>
              <w:t>Purchases of property and equipment</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(17,813)</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(15,827)</w:t>
            </w:r>
          </w:p>
        </w:tc>
        <w:tc>
          <w:tcPr>
            <w:tcW w:w="0" w:type="dxa"/>
            <w:vAlign w:val="bottom"/>
          </w:tcPr>
          <w:p>
            <w:pPr>
              <w:spacing w:after="0"/>
              <w:rPr>
                <w:sz w:val="1"/>
                <w:szCs w:val="1"/>
                <w:color w:val="auto"/>
              </w:rPr>
            </w:pPr>
          </w:p>
        </w:tc>
      </w:tr>
      <w:tr>
        <w:trPr>
          <w:trHeight w:val="189"/>
        </w:trPr>
        <w:tc>
          <w:tcPr>
            <w:tcW w:w="7780" w:type="dxa"/>
            <w:vAlign w:val="bottom"/>
          </w:tcPr>
          <w:p>
            <w:pPr>
              <w:spacing w:after="0"/>
              <w:rPr>
                <w:sz w:val="20"/>
                <w:szCs w:val="20"/>
                <w:color w:val="auto"/>
              </w:rPr>
            </w:pPr>
            <w:r>
              <w:rPr>
                <w:rFonts w:ascii="Arial" w:cs="Arial" w:eastAsia="Arial" w:hAnsi="Arial"/>
                <w:sz w:val="14"/>
                <w:szCs w:val="14"/>
                <w:color w:val="auto"/>
              </w:rPr>
              <w:t>Proceeds from the sale of Monster Non-Energy</w:t>
            </w:r>
          </w:p>
        </w:tc>
        <w:tc>
          <w:tcPr>
            <w:tcW w:w="26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198,008</w:t>
            </w:r>
          </w:p>
        </w:tc>
        <w:tc>
          <w:tcPr>
            <w:tcW w:w="0" w:type="dxa"/>
            <w:vAlign w:val="bottom"/>
          </w:tcPr>
          <w:p>
            <w:pPr>
              <w:spacing w:after="0"/>
              <w:rPr>
                <w:sz w:val="1"/>
                <w:szCs w:val="1"/>
                <w:color w:val="auto"/>
              </w:rPr>
            </w:pPr>
          </w:p>
        </w:tc>
      </w:tr>
      <w:tr>
        <w:trPr>
          <w:trHeight w:val="189"/>
        </w:trPr>
        <w:tc>
          <w:tcPr>
            <w:tcW w:w="7780" w:type="dxa"/>
            <w:vAlign w:val="bottom"/>
          </w:tcPr>
          <w:p>
            <w:pPr>
              <w:spacing w:after="0"/>
              <w:rPr>
                <w:sz w:val="20"/>
                <w:szCs w:val="20"/>
                <w:color w:val="auto"/>
              </w:rPr>
            </w:pPr>
            <w:r>
              <w:rPr>
                <w:rFonts w:ascii="Arial" w:cs="Arial" w:eastAsia="Arial" w:hAnsi="Arial"/>
                <w:sz w:val="14"/>
                <w:szCs w:val="14"/>
                <w:color w:val="auto"/>
              </w:rPr>
              <w:t>Proceeds from sale of property and equipment</w:t>
            </w:r>
          </w:p>
        </w:tc>
        <w:tc>
          <w:tcPr>
            <w:tcW w:w="26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541</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89"/>
        </w:trPr>
        <w:tc>
          <w:tcPr>
            <w:tcW w:w="7780" w:type="dxa"/>
            <w:vAlign w:val="bottom"/>
          </w:tcPr>
          <w:p>
            <w:pPr>
              <w:spacing w:after="0"/>
              <w:rPr>
                <w:sz w:val="20"/>
                <w:szCs w:val="20"/>
                <w:color w:val="auto"/>
              </w:rPr>
            </w:pPr>
            <w:r>
              <w:rPr>
                <w:rFonts w:ascii="Arial" w:cs="Arial" w:eastAsia="Arial" w:hAnsi="Arial"/>
                <w:sz w:val="14"/>
                <w:szCs w:val="14"/>
                <w:color w:val="auto"/>
              </w:rPr>
              <w:t>Purchases of AFF Assets, net</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(688,485)</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7780" w:type="dxa"/>
            <w:vAlign w:val="bottom"/>
          </w:tcPr>
          <w:p>
            <w:pPr>
              <w:spacing w:after="0"/>
              <w:rPr>
                <w:sz w:val="20"/>
                <w:szCs w:val="20"/>
                <w:color w:val="auto"/>
              </w:rPr>
            </w:pPr>
            <w:r>
              <w:rPr>
                <w:rFonts w:ascii="Arial" w:cs="Arial" w:eastAsia="Arial" w:hAnsi="Arial"/>
                <w:sz w:val="14"/>
                <w:szCs w:val="14"/>
                <w:color w:val="auto"/>
              </w:rPr>
              <w:t>Increase in intangibles</w:t>
            </w: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912" w:orient="portrait"/>
          <w:cols w:equalWidth="0" w:num="1">
            <w:col w:w="11320"/>
          </w:cols>
          <w:pgMar w:left="240" w:top="557" w:right="339" w:bottom="0" w:gutter="0" w:footer="0" w:header="0"/>
        </w:sectPr>
      </w:pPr>
    </w:p>
    <w:bookmarkStart w:id="4" w:name="page5"/>
    <w:bookmarkEnd w:id="4"/>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80" w:type="dxa"/>
            <w:vAlign w:val="bottom"/>
            <w:vMerge w:val="restart"/>
          </w:tcPr>
          <w:p>
            <w:pPr>
              <w:spacing w:after="0"/>
              <w:rPr>
                <w:sz w:val="20"/>
                <w:szCs w:val="20"/>
                <w:color w:val="auto"/>
              </w:rPr>
            </w:pPr>
            <w:r>
              <w:rPr>
                <w:rFonts w:ascii="Arial" w:cs="Arial" w:eastAsia="Arial" w:hAnsi="Arial"/>
                <w:sz w:val="14"/>
                <w:szCs w:val="14"/>
                <w:color w:val="auto"/>
              </w:rPr>
              <w:t>Decrease in other assets</w:t>
            </w:r>
          </w:p>
        </w:tc>
        <w:tc>
          <w:tcPr>
            <w:tcW w:w="4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(4,881)</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(3,566)</w:t>
            </w:r>
          </w:p>
        </w:tc>
        <w:tc>
          <w:tcPr>
            <w:tcW w:w="0" w:type="dxa"/>
            <w:vAlign w:val="bottom"/>
          </w:tcPr>
          <w:p>
            <w:pPr>
              <w:spacing w:after="0"/>
              <w:rPr>
                <w:sz w:val="1"/>
                <w:szCs w:val="1"/>
                <w:color w:val="auto"/>
              </w:rPr>
            </w:pPr>
          </w:p>
        </w:tc>
      </w:tr>
      <w:tr>
        <w:trPr>
          <w:trHeight w:val="174"/>
        </w:trPr>
        <w:tc>
          <w:tcPr>
            <w:tcW w:w="7780" w:type="dxa"/>
            <w:vAlign w:val="bottom"/>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(2,377)</w:t>
            </w:r>
          </w:p>
        </w:tc>
        <w:tc>
          <w:tcPr>
            <w:tcW w:w="2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(1,214)</w:t>
            </w:r>
          </w:p>
        </w:tc>
        <w:tc>
          <w:tcPr>
            <w:tcW w:w="0" w:type="dxa"/>
            <w:vAlign w:val="bottom"/>
          </w:tcPr>
          <w:p>
            <w:pPr>
              <w:spacing w:after="0"/>
              <w:rPr>
                <w:sz w:val="1"/>
                <w:szCs w:val="1"/>
                <w:color w:val="auto"/>
              </w:rPr>
            </w:pPr>
          </w:p>
        </w:tc>
      </w:tr>
      <w:tr>
        <w:trPr>
          <w:trHeight w:val="191"/>
        </w:trPr>
        <w:tc>
          <w:tcPr>
            <w:tcW w:w="7780" w:type="dxa"/>
            <w:vAlign w:val="bottom"/>
          </w:tcPr>
          <w:p>
            <w:pPr>
              <w:ind w:left="740"/>
              <w:spacing w:after="0" w:line="150" w:lineRule="exact"/>
              <w:rPr>
                <w:sz w:val="20"/>
                <w:szCs w:val="20"/>
                <w:color w:val="auto"/>
              </w:rPr>
            </w:pPr>
            <w:r>
              <w:rPr>
                <w:rFonts w:ascii="Arial" w:cs="Arial" w:eastAsia="Arial" w:hAnsi="Arial"/>
                <w:sz w:val="14"/>
                <w:szCs w:val="14"/>
                <w:color w:val="auto"/>
              </w:rPr>
              <w:t>Net cash provided by (used in) investing activities</w:t>
            </w:r>
          </w:p>
        </w:tc>
        <w:tc>
          <w:tcPr>
            <w:tcW w:w="48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2,625</w:t>
            </w: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(105,867)</w:t>
            </w:r>
          </w:p>
        </w:tc>
        <w:tc>
          <w:tcPr>
            <w:tcW w:w="0" w:type="dxa"/>
            <w:vAlign w:val="bottom"/>
          </w:tcPr>
          <w:p>
            <w:pPr>
              <w:spacing w:after="0"/>
              <w:rPr>
                <w:sz w:val="1"/>
                <w:szCs w:val="1"/>
                <w:color w:val="auto"/>
              </w:rPr>
            </w:pPr>
          </w:p>
        </w:tc>
      </w:tr>
      <w:tr>
        <w:trPr>
          <w:trHeight w:val="169"/>
        </w:trPr>
        <w:tc>
          <w:tcPr>
            <w:tcW w:w="7780" w:type="dxa"/>
            <w:vAlign w:val="bottom"/>
          </w:tcPr>
          <w:p>
            <w:pPr>
              <w:spacing w:after="0"/>
              <w:rPr>
                <w:sz w:val="20"/>
                <w:szCs w:val="20"/>
                <w:color w:val="auto"/>
              </w:rPr>
            </w:pPr>
            <w:r>
              <w:rPr>
                <w:rFonts w:ascii="Arial" w:cs="Arial" w:eastAsia="Arial" w:hAnsi="Arial"/>
                <w:sz w:val="14"/>
                <w:szCs w:val="14"/>
                <w:color w:val="auto"/>
              </w:rPr>
              <w:t>CASH FLOWS FROM FINANCING ACTIVITIES:</w:t>
            </w: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780" w:type="dxa"/>
            <w:vAlign w:val="bottom"/>
          </w:tcPr>
          <w:p>
            <w:pPr>
              <w:spacing w:after="0"/>
              <w:rPr>
                <w:sz w:val="20"/>
                <w:szCs w:val="20"/>
                <w:color w:val="auto"/>
              </w:rPr>
            </w:pPr>
            <w:r>
              <w:rPr>
                <w:rFonts w:ascii="Arial" w:cs="Arial" w:eastAsia="Arial" w:hAnsi="Arial"/>
                <w:sz w:val="14"/>
                <w:szCs w:val="14"/>
                <w:color w:val="auto"/>
              </w:rPr>
              <w:t>Principal payments on debt</w:t>
            </w:r>
          </w:p>
        </w:tc>
        <w:tc>
          <w:tcPr>
            <w:tcW w:w="4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(1,099)</w:t>
            </w: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189"/>
        </w:trPr>
        <w:tc>
          <w:tcPr>
            <w:tcW w:w="7780" w:type="dxa"/>
            <w:vAlign w:val="bottom"/>
          </w:tcPr>
          <w:p>
            <w:pPr>
              <w:spacing w:after="0"/>
              <w:rPr>
                <w:sz w:val="20"/>
                <w:szCs w:val="20"/>
                <w:color w:val="auto"/>
              </w:rPr>
            </w:pPr>
            <w:r>
              <w:rPr>
                <w:rFonts w:ascii="Arial" w:cs="Arial" w:eastAsia="Arial" w:hAnsi="Arial"/>
                <w:sz w:val="14"/>
                <w:szCs w:val="14"/>
                <w:color w:val="auto"/>
              </w:rPr>
              <w:t>Issuance of common stock</w:t>
            </w:r>
          </w:p>
        </w:tc>
        <w:tc>
          <w:tcPr>
            <w:tcW w:w="48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8,167</w:t>
            </w: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1,689,120</w:t>
            </w:r>
          </w:p>
        </w:tc>
        <w:tc>
          <w:tcPr>
            <w:tcW w:w="0" w:type="dxa"/>
            <w:vAlign w:val="bottom"/>
          </w:tcPr>
          <w:p>
            <w:pPr>
              <w:spacing w:after="0"/>
              <w:rPr>
                <w:sz w:val="1"/>
                <w:szCs w:val="1"/>
                <w:color w:val="auto"/>
              </w:rPr>
            </w:pPr>
          </w:p>
        </w:tc>
      </w:tr>
      <w:tr>
        <w:trPr>
          <w:trHeight w:val="201"/>
        </w:trPr>
        <w:tc>
          <w:tcPr>
            <w:tcW w:w="7780" w:type="dxa"/>
            <w:vAlign w:val="bottom"/>
          </w:tcPr>
          <w:p>
            <w:pPr>
              <w:spacing w:after="0"/>
              <w:rPr>
                <w:sz w:val="20"/>
                <w:szCs w:val="20"/>
                <w:color w:val="auto"/>
              </w:rPr>
            </w:pPr>
            <w:r>
              <w:rPr>
                <w:rFonts w:ascii="Arial" w:cs="Arial" w:eastAsia="Arial" w:hAnsi="Arial"/>
                <w:sz w:val="14"/>
                <w:szCs w:val="14"/>
                <w:color w:val="auto"/>
              </w:rPr>
              <w:t>Purchases of common stock held in treasury</w:t>
            </w: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(2,002,254)</w:t>
            </w:r>
          </w:p>
        </w:tc>
        <w:tc>
          <w:tcPr>
            <w:tcW w:w="28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(412,217)</w:t>
            </w:r>
          </w:p>
        </w:tc>
        <w:tc>
          <w:tcPr>
            <w:tcW w:w="0" w:type="dxa"/>
            <w:vAlign w:val="bottom"/>
          </w:tcPr>
          <w:p>
            <w:pPr>
              <w:spacing w:after="0"/>
              <w:rPr>
                <w:sz w:val="1"/>
                <w:szCs w:val="1"/>
                <w:color w:val="auto"/>
              </w:rPr>
            </w:pPr>
          </w:p>
        </w:tc>
      </w:tr>
      <w:tr>
        <w:trPr>
          <w:trHeight w:val="189"/>
        </w:trPr>
        <w:tc>
          <w:tcPr>
            <w:tcW w:w="7780" w:type="dxa"/>
            <w:vAlign w:val="bottom"/>
          </w:tcPr>
          <w:p>
            <w:pPr>
              <w:ind w:left="740"/>
              <w:spacing w:after="0" w:line="150" w:lineRule="exact"/>
              <w:rPr>
                <w:sz w:val="20"/>
                <w:szCs w:val="20"/>
                <w:color w:val="auto"/>
              </w:rPr>
            </w:pPr>
            <w:r>
              <w:rPr>
                <w:rFonts w:ascii="Arial" w:cs="Arial" w:eastAsia="Arial" w:hAnsi="Arial"/>
                <w:sz w:val="14"/>
                <w:szCs w:val="14"/>
                <w:color w:val="auto"/>
              </w:rPr>
              <w:t>Net cash (used in) provided by financing activities</w:t>
            </w: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(1,995,186)</w:t>
            </w:r>
          </w:p>
        </w:tc>
        <w:tc>
          <w:tcPr>
            <w:tcW w:w="2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1,276,373</w:t>
            </w:r>
          </w:p>
        </w:tc>
        <w:tc>
          <w:tcPr>
            <w:tcW w:w="0" w:type="dxa"/>
            <w:vAlign w:val="bottom"/>
          </w:tcPr>
          <w:p>
            <w:pPr>
              <w:spacing w:after="0"/>
              <w:rPr>
                <w:sz w:val="1"/>
                <w:szCs w:val="1"/>
                <w:color w:val="auto"/>
              </w:rPr>
            </w:pPr>
          </w:p>
        </w:tc>
      </w:tr>
      <w:tr>
        <w:trPr>
          <w:trHeight w:val="204"/>
        </w:trPr>
        <w:tc>
          <w:tcPr>
            <w:tcW w:w="7780" w:type="dxa"/>
            <w:vAlign w:val="bottom"/>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48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4,358</w:t>
            </w: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(5,330)</w:t>
            </w:r>
          </w:p>
        </w:tc>
        <w:tc>
          <w:tcPr>
            <w:tcW w:w="0" w:type="dxa"/>
            <w:vAlign w:val="bottom"/>
          </w:tcPr>
          <w:p>
            <w:pPr>
              <w:spacing w:after="0"/>
              <w:rPr>
                <w:sz w:val="1"/>
                <w:szCs w:val="1"/>
                <w:color w:val="auto"/>
              </w:rPr>
            </w:pPr>
          </w:p>
        </w:tc>
      </w:tr>
      <w:tr>
        <w:trPr>
          <w:trHeight w:val="189"/>
        </w:trPr>
        <w:tc>
          <w:tcPr>
            <w:tcW w:w="7780" w:type="dxa"/>
            <w:vAlign w:val="bottom"/>
          </w:tcPr>
          <w:p>
            <w:pPr>
              <w:spacing w:after="0"/>
              <w:rPr>
                <w:sz w:val="20"/>
                <w:szCs w:val="20"/>
                <w:color w:val="auto"/>
              </w:rPr>
            </w:pPr>
            <w:r>
              <w:rPr>
                <w:rFonts w:ascii="Arial" w:cs="Arial" w:eastAsia="Arial" w:hAnsi="Arial"/>
                <w:sz w:val="14"/>
                <w:szCs w:val="14"/>
                <w:color w:val="auto"/>
              </w:rPr>
              <w:t>NET (DECREASE) INCREASE IN CASH AND CASH EQUIVALENTS</w:t>
            </w:r>
          </w:p>
        </w:tc>
        <w:tc>
          <w:tcPr>
            <w:tcW w:w="48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(1,740,648)</w:t>
            </w: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1,325,972</w:t>
            </w:r>
          </w:p>
        </w:tc>
        <w:tc>
          <w:tcPr>
            <w:tcW w:w="0" w:type="dxa"/>
            <w:vAlign w:val="bottom"/>
          </w:tcPr>
          <w:p>
            <w:pPr>
              <w:spacing w:after="0"/>
              <w:rPr>
                <w:sz w:val="1"/>
                <w:szCs w:val="1"/>
                <w:color w:val="auto"/>
              </w:rPr>
            </w:pPr>
          </w:p>
        </w:tc>
      </w:tr>
      <w:tr>
        <w:trPr>
          <w:trHeight w:val="201"/>
        </w:trPr>
        <w:tc>
          <w:tcPr>
            <w:tcW w:w="778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2,175,417</w:t>
            </w:r>
          </w:p>
        </w:tc>
        <w:tc>
          <w:tcPr>
            <w:tcW w:w="28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370,323</w:t>
            </w:r>
          </w:p>
        </w:tc>
        <w:tc>
          <w:tcPr>
            <w:tcW w:w="0" w:type="dxa"/>
            <w:vAlign w:val="bottom"/>
          </w:tcPr>
          <w:p>
            <w:pPr>
              <w:spacing w:after="0"/>
              <w:rPr>
                <w:sz w:val="1"/>
                <w:szCs w:val="1"/>
                <w:color w:val="auto"/>
              </w:rPr>
            </w:pPr>
          </w:p>
        </w:tc>
      </w:tr>
      <w:tr>
        <w:trPr>
          <w:trHeight w:val="189"/>
        </w:trPr>
        <w:tc>
          <w:tcPr>
            <w:tcW w:w="7780" w:type="dxa"/>
            <w:vAlign w:val="bottom"/>
          </w:tcPr>
          <w:p>
            <w:pPr>
              <w:spacing w:after="0" w:line="150" w:lineRule="exact"/>
              <w:rPr>
                <w:sz w:val="20"/>
                <w:szCs w:val="20"/>
                <w:color w:val="auto"/>
              </w:rPr>
            </w:pPr>
            <w:r>
              <w:rPr>
                <w:rFonts w:ascii="Arial" w:cs="Arial" w:eastAsia="Arial" w:hAnsi="Arial"/>
                <w:sz w:val="14"/>
                <w:szCs w:val="14"/>
                <w:color w:val="auto"/>
              </w:rPr>
              <w:t>CASH AND CASH EQUIVALENTS, end of period</w:t>
            </w:r>
          </w:p>
        </w:tc>
        <w:tc>
          <w:tcPr>
            <w:tcW w:w="4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434,769</w:t>
            </w:r>
          </w:p>
        </w:tc>
        <w:tc>
          <w:tcPr>
            <w:tcW w:w="280" w:type="dxa"/>
            <w:vAlign w:val="bottom"/>
          </w:tcPr>
          <w:p>
            <w:pPr>
              <w:spacing w:after="0"/>
              <w:rPr>
                <w:sz w:val="16"/>
                <w:szCs w:val="16"/>
                <w:color w:val="auto"/>
              </w:rPr>
            </w:pPr>
          </w:p>
        </w:tc>
        <w:tc>
          <w:tcPr>
            <w:tcW w:w="5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1,696,295</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4"/>
                <w:szCs w:val="14"/>
                <w:color w:val="auto"/>
              </w:rPr>
              <w:t>SUPPLEMENTAL INFORMATION:</w:t>
            </w: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78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780" w:type="dxa"/>
            <w:vAlign w:val="bottom"/>
          </w:tcPr>
          <w:p>
            <w:pPr>
              <w:ind w:left="200"/>
              <w:spacing w:after="0" w:line="149" w:lineRule="exact"/>
              <w:rPr>
                <w:sz w:val="20"/>
                <w:szCs w:val="20"/>
                <w:color w:val="auto"/>
              </w:rPr>
            </w:pPr>
            <w:r>
              <w:rPr>
                <w:rFonts w:ascii="Arial" w:cs="Arial" w:eastAsia="Arial" w:hAnsi="Arial"/>
                <w:sz w:val="14"/>
                <w:szCs w:val="14"/>
                <w:color w:val="auto"/>
              </w:rPr>
              <w:t>Cash paid during the period for:</w:t>
            </w:r>
          </w:p>
        </w:tc>
        <w:tc>
          <w:tcPr>
            <w:tcW w:w="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7780" w:type="dxa"/>
            <w:vAlign w:val="bottom"/>
          </w:tcPr>
          <w:p>
            <w:pPr>
              <w:ind w:left="380"/>
              <w:spacing w:after="0"/>
              <w:rPr>
                <w:sz w:val="20"/>
                <w:szCs w:val="20"/>
                <w:color w:val="auto"/>
              </w:rPr>
            </w:pPr>
            <w:r>
              <w:rPr>
                <w:rFonts w:ascii="Arial" w:cs="Arial" w:eastAsia="Arial" w:hAnsi="Arial"/>
                <w:sz w:val="14"/>
                <w:szCs w:val="14"/>
                <w:color w:val="auto"/>
              </w:rPr>
              <w:t>Interest</w:t>
            </w:r>
          </w:p>
        </w:tc>
        <w:tc>
          <w:tcPr>
            <w:tcW w:w="4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w:t>
            </w:r>
          </w:p>
        </w:tc>
        <w:tc>
          <w:tcPr>
            <w:tcW w:w="280" w:type="dxa"/>
            <w:vAlign w:val="bottom"/>
          </w:tcPr>
          <w:p>
            <w:pPr>
              <w:spacing w:after="0"/>
              <w:rPr>
                <w:sz w:val="18"/>
                <w:szCs w:val="18"/>
                <w:color w:val="auto"/>
              </w:rPr>
            </w:pPr>
          </w:p>
        </w:tc>
        <w:tc>
          <w:tcPr>
            <w:tcW w:w="5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380"/>
              <w:spacing w:after="0"/>
              <w:rPr>
                <w:sz w:val="20"/>
                <w:szCs w:val="20"/>
                <w:color w:val="auto"/>
              </w:rPr>
            </w:pPr>
            <w:r>
              <w:rPr>
                <w:rFonts w:ascii="Arial" w:cs="Arial" w:eastAsia="Arial" w:hAnsi="Arial"/>
                <w:sz w:val="14"/>
                <w:szCs w:val="14"/>
                <w:color w:val="auto"/>
              </w:rPr>
              <w:t>Income taxes</w:t>
            </w: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780" w:type="dxa"/>
            <w:vAlign w:val="bottom"/>
            <w:vMerge w:val="continue"/>
          </w:tcPr>
          <w:p>
            <w:pPr>
              <w:spacing w:after="0"/>
              <w:rPr>
                <w:sz w:val="10"/>
                <w:szCs w:val="10"/>
                <w:color w:val="auto"/>
              </w:rPr>
            </w:pPr>
          </w:p>
        </w:tc>
        <w:tc>
          <w:tcPr>
            <w:tcW w:w="48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315,177</w:t>
            </w:r>
          </w:p>
        </w:tc>
        <w:tc>
          <w:tcPr>
            <w:tcW w:w="280" w:type="dxa"/>
            <w:vAlign w:val="bottom"/>
          </w:tcPr>
          <w:p>
            <w:pPr>
              <w:spacing w:after="0"/>
              <w:rPr>
                <w:sz w:val="10"/>
                <w:szCs w:val="10"/>
                <w:color w:val="auto"/>
              </w:rPr>
            </w:pPr>
          </w:p>
        </w:tc>
        <w:tc>
          <w:tcPr>
            <w:tcW w:w="540" w:type="dxa"/>
            <w:vAlign w:val="bottom"/>
            <w:vMerge w:val="restart"/>
          </w:tcPr>
          <w:p>
            <w:pPr>
              <w:jc w:val="right"/>
              <w:ind w:right="32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8"/>
              <w:spacing w:after="0"/>
              <w:rPr>
                <w:sz w:val="20"/>
                <w:szCs w:val="20"/>
                <w:color w:val="auto"/>
              </w:rPr>
            </w:pPr>
            <w:r>
              <w:rPr>
                <w:rFonts w:ascii="Arial" w:cs="Arial" w:eastAsia="Arial" w:hAnsi="Arial"/>
                <w:sz w:val="14"/>
                <w:szCs w:val="14"/>
                <w:color w:val="auto"/>
              </w:rPr>
              <w:t>76,285</w:t>
            </w:r>
          </w:p>
        </w:tc>
        <w:tc>
          <w:tcPr>
            <w:tcW w:w="0" w:type="dxa"/>
            <w:vAlign w:val="bottom"/>
          </w:tcPr>
          <w:p>
            <w:pPr>
              <w:spacing w:after="0"/>
              <w:rPr>
                <w:sz w:val="1"/>
                <w:szCs w:val="1"/>
                <w:color w:val="auto"/>
              </w:rPr>
            </w:pPr>
          </w:p>
        </w:tc>
      </w:tr>
      <w:tr>
        <w:trPr>
          <w:trHeight w:val="52"/>
        </w:trPr>
        <w:tc>
          <w:tcPr>
            <w:tcW w:w="7780" w:type="dxa"/>
            <w:vAlign w:val="bottom"/>
          </w:tcPr>
          <w:p>
            <w:pPr>
              <w:spacing w:after="0"/>
              <w:rPr>
                <w:sz w:val="4"/>
                <w:szCs w:val="4"/>
                <w:color w:val="auto"/>
              </w:rPr>
            </w:pPr>
          </w:p>
        </w:tc>
        <w:tc>
          <w:tcPr>
            <w:tcW w:w="480" w:type="dxa"/>
            <w:vAlign w:val="bottom"/>
            <w:tcBorders>
              <w:bottom w:val="single" w:sz="8" w:color="auto"/>
            </w:tcBorders>
            <w:vMerge w:val="continue"/>
          </w:tcPr>
          <w:p>
            <w:pPr>
              <w:spacing w:after="0"/>
              <w:rPr>
                <w:sz w:val="4"/>
                <w:szCs w:val="4"/>
                <w:color w:val="auto"/>
              </w:rPr>
            </w:pPr>
          </w:p>
        </w:tc>
        <w:tc>
          <w:tcPr>
            <w:tcW w:w="1100" w:type="dxa"/>
            <w:vAlign w:val="bottom"/>
            <w:tcBorders>
              <w:bottom w:val="single" w:sz="8" w:color="auto"/>
            </w:tcBorders>
            <w:vMerge w:val="continue"/>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Borders>
              <w:bottom w:val="single" w:sz="8" w:color="auto"/>
            </w:tcBorders>
            <w:vMerge w:val="continue"/>
          </w:tcPr>
          <w:p>
            <w:pPr>
              <w:spacing w:after="0"/>
              <w:rPr>
                <w:sz w:val="4"/>
                <w:szCs w:val="4"/>
                <w:color w:val="auto"/>
              </w:rPr>
            </w:pPr>
          </w:p>
        </w:tc>
        <w:tc>
          <w:tcPr>
            <w:tcW w:w="10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ind w:right="5460"/>
        <w:spacing w:after="0" w:line="248" w:lineRule="auto"/>
        <w:rPr>
          <w:sz w:val="20"/>
          <w:szCs w:val="20"/>
          <w:color w:val="auto"/>
        </w:rPr>
      </w:pPr>
      <w:r>
        <w:rPr>
          <w:rFonts w:ascii="Arial" w:cs="Arial" w:eastAsia="Arial" w:hAnsi="Arial"/>
          <w:sz w:val="20"/>
          <w:szCs w:val="20"/>
          <w:b w:val="1"/>
          <w:bCs w:val="1"/>
          <w:color w:val="auto"/>
        </w:rPr>
        <w:t>MONSTER BEVERAGE CORPORATION AND SUBSIDIARIES CONDENSED CONSOLIDATED STATEMENTS OF CASH FLOWS FOR THE SIX-MONTHS ENDED JUNE 30, 2016 AND 2015 (In Thousands) (Unaudited)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SUPPLEMENTAL DISCLOSURE OF NON-CASH ITEMS</w:t>
      </w:r>
    </w:p>
    <w:p>
      <w:pPr>
        <w:spacing w:after="0" w:line="22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Company entered into capital leases for the acquisition of promotional vehicles of $1.9 million and $0.9 million for the six-months ended June 30, 2016 and 2015, respectively.</w:t>
      </w:r>
    </w:p>
    <w:p>
      <w:pPr>
        <w:spacing w:after="0" w:line="19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During the six-months ended June 30, 2015, the Company issued 11.8 million shares of the Company’s common stock in exchange for KO Energy (see Note 2).</w:t>
      </w:r>
    </w:p>
    <w:p>
      <w:pPr>
        <w:spacing w:after="0" w:line="190"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During the six-months ended June 30, 2015, the Company cancelled 41.5 million shares of treasury stock (see Note 2). Amounts previously recorded as treasury stock were netted against common stock and retained earnings.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40" w:hanging="632"/>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BASIS OF PRESENTATION</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Reference is made to the Notes to Consolidated Financial Statements, in Monster Beverage Corporation and Subsidiaries (the “Company”) Annual Report on Form 10-K for the year ended December 31, 2015 (“Form 10-K”) for a summary of significant accounting policies utilized by the Company and its consolidated subsidiaries and other disclosures, which should be read in conjunction with this Quarterly Report on Form 10-Q (“Form 10-Q”).</w:t>
      </w:r>
    </w:p>
    <w:p>
      <w:pPr>
        <w:spacing w:after="0" w:line="20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Company’s condensed consolidated financial statements included in this Form 10-Q have been prepared in accordance with accounting principles generally accepted in the United States of America (“GAAP”) and Securities and Exchange Commission (“SEC”) rules and regulations applicable to interim financial reporting. They do not include all the information and footnote disclosures normally included in annual financial statements prepared in accordance with GAAP. The information set forth in these interim condensed consolidated financial statements for the three- and six-months ended June 30, 2016 and 2015 is unaudited and reflects all adjustments, which include only normal recurring adjustments and which in the opinion of management are necessary to make the interim condensed consolidated financial statements not misleading. Results of operations for periods covered by this report may not necessarily be indicative of results of operations for the full year.</w:t>
      </w:r>
    </w:p>
    <w:p>
      <w:pPr>
        <w:spacing w:after="0" w:line="21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preparation of financial statements in conformity with GAAP necessarily requires management to make estimates and assumptions that affect the reported amount of assets and liabilities and disclosure of contingent assets and liabilities at the date of the financial statements and the reported amounts of revenues and expenses during the reporting periods. Actual results could differ from these estimates.</w:t>
      </w:r>
    </w:p>
    <w:p>
      <w:pPr>
        <w:spacing w:after="0" w:line="132"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During the second quarter of 2016, the Company renamed and revised its reportable segments to reflect management’s current view of the business and to align its external financial reporting with its operating and internal financial model. Historical segment information has been</w:t>
      </w:r>
    </w:p>
    <w:p>
      <w:pPr>
        <w:sectPr>
          <w:pgSz w:w="11900" w:h="16912" w:orient="portrait"/>
          <w:cols w:equalWidth="0" w:num="1">
            <w:col w:w="11420"/>
          </w:cols>
          <w:pgMar w:left="240" w:top="122" w:right="239" w:bottom="0" w:gutter="0" w:footer="0" w:header="0"/>
        </w:sectPr>
      </w:pPr>
    </w:p>
    <w:bookmarkStart w:id="5" w:name="page6"/>
    <w:bookmarkEnd w:id="5"/>
    <w:p>
      <w:pPr>
        <w:spacing w:after="0"/>
        <w:rPr>
          <w:sz w:val="20"/>
          <w:szCs w:val="20"/>
          <w:color w:val="auto"/>
        </w:rPr>
      </w:pPr>
      <w:r>
        <w:rPr>
          <w:rFonts w:ascii="Arial" w:cs="Arial" w:eastAsia="Arial" w:hAnsi="Arial"/>
          <w:sz w:val="20"/>
          <w:szCs w:val="20"/>
          <w:color w:val="auto"/>
        </w:rPr>
        <w:t>revised to reflect the effect of this change. See Note 17 for additional information about the Company’s reporting segments.</w:t>
      </w:r>
    </w:p>
    <w:p>
      <w:pPr>
        <w:spacing w:after="0" w:line="230" w:lineRule="exact"/>
        <w:rPr>
          <w:sz w:val="20"/>
          <w:szCs w:val="20"/>
          <w:color w:val="auto"/>
        </w:rPr>
      </w:pPr>
    </w:p>
    <w:p>
      <w:pPr>
        <w:ind w:right="7460" w:firstLine="8"/>
        <w:spacing w:after="0" w:line="479" w:lineRule="auto"/>
        <w:tabs>
          <w:tab w:leader="none" w:pos="635" w:val="left"/>
        </w:tabs>
        <w:numPr>
          <w:ilvl w:val="0"/>
          <w:numId w:val="2"/>
        </w:numPr>
        <w:rPr>
          <w:rFonts w:ascii="Arial" w:cs="Arial" w:eastAsia="Arial" w:hAnsi="Arial"/>
          <w:sz w:val="20"/>
          <w:szCs w:val="20"/>
          <w:color w:val="auto"/>
        </w:rPr>
      </w:pPr>
      <w:r>
        <w:rPr>
          <w:rFonts w:ascii="Arial" w:cs="Arial" w:eastAsia="Arial" w:hAnsi="Arial"/>
          <w:sz w:val="20"/>
          <w:szCs w:val="20"/>
          <w:color w:val="auto"/>
        </w:rPr>
        <w:t xml:space="preserve">ACQUISITIONS AND DIVESTITURES </w:t>
      </w:r>
      <w:r>
        <w:rPr>
          <w:rFonts w:ascii="Arial" w:cs="Arial" w:eastAsia="Arial" w:hAnsi="Arial"/>
          <w:sz w:val="20"/>
          <w:szCs w:val="20"/>
          <w:u w:val="single" w:color="auto"/>
          <w:color w:val="auto"/>
        </w:rPr>
        <w:t>American Fruits &amp; Flavors</w:t>
      </w:r>
    </w:p>
    <w:p>
      <w:pPr>
        <w:jc w:val="both"/>
        <w:ind w:firstLine="648"/>
        <w:spacing w:after="0" w:line="263" w:lineRule="auto"/>
        <w:rPr>
          <w:sz w:val="20"/>
          <w:szCs w:val="20"/>
          <w:color w:val="auto"/>
        </w:rPr>
      </w:pPr>
      <w:r>
        <w:rPr>
          <w:rFonts w:ascii="Arial" w:cs="Arial" w:eastAsia="Arial" w:hAnsi="Arial"/>
          <w:sz w:val="19"/>
          <w:szCs w:val="19"/>
          <w:color w:val="auto"/>
        </w:rPr>
        <w:t>On April 1, 2016, the Company completed its acquisition of flavor supplier and long-time business partner American Fruits &amp; Flavors (“AFF”), in an asset acquisition that brought the Company’s primary flavor supplier in-house, secured the intellectual property of the Company’s most important flavors in perpetuity and further enhanced its flavor development and global flavor footprint capabilities (the “AFF Transaction”). Pursuant to the terms of the AFF Transaction, the Company purchased AFF for $688.5 million in cash.</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accounted for the AFF Transaction in accordance with Financial Accounting Standards Board (“FASB”) Accounting Standards Codification (“ASC”) 805 “Business Combinations”.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AFF Transaction consideration preliminary fair value allocations: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8"/>
        </w:trPr>
        <w:tc>
          <w:tcPr>
            <w:tcW w:w="7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9"/>
                <w:szCs w:val="19"/>
                <w:color w:val="auto"/>
                <w:w w:val="95"/>
              </w:rPr>
              <w:t>Identifiable</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18"/>
                <w:szCs w:val="18"/>
                <w:color w:val="auto"/>
              </w:rPr>
            </w:pPr>
          </w:p>
        </w:tc>
        <w:tc>
          <w:tcPr>
            <w:tcW w:w="1880" w:type="dxa"/>
            <w:vAlign w:val="bottom"/>
            <w:gridSpan w:val="3"/>
          </w:tcPr>
          <w:p>
            <w:pPr>
              <w:jc w:val="center"/>
              <w:ind w:right="280"/>
              <w:spacing w:after="0" w:line="216" w:lineRule="exact"/>
              <w:rPr>
                <w:sz w:val="20"/>
                <w:szCs w:val="20"/>
                <w:color w:val="auto"/>
              </w:rPr>
            </w:pPr>
            <w:r>
              <w:rPr>
                <w:rFonts w:ascii="Arial" w:cs="Arial" w:eastAsia="Arial" w:hAnsi="Arial"/>
                <w:sz w:val="19"/>
                <w:szCs w:val="19"/>
                <w:color w:val="auto"/>
                <w:w w:val="90"/>
              </w:rPr>
              <w:t>Assets Acquired</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500"/>
              <w:spacing w:after="0" w:line="216" w:lineRule="exact"/>
              <w:rPr>
                <w:sz w:val="20"/>
                <w:szCs w:val="20"/>
                <w:color w:val="auto"/>
              </w:rPr>
            </w:pPr>
            <w:r>
              <w:rPr>
                <w:rFonts w:ascii="Arial" w:cs="Arial" w:eastAsia="Arial" w:hAnsi="Arial"/>
                <w:sz w:val="19"/>
                <w:szCs w:val="19"/>
                <w:color w:val="auto"/>
                <w:w w:val="93"/>
              </w:rPr>
              <w:t>and Liabilities</w:t>
            </w:r>
          </w:p>
        </w:tc>
        <w:tc>
          <w:tcPr>
            <w:tcW w:w="220" w:type="dxa"/>
            <w:vAlign w:val="bottom"/>
          </w:tcPr>
          <w:p>
            <w:pPr>
              <w:spacing w:after="0"/>
              <w:rPr>
                <w:sz w:val="18"/>
                <w:szCs w:val="18"/>
                <w:color w:val="auto"/>
              </w:rPr>
            </w:pPr>
          </w:p>
        </w:tc>
        <w:tc>
          <w:tcPr>
            <w:tcW w:w="1340" w:type="dxa"/>
            <w:vAlign w:val="bottom"/>
          </w:tcPr>
          <w:p>
            <w:pPr>
              <w:jc w:val="right"/>
              <w:ind w:right="145"/>
              <w:spacing w:after="0" w:line="216" w:lineRule="exact"/>
              <w:rPr>
                <w:sz w:val="20"/>
                <w:szCs w:val="20"/>
                <w:color w:val="auto"/>
              </w:rPr>
            </w:pPr>
            <w:r>
              <w:rPr>
                <w:rFonts w:ascii="Arial" w:cs="Arial" w:eastAsia="Arial" w:hAnsi="Arial"/>
                <w:sz w:val="19"/>
                <w:szCs w:val="19"/>
                <w:color w:val="auto"/>
                <w:w w:val="92"/>
              </w:rPr>
              <w:t>Consideration</w:t>
            </w:r>
          </w:p>
        </w:tc>
        <w:tc>
          <w:tcPr>
            <w:tcW w:w="0" w:type="dxa"/>
            <w:vAlign w:val="bottom"/>
          </w:tcPr>
          <w:p>
            <w:pPr>
              <w:spacing w:after="0"/>
              <w:rPr>
                <w:sz w:val="1"/>
                <w:szCs w:val="1"/>
                <w:color w:val="auto"/>
              </w:rPr>
            </w:pPr>
          </w:p>
        </w:tc>
      </w:tr>
      <w:tr>
        <w:trPr>
          <w:trHeight w:val="238"/>
        </w:trPr>
        <w:tc>
          <w:tcPr>
            <w:tcW w:w="7040" w:type="dxa"/>
            <w:vAlign w:val="bottom"/>
            <w:vMerge w:val="restart"/>
          </w:tcPr>
          <w:p>
            <w:pPr>
              <w:spacing w:after="0"/>
              <w:rPr>
                <w:sz w:val="20"/>
                <w:szCs w:val="20"/>
                <w:color w:val="auto"/>
              </w:rPr>
            </w:pPr>
            <w:r>
              <w:rPr>
                <w:rFonts w:ascii="Arial" w:cs="Arial" w:eastAsia="Arial" w:hAnsi="Arial"/>
                <w:sz w:val="19"/>
                <w:szCs w:val="19"/>
                <w:color w:val="auto"/>
              </w:rPr>
              <w:t>Intangibles - flavor formulas (non-amortizing)¹</w:t>
            </w:r>
          </w:p>
        </w:tc>
        <w:tc>
          <w:tcPr>
            <w:tcW w:w="220" w:type="dxa"/>
            <w:vAlign w:val="bottom"/>
          </w:tcPr>
          <w:p>
            <w:pPr>
              <w:spacing w:after="0"/>
              <w:rPr>
                <w:sz w:val="20"/>
                <w:szCs w:val="20"/>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9"/>
                <w:szCs w:val="19"/>
                <w:color w:val="auto"/>
                <w:w w:val="88"/>
              </w:rPr>
              <w:t>Assumed</w:t>
            </w:r>
          </w:p>
        </w:tc>
        <w:tc>
          <w:tcPr>
            <w:tcW w:w="220" w:type="dxa"/>
            <w:vAlign w:val="bottom"/>
          </w:tcPr>
          <w:p>
            <w:pPr>
              <w:spacing w:after="0"/>
              <w:rPr>
                <w:sz w:val="20"/>
                <w:szCs w:val="20"/>
                <w:color w:val="auto"/>
              </w:rPr>
            </w:pPr>
          </w:p>
        </w:tc>
        <w:tc>
          <w:tcPr>
            <w:tcW w:w="1340" w:type="dxa"/>
            <w:vAlign w:val="bottom"/>
          </w:tcPr>
          <w:p>
            <w:pPr>
              <w:jc w:val="right"/>
              <w:ind w:right="245"/>
              <w:spacing w:after="0"/>
              <w:rPr>
                <w:sz w:val="20"/>
                <w:szCs w:val="20"/>
                <w:color w:val="auto"/>
              </w:rPr>
            </w:pPr>
            <w:r>
              <w:rPr>
                <w:rFonts w:ascii="Arial" w:cs="Arial" w:eastAsia="Arial" w:hAnsi="Arial"/>
                <w:sz w:val="19"/>
                <w:szCs w:val="19"/>
                <w:color w:val="auto"/>
                <w:w w:val="99"/>
              </w:rPr>
              <w:t>Transferred</w:t>
            </w:r>
          </w:p>
        </w:tc>
        <w:tc>
          <w:tcPr>
            <w:tcW w:w="0" w:type="dxa"/>
            <w:vAlign w:val="bottom"/>
          </w:tcPr>
          <w:p>
            <w:pPr>
              <w:spacing w:after="0"/>
              <w:rPr>
                <w:sz w:val="1"/>
                <w:szCs w:val="1"/>
                <w:color w:val="auto"/>
              </w:rPr>
            </w:pPr>
          </w:p>
        </w:tc>
      </w:tr>
      <w:tr>
        <w:trPr>
          <w:trHeight w:val="187"/>
        </w:trPr>
        <w:tc>
          <w:tcPr>
            <w:tcW w:w="7040" w:type="dxa"/>
            <w:vAlign w:val="bottom"/>
            <w:vMerge w:val="continue"/>
          </w:tcPr>
          <w:p>
            <w:pPr>
              <w:spacing w:after="0"/>
              <w:rPr>
                <w:sz w:val="16"/>
                <w:szCs w:val="16"/>
                <w:color w:val="auto"/>
              </w:rPr>
            </w:pPr>
          </w:p>
        </w:tc>
        <w:tc>
          <w:tcPr>
            <w:tcW w:w="22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w:t>
            </w:r>
          </w:p>
        </w:tc>
        <w:tc>
          <w:tcPr>
            <w:tcW w:w="138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618,000</w:t>
            </w:r>
          </w:p>
        </w:tc>
        <w:tc>
          <w:tcPr>
            <w:tcW w:w="280" w:type="dxa"/>
            <w:vAlign w:val="bottom"/>
          </w:tcPr>
          <w:p>
            <w:pPr>
              <w:spacing w:after="0"/>
              <w:rPr>
                <w:sz w:val="16"/>
                <w:szCs w:val="16"/>
                <w:color w:val="auto"/>
              </w:rPr>
            </w:pPr>
          </w:p>
        </w:tc>
        <w:tc>
          <w:tcPr>
            <w:tcW w:w="22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w:t>
            </w:r>
          </w:p>
        </w:tc>
        <w:tc>
          <w:tcPr>
            <w:tcW w:w="134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7040" w:type="dxa"/>
            <w:vAlign w:val="bottom"/>
          </w:tcPr>
          <w:p>
            <w:pPr>
              <w:spacing w:after="0" w:line="216" w:lineRule="exact"/>
              <w:rPr>
                <w:sz w:val="20"/>
                <w:szCs w:val="20"/>
                <w:color w:val="auto"/>
              </w:rPr>
            </w:pPr>
            <w:r>
              <w:rPr>
                <w:rFonts w:ascii="Arial" w:cs="Arial" w:eastAsia="Arial" w:hAnsi="Arial"/>
                <w:sz w:val="19"/>
                <w:szCs w:val="19"/>
                <w:color w:val="auto"/>
              </w:rPr>
              <w:t>Intangibles - flavor formulas (amortizing)</w:t>
            </w:r>
          </w:p>
        </w:tc>
        <w:tc>
          <w:tcPr>
            <w:tcW w:w="220" w:type="dxa"/>
            <w:vAlign w:val="bottom"/>
          </w:tcPr>
          <w:p>
            <w:pPr>
              <w:spacing w:after="0"/>
              <w:rPr>
                <w:sz w:val="18"/>
                <w:szCs w:val="18"/>
                <w:color w:val="auto"/>
              </w:rPr>
            </w:pPr>
          </w:p>
        </w:tc>
        <w:tc>
          <w:tcPr>
            <w:tcW w:w="1380" w:type="dxa"/>
            <w:vAlign w:val="bottom"/>
          </w:tcPr>
          <w:p>
            <w:pPr>
              <w:jc w:val="right"/>
              <w:spacing w:after="0" w:line="216" w:lineRule="exact"/>
              <w:rPr>
                <w:sz w:val="20"/>
                <w:szCs w:val="20"/>
                <w:color w:val="auto"/>
              </w:rPr>
            </w:pPr>
            <w:r>
              <w:rPr>
                <w:rFonts w:ascii="Arial" w:cs="Arial" w:eastAsia="Arial" w:hAnsi="Arial"/>
                <w:sz w:val="19"/>
                <w:szCs w:val="19"/>
                <w:color w:val="auto"/>
              </w:rPr>
              <w:t>641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7040" w:type="dxa"/>
            <w:vAlign w:val="bottom"/>
          </w:tcPr>
          <w:p>
            <w:pPr>
              <w:spacing w:after="0" w:line="216" w:lineRule="exact"/>
              <w:rPr>
                <w:sz w:val="20"/>
                <w:szCs w:val="20"/>
                <w:color w:val="auto"/>
              </w:rPr>
            </w:pPr>
            <w:r>
              <w:rPr>
                <w:rFonts w:ascii="Arial" w:cs="Arial" w:eastAsia="Arial" w:hAnsi="Arial"/>
                <w:sz w:val="19"/>
                <w:szCs w:val="19"/>
                <w:color w:val="auto"/>
              </w:rPr>
              <w:t>Intangibles - customer relationships (amortizing)</w:t>
            </w:r>
          </w:p>
        </w:tc>
        <w:tc>
          <w:tcPr>
            <w:tcW w:w="220" w:type="dxa"/>
            <w:vAlign w:val="bottom"/>
          </w:tcPr>
          <w:p>
            <w:pPr>
              <w:spacing w:after="0"/>
              <w:rPr>
                <w:sz w:val="18"/>
                <w:szCs w:val="18"/>
                <w:color w:val="auto"/>
              </w:rPr>
            </w:pPr>
          </w:p>
        </w:tc>
        <w:tc>
          <w:tcPr>
            <w:tcW w:w="1380" w:type="dxa"/>
            <w:vAlign w:val="bottom"/>
          </w:tcPr>
          <w:p>
            <w:pPr>
              <w:jc w:val="right"/>
              <w:spacing w:after="0" w:line="216" w:lineRule="exact"/>
              <w:rPr>
                <w:sz w:val="20"/>
                <w:szCs w:val="20"/>
                <w:color w:val="auto"/>
              </w:rPr>
            </w:pPr>
            <w:r>
              <w:rPr>
                <w:rFonts w:ascii="Arial" w:cs="Arial" w:eastAsia="Arial" w:hAnsi="Arial"/>
                <w:sz w:val="19"/>
                <w:szCs w:val="19"/>
                <w:color w:val="auto"/>
              </w:rPr>
              <w:t>30,100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7040" w:type="dxa"/>
            <w:vAlign w:val="bottom"/>
          </w:tcPr>
          <w:p>
            <w:pPr>
              <w:spacing w:after="0" w:line="216" w:lineRule="exact"/>
              <w:rPr>
                <w:sz w:val="20"/>
                <w:szCs w:val="20"/>
                <w:color w:val="auto"/>
              </w:rPr>
            </w:pPr>
            <w:r>
              <w:rPr>
                <w:rFonts w:ascii="Arial" w:cs="Arial" w:eastAsia="Arial" w:hAnsi="Arial"/>
                <w:sz w:val="19"/>
                <w:szCs w:val="19"/>
                <w:color w:val="auto"/>
              </w:rPr>
              <w:t>Intangibles - trademarks (amortizing)</w:t>
            </w:r>
          </w:p>
        </w:tc>
        <w:tc>
          <w:tcPr>
            <w:tcW w:w="220" w:type="dxa"/>
            <w:vAlign w:val="bottom"/>
          </w:tcPr>
          <w:p>
            <w:pPr>
              <w:spacing w:after="0"/>
              <w:rPr>
                <w:sz w:val="18"/>
                <w:szCs w:val="18"/>
                <w:color w:val="auto"/>
              </w:rPr>
            </w:pPr>
          </w:p>
        </w:tc>
        <w:tc>
          <w:tcPr>
            <w:tcW w:w="1380" w:type="dxa"/>
            <w:vAlign w:val="bottom"/>
          </w:tcPr>
          <w:p>
            <w:pPr>
              <w:jc w:val="right"/>
              <w:spacing w:after="0" w:line="216" w:lineRule="exact"/>
              <w:rPr>
                <w:sz w:val="20"/>
                <w:szCs w:val="20"/>
                <w:color w:val="auto"/>
              </w:rPr>
            </w:pPr>
            <w:r>
              <w:rPr>
                <w:rFonts w:ascii="Arial" w:cs="Arial" w:eastAsia="Arial" w:hAnsi="Arial"/>
                <w:sz w:val="19"/>
                <w:szCs w:val="19"/>
                <w:color w:val="auto"/>
              </w:rPr>
              <w:t>500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7040" w:type="dxa"/>
            <w:vAlign w:val="bottom"/>
          </w:tcPr>
          <w:p>
            <w:pPr>
              <w:spacing w:after="0" w:line="216" w:lineRule="exact"/>
              <w:rPr>
                <w:sz w:val="20"/>
                <w:szCs w:val="20"/>
                <w:color w:val="auto"/>
              </w:rPr>
            </w:pPr>
            <w:r>
              <w:rPr>
                <w:rFonts w:ascii="Arial" w:cs="Arial" w:eastAsia="Arial" w:hAnsi="Arial"/>
                <w:sz w:val="19"/>
                <w:szCs w:val="19"/>
                <w:color w:val="auto"/>
              </w:rPr>
              <w:t>Intangibles - other (amortizing)</w:t>
            </w:r>
          </w:p>
        </w:tc>
        <w:tc>
          <w:tcPr>
            <w:tcW w:w="220" w:type="dxa"/>
            <w:vAlign w:val="bottom"/>
          </w:tcPr>
          <w:p>
            <w:pPr>
              <w:spacing w:after="0"/>
              <w:rPr>
                <w:sz w:val="18"/>
                <w:szCs w:val="18"/>
                <w:color w:val="auto"/>
              </w:rPr>
            </w:pPr>
          </w:p>
        </w:tc>
        <w:tc>
          <w:tcPr>
            <w:tcW w:w="1380" w:type="dxa"/>
            <w:vAlign w:val="bottom"/>
          </w:tcPr>
          <w:p>
            <w:pPr>
              <w:jc w:val="right"/>
              <w:spacing w:after="0" w:line="216" w:lineRule="exact"/>
              <w:rPr>
                <w:sz w:val="20"/>
                <w:szCs w:val="20"/>
                <w:color w:val="auto"/>
              </w:rPr>
            </w:pPr>
            <w:r>
              <w:rPr>
                <w:rFonts w:ascii="Arial" w:cs="Arial" w:eastAsia="Arial" w:hAnsi="Arial"/>
                <w:sz w:val="19"/>
                <w:szCs w:val="19"/>
                <w:color w:val="auto"/>
              </w:rPr>
              <w:t>200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7040" w:type="dxa"/>
            <w:vAlign w:val="bottom"/>
          </w:tcPr>
          <w:p>
            <w:pPr>
              <w:spacing w:after="0" w:line="216" w:lineRule="exact"/>
              <w:rPr>
                <w:sz w:val="20"/>
                <w:szCs w:val="20"/>
                <w:color w:val="auto"/>
              </w:rPr>
            </w:pPr>
            <w:r>
              <w:rPr>
                <w:rFonts w:ascii="Arial" w:cs="Arial" w:eastAsia="Arial" w:hAnsi="Arial"/>
                <w:sz w:val="19"/>
                <w:szCs w:val="19"/>
                <w:color w:val="auto"/>
              </w:rPr>
              <w:t>Working capital (excluding inventory)</w:t>
            </w:r>
          </w:p>
        </w:tc>
        <w:tc>
          <w:tcPr>
            <w:tcW w:w="220" w:type="dxa"/>
            <w:vAlign w:val="bottom"/>
          </w:tcPr>
          <w:p>
            <w:pPr>
              <w:spacing w:after="0"/>
              <w:rPr>
                <w:sz w:val="18"/>
                <w:szCs w:val="18"/>
                <w:color w:val="auto"/>
              </w:rPr>
            </w:pPr>
          </w:p>
        </w:tc>
        <w:tc>
          <w:tcPr>
            <w:tcW w:w="1380" w:type="dxa"/>
            <w:vAlign w:val="bottom"/>
          </w:tcPr>
          <w:p>
            <w:pPr>
              <w:jc w:val="right"/>
              <w:spacing w:after="0" w:line="216" w:lineRule="exact"/>
              <w:rPr>
                <w:sz w:val="20"/>
                <w:szCs w:val="20"/>
                <w:color w:val="auto"/>
              </w:rPr>
            </w:pPr>
            <w:r>
              <w:rPr>
                <w:rFonts w:ascii="Arial" w:cs="Arial" w:eastAsia="Arial" w:hAnsi="Arial"/>
                <w:sz w:val="19"/>
                <w:szCs w:val="19"/>
                <w:color w:val="auto"/>
              </w:rPr>
              <w:t>1,861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7040" w:type="dxa"/>
            <w:vAlign w:val="bottom"/>
          </w:tcPr>
          <w:p>
            <w:pPr>
              <w:spacing w:after="0" w:line="216" w:lineRule="exact"/>
              <w:rPr>
                <w:sz w:val="20"/>
                <w:szCs w:val="20"/>
                <w:color w:val="auto"/>
              </w:rPr>
            </w:pPr>
            <w:r>
              <w:rPr>
                <w:rFonts w:ascii="Arial" w:cs="Arial" w:eastAsia="Arial" w:hAnsi="Arial"/>
                <w:sz w:val="19"/>
                <w:szCs w:val="19"/>
                <w:color w:val="auto"/>
              </w:rPr>
              <w:t>Inventory</w:t>
            </w:r>
          </w:p>
        </w:tc>
        <w:tc>
          <w:tcPr>
            <w:tcW w:w="220" w:type="dxa"/>
            <w:vAlign w:val="bottom"/>
          </w:tcPr>
          <w:p>
            <w:pPr>
              <w:spacing w:after="0"/>
              <w:rPr>
                <w:sz w:val="18"/>
                <w:szCs w:val="18"/>
                <w:color w:val="auto"/>
              </w:rPr>
            </w:pPr>
          </w:p>
        </w:tc>
        <w:tc>
          <w:tcPr>
            <w:tcW w:w="1380" w:type="dxa"/>
            <w:vAlign w:val="bottom"/>
          </w:tcPr>
          <w:p>
            <w:pPr>
              <w:jc w:val="right"/>
              <w:spacing w:after="0" w:line="216" w:lineRule="exact"/>
              <w:rPr>
                <w:sz w:val="20"/>
                <w:szCs w:val="20"/>
                <w:color w:val="auto"/>
              </w:rPr>
            </w:pPr>
            <w:r>
              <w:rPr>
                <w:rFonts w:ascii="Arial" w:cs="Arial" w:eastAsia="Arial" w:hAnsi="Arial"/>
                <w:sz w:val="19"/>
                <w:szCs w:val="19"/>
                <w:color w:val="auto"/>
              </w:rPr>
              <w:t>27,600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7040" w:type="dxa"/>
            <w:vAlign w:val="bottom"/>
          </w:tcPr>
          <w:p>
            <w:pPr>
              <w:spacing w:after="0" w:line="216" w:lineRule="exact"/>
              <w:rPr>
                <w:sz w:val="20"/>
                <w:szCs w:val="20"/>
                <w:color w:val="auto"/>
              </w:rPr>
            </w:pPr>
            <w:r>
              <w:rPr>
                <w:rFonts w:ascii="Arial" w:cs="Arial" w:eastAsia="Arial" w:hAnsi="Arial"/>
                <w:sz w:val="19"/>
                <w:szCs w:val="19"/>
                <w:color w:val="auto"/>
              </w:rPr>
              <w:t>Property and equipment, net</w:t>
            </w:r>
          </w:p>
        </w:tc>
        <w:tc>
          <w:tcPr>
            <w:tcW w:w="220" w:type="dxa"/>
            <w:vAlign w:val="bottom"/>
          </w:tcPr>
          <w:p>
            <w:pPr>
              <w:spacing w:after="0"/>
              <w:rPr>
                <w:sz w:val="18"/>
                <w:szCs w:val="18"/>
                <w:color w:val="auto"/>
              </w:rPr>
            </w:pPr>
          </w:p>
        </w:tc>
        <w:tc>
          <w:tcPr>
            <w:tcW w:w="1380" w:type="dxa"/>
            <w:vAlign w:val="bottom"/>
          </w:tcPr>
          <w:p>
            <w:pPr>
              <w:jc w:val="right"/>
              <w:spacing w:after="0" w:line="216" w:lineRule="exact"/>
              <w:rPr>
                <w:sz w:val="20"/>
                <w:szCs w:val="20"/>
                <w:color w:val="auto"/>
              </w:rPr>
            </w:pPr>
            <w:r>
              <w:rPr>
                <w:rFonts w:ascii="Arial" w:cs="Arial" w:eastAsia="Arial" w:hAnsi="Arial"/>
                <w:sz w:val="19"/>
                <w:szCs w:val="19"/>
                <w:color w:val="auto"/>
              </w:rPr>
              <w:t>1,175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7040" w:type="dxa"/>
            <w:vAlign w:val="bottom"/>
          </w:tcPr>
          <w:p>
            <w:pPr>
              <w:spacing w:after="0" w:line="216" w:lineRule="exact"/>
              <w:rPr>
                <w:sz w:val="20"/>
                <w:szCs w:val="20"/>
                <w:color w:val="auto"/>
              </w:rPr>
            </w:pPr>
            <w:r>
              <w:rPr>
                <w:rFonts w:ascii="Arial" w:cs="Arial" w:eastAsia="Arial" w:hAnsi="Arial"/>
                <w:sz w:val="19"/>
                <w:szCs w:val="19"/>
                <w:color w:val="auto"/>
              </w:rPr>
              <w:t>Favorable leases</w:t>
            </w:r>
          </w:p>
        </w:tc>
        <w:tc>
          <w:tcPr>
            <w:tcW w:w="220" w:type="dxa"/>
            <w:vAlign w:val="bottom"/>
          </w:tcPr>
          <w:p>
            <w:pPr>
              <w:spacing w:after="0"/>
              <w:rPr>
                <w:sz w:val="18"/>
                <w:szCs w:val="18"/>
                <w:color w:val="auto"/>
              </w:rPr>
            </w:pPr>
          </w:p>
        </w:tc>
        <w:tc>
          <w:tcPr>
            <w:tcW w:w="1380" w:type="dxa"/>
            <w:vAlign w:val="bottom"/>
          </w:tcPr>
          <w:p>
            <w:pPr>
              <w:jc w:val="right"/>
              <w:spacing w:after="0" w:line="216" w:lineRule="exact"/>
              <w:rPr>
                <w:sz w:val="20"/>
                <w:szCs w:val="20"/>
                <w:color w:val="auto"/>
              </w:rPr>
            </w:pPr>
            <w:r>
              <w:rPr>
                <w:rFonts w:ascii="Arial" w:cs="Arial" w:eastAsia="Arial" w:hAnsi="Arial"/>
                <w:sz w:val="19"/>
                <w:szCs w:val="19"/>
                <w:color w:val="auto"/>
              </w:rPr>
              <w:t>4,480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7040" w:type="dxa"/>
            <w:vAlign w:val="bottom"/>
          </w:tcPr>
          <w:p>
            <w:pPr>
              <w:spacing w:after="0" w:line="216" w:lineRule="exact"/>
              <w:rPr>
                <w:sz w:val="20"/>
                <w:szCs w:val="20"/>
                <w:color w:val="auto"/>
              </w:rPr>
            </w:pPr>
            <w:r>
              <w:rPr>
                <w:rFonts w:ascii="Arial" w:cs="Arial" w:eastAsia="Arial" w:hAnsi="Arial"/>
                <w:sz w:val="19"/>
                <w:szCs w:val="19"/>
                <w:color w:val="auto"/>
              </w:rPr>
              <w:t>Goodwill</w:t>
            </w:r>
          </w:p>
        </w:tc>
        <w:tc>
          <w:tcPr>
            <w:tcW w:w="220" w:type="dxa"/>
            <w:vAlign w:val="bottom"/>
          </w:tcPr>
          <w:p>
            <w:pPr>
              <w:spacing w:after="0"/>
              <w:rPr>
                <w:sz w:val="18"/>
                <w:szCs w:val="18"/>
                <w:color w:val="auto"/>
              </w:rPr>
            </w:pPr>
          </w:p>
        </w:tc>
        <w:tc>
          <w:tcPr>
            <w:tcW w:w="1380" w:type="dxa"/>
            <w:vAlign w:val="bottom"/>
          </w:tcPr>
          <w:p>
            <w:pPr>
              <w:jc w:val="right"/>
              <w:spacing w:after="0" w:line="216" w:lineRule="exact"/>
              <w:rPr>
                <w:sz w:val="20"/>
                <w:szCs w:val="20"/>
                <w:color w:val="auto"/>
              </w:rPr>
            </w:pPr>
            <w:r>
              <w:rPr>
                <w:rFonts w:ascii="Arial" w:cs="Arial" w:eastAsia="Arial" w:hAnsi="Arial"/>
                <w:sz w:val="19"/>
                <w:szCs w:val="19"/>
                <w:color w:val="auto"/>
              </w:rPr>
              <w:t>3,928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7040" w:type="dxa"/>
            <w:vAlign w:val="bottom"/>
          </w:tcPr>
          <w:p>
            <w:pPr>
              <w:spacing w:after="0" w:line="216" w:lineRule="exact"/>
              <w:rPr>
                <w:sz w:val="20"/>
                <w:szCs w:val="20"/>
                <w:color w:val="auto"/>
              </w:rPr>
            </w:pPr>
            <w:r>
              <w:rPr>
                <w:rFonts w:ascii="Arial" w:cs="Arial" w:eastAsia="Arial" w:hAnsi="Arial"/>
                <w:sz w:val="19"/>
                <w:szCs w:val="19"/>
                <w:color w:val="auto"/>
              </w:rPr>
              <w:t>Cash</w:t>
            </w:r>
          </w:p>
        </w:tc>
        <w:tc>
          <w:tcPr>
            <w:tcW w:w="220" w:type="dxa"/>
            <w:vAlign w:val="bottom"/>
          </w:tcPr>
          <w:p>
            <w:pPr>
              <w:spacing w:after="0"/>
              <w:rPr>
                <w:sz w:val="18"/>
                <w:szCs w:val="18"/>
                <w:color w:val="auto"/>
              </w:rPr>
            </w:pPr>
          </w:p>
        </w:tc>
        <w:tc>
          <w:tcPr>
            <w:tcW w:w="138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line="216" w:lineRule="exact"/>
              <w:rPr>
                <w:sz w:val="20"/>
                <w:szCs w:val="20"/>
                <w:color w:val="auto"/>
              </w:rPr>
            </w:pPr>
            <w:r>
              <w:rPr>
                <w:rFonts w:ascii="Arial" w:cs="Arial" w:eastAsia="Arial" w:hAnsi="Arial"/>
                <w:sz w:val="19"/>
                <w:szCs w:val="19"/>
                <w:color w:val="auto"/>
              </w:rPr>
              <w:t>688,485</w:t>
            </w:r>
          </w:p>
        </w:tc>
        <w:tc>
          <w:tcPr>
            <w:tcW w:w="0" w:type="dxa"/>
            <w:vAlign w:val="bottom"/>
          </w:tcPr>
          <w:p>
            <w:pPr>
              <w:spacing w:after="0"/>
              <w:rPr>
                <w:sz w:val="1"/>
                <w:szCs w:val="1"/>
                <w:color w:val="auto"/>
              </w:rPr>
            </w:pPr>
          </w:p>
        </w:tc>
      </w:tr>
      <w:tr>
        <w:trPr>
          <w:trHeight w:val="22"/>
        </w:trPr>
        <w:tc>
          <w:tcPr>
            <w:tcW w:w="7040" w:type="dxa"/>
            <w:vAlign w:val="bottom"/>
            <w:vMerge w:val="restart"/>
          </w:tcPr>
          <w:p>
            <w:pPr>
              <w:ind w:left="180"/>
              <w:spacing w:after="0"/>
              <w:rPr>
                <w:sz w:val="20"/>
                <w:szCs w:val="20"/>
                <w:color w:val="auto"/>
              </w:rPr>
            </w:pPr>
            <w:r>
              <w:rPr>
                <w:rFonts w:ascii="Arial" w:cs="Arial" w:eastAsia="Arial" w:hAnsi="Arial"/>
                <w:sz w:val="19"/>
                <w:szCs w:val="19"/>
                <w:color w:val="auto"/>
              </w:rPr>
              <w:t>Total</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040" w:type="dxa"/>
            <w:vAlign w:val="bottom"/>
            <w:vMerge w:val="continue"/>
          </w:tcPr>
          <w:p>
            <w:pPr>
              <w:spacing w:after="0"/>
              <w:rPr>
                <w:sz w:val="18"/>
                <w:szCs w:val="18"/>
                <w:color w:val="auto"/>
              </w:rPr>
            </w:pPr>
          </w:p>
        </w:tc>
        <w:tc>
          <w:tcPr>
            <w:tcW w:w="2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3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688,485</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3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688,485</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660"/>
        <w:spacing w:after="0"/>
        <w:rPr>
          <w:sz w:val="20"/>
          <w:szCs w:val="20"/>
          <w:color w:val="auto"/>
        </w:rPr>
      </w:pPr>
      <w:r>
        <w:rPr>
          <w:rFonts w:ascii="Arial" w:cs="Arial" w:eastAsia="Arial" w:hAnsi="Arial"/>
          <w:sz w:val="23"/>
          <w:szCs w:val="23"/>
          <w:i w:val="1"/>
          <w:iCs w:val="1"/>
          <w:color w:val="auto"/>
          <w:vertAlign w:val="superscript"/>
        </w:rPr>
        <w:t>1</w:t>
      </w:r>
      <w:r>
        <w:rPr>
          <w:rFonts w:ascii="Arial" w:cs="Arial" w:eastAsia="Arial" w:hAnsi="Arial"/>
          <w:sz w:val="16"/>
          <w:szCs w:val="16"/>
          <w:i w:val="1"/>
          <w:iCs w:val="1"/>
          <w:color w:val="auto"/>
        </w:rPr>
        <w:t>Represents proprietary formulas for the Company’s principal products.</w:t>
      </w:r>
    </w:p>
    <w:p>
      <w:pPr>
        <w:spacing w:after="0" w:line="17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The fair value analysis has yet to progress to a stage where there is sufficient information for a definitive measurement of the respective fair values. Accordingly, the respective fair value allocations are preliminary and are based on valuations derived from estimated fair value assumptions used by management. The Company expects to complete its fair value analysis at a level of detail necessary to finalize the underlying fair value allocation as soon as practicable, but no later than twelve months from the closing of the AFF Transaction.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determined the estimated fair values as follows:</w:t>
      </w:r>
    </w:p>
    <w:p>
      <w:pPr>
        <w:spacing w:after="0" w:line="229" w:lineRule="exact"/>
        <w:rPr>
          <w:sz w:val="20"/>
          <w:szCs w:val="20"/>
          <w:color w:val="auto"/>
        </w:rPr>
      </w:pPr>
    </w:p>
    <w:p>
      <w:pPr>
        <w:ind w:left="1260" w:hanging="280"/>
        <w:spacing w:after="0"/>
        <w:tabs>
          <w:tab w:leader="none" w:pos="1260" w:val="left"/>
        </w:tabs>
        <w:numPr>
          <w:ilvl w:val="0"/>
          <w:numId w:val="3"/>
        </w:numPr>
        <w:rPr>
          <w:rFonts w:ascii="Arial" w:cs="Arial" w:eastAsia="Arial" w:hAnsi="Arial"/>
          <w:sz w:val="20"/>
          <w:szCs w:val="20"/>
          <w:color w:val="auto"/>
        </w:rPr>
      </w:pPr>
      <w:r>
        <w:rPr>
          <w:rFonts w:ascii="Arial" w:cs="Arial" w:eastAsia="Arial" w:hAnsi="Arial"/>
          <w:sz w:val="20"/>
          <w:szCs w:val="20"/>
          <w:color w:val="auto"/>
        </w:rPr>
        <w:t>Flavor formulas (non-amortizing) – multi-period excess earnings method</w:t>
      </w:r>
    </w:p>
    <w:p>
      <w:pPr>
        <w:spacing w:after="0" w:line="20" w:lineRule="exact"/>
        <w:rPr>
          <w:rFonts w:ascii="Arial" w:cs="Arial" w:eastAsia="Arial" w:hAnsi="Arial"/>
          <w:sz w:val="20"/>
          <w:szCs w:val="20"/>
          <w:color w:val="auto"/>
        </w:rPr>
      </w:pPr>
    </w:p>
    <w:p>
      <w:pPr>
        <w:ind w:left="1260" w:hanging="280"/>
        <w:spacing w:after="0"/>
        <w:tabs>
          <w:tab w:leader="none" w:pos="1260" w:val="left"/>
        </w:tabs>
        <w:numPr>
          <w:ilvl w:val="0"/>
          <w:numId w:val="3"/>
        </w:numPr>
        <w:rPr>
          <w:rFonts w:ascii="Arial" w:cs="Arial" w:eastAsia="Arial" w:hAnsi="Arial"/>
          <w:sz w:val="20"/>
          <w:szCs w:val="20"/>
          <w:color w:val="auto"/>
        </w:rPr>
      </w:pPr>
      <w:r>
        <w:rPr>
          <w:rFonts w:ascii="Arial" w:cs="Arial" w:eastAsia="Arial" w:hAnsi="Arial"/>
          <w:sz w:val="20"/>
          <w:szCs w:val="20"/>
          <w:color w:val="auto"/>
        </w:rPr>
        <w:t>Flavor formulas (amortizing) – replacement cost method</w:t>
      </w:r>
    </w:p>
    <w:p>
      <w:pPr>
        <w:spacing w:after="0" w:line="13" w:lineRule="exact"/>
        <w:rPr>
          <w:rFonts w:ascii="Arial" w:cs="Arial" w:eastAsia="Arial" w:hAnsi="Arial"/>
          <w:sz w:val="20"/>
          <w:szCs w:val="20"/>
          <w:color w:val="auto"/>
        </w:rPr>
      </w:pPr>
    </w:p>
    <w:p>
      <w:pPr>
        <w:ind w:left="1260" w:hanging="280"/>
        <w:spacing w:after="0"/>
        <w:tabs>
          <w:tab w:leader="none" w:pos="1260" w:val="left"/>
        </w:tabs>
        <w:numPr>
          <w:ilvl w:val="0"/>
          <w:numId w:val="3"/>
        </w:numPr>
        <w:rPr>
          <w:rFonts w:ascii="Arial" w:cs="Arial" w:eastAsia="Arial" w:hAnsi="Arial"/>
          <w:sz w:val="20"/>
          <w:szCs w:val="20"/>
          <w:color w:val="auto"/>
        </w:rPr>
      </w:pPr>
      <w:r>
        <w:rPr>
          <w:rFonts w:ascii="Arial" w:cs="Arial" w:eastAsia="Arial" w:hAnsi="Arial"/>
          <w:sz w:val="20"/>
          <w:szCs w:val="20"/>
          <w:color w:val="auto"/>
        </w:rPr>
        <w:t>Customer relationships – multi-period excess earnings method</w:t>
      </w:r>
    </w:p>
    <w:p>
      <w:pPr>
        <w:spacing w:after="0" w:line="13" w:lineRule="exact"/>
        <w:rPr>
          <w:rFonts w:ascii="Arial" w:cs="Arial" w:eastAsia="Arial" w:hAnsi="Arial"/>
          <w:sz w:val="20"/>
          <w:szCs w:val="20"/>
          <w:color w:val="auto"/>
        </w:rPr>
      </w:pPr>
    </w:p>
    <w:p>
      <w:pPr>
        <w:ind w:left="1260" w:hanging="280"/>
        <w:spacing w:after="0"/>
        <w:tabs>
          <w:tab w:leader="none" w:pos="1260" w:val="left"/>
        </w:tabs>
        <w:numPr>
          <w:ilvl w:val="0"/>
          <w:numId w:val="3"/>
        </w:numPr>
        <w:rPr>
          <w:rFonts w:ascii="Arial" w:cs="Arial" w:eastAsia="Arial" w:hAnsi="Arial"/>
          <w:sz w:val="20"/>
          <w:szCs w:val="20"/>
          <w:color w:val="auto"/>
        </w:rPr>
      </w:pPr>
      <w:r>
        <w:rPr>
          <w:rFonts w:ascii="Arial" w:cs="Arial" w:eastAsia="Arial" w:hAnsi="Arial"/>
          <w:sz w:val="20"/>
          <w:szCs w:val="20"/>
          <w:color w:val="auto"/>
        </w:rPr>
        <w:t>Trademarks – relief-from-royalty method</w:t>
      </w:r>
    </w:p>
    <w:p>
      <w:pPr>
        <w:spacing w:after="0" w:line="13" w:lineRule="exact"/>
        <w:rPr>
          <w:rFonts w:ascii="Arial" w:cs="Arial" w:eastAsia="Arial" w:hAnsi="Arial"/>
          <w:sz w:val="20"/>
          <w:szCs w:val="20"/>
          <w:color w:val="auto"/>
        </w:rPr>
      </w:pPr>
    </w:p>
    <w:p>
      <w:pPr>
        <w:ind w:left="1260" w:hanging="280"/>
        <w:spacing w:after="0"/>
        <w:tabs>
          <w:tab w:leader="none" w:pos="1260" w:val="left"/>
        </w:tabs>
        <w:numPr>
          <w:ilvl w:val="0"/>
          <w:numId w:val="3"/>
        </w:numPr>
        <w:rPr>
          <w:rFonts w:ascii="Arial" w:cs="Arial" w:eastAsia="Arial" w:hAnsi="Arial"/>
          <w:sz w:val="20"/>
          <w:szCs w:val="20"/>
          <w:color w:val="auto"/>
        </w:rPr>
      </w:pPr>
      <w:r>
        <w:rPr>
          <w:rFonts w:ascii="Arial" w:cs="Arial" w:eastAsia="Arial" w:hAnsi="Arial"/>
          <w:sz w:val="20"/>
          <w:szCs w:val="20"/>
          <w:color w:val="auto"/>
        </w:rPr>
        <w:t>Inventory – comparative sales method and replacement cost method</w:t>
      </w:r>
    </w:p>
    <w:p>
      <w:pPr>
        <w:spacing w:after="0" w:line="13" w:lineRule="exact"/>
        <w:rPr>
          <w:rFonts w:ascii="Arial" w:cs="Arial" w:eastAsia="Arial" w:hAnsi="Arial"/>
          <w:sz w:val="20"/>
          <w:szCs w:val="20"/>
          <w:color w:val="auto"/>
        </w:rPr>
      </w:pPr>
    </w:p>
    <w:p>
      <w:pPr>
        <w:ind w:left="1260" w:hanging="280"/>
        <w:spacing w:after="0"/>
        <w:tabs>
          <w:tab w:leader="none" w:pos="1260" w:val="left"/>
        </w:tabs>
        <w:numPr>
          <w:ilvl w:val="0"/>
          <w:numId w:val="3"/>
        </w:numPr>
        <w:rPr>
          <w:rFonts w:ascii="Arial" w:cs="Arial" w:eastAsia="Arial" w:hAnsi="Arial"/>
          <w:sz w:val="20"/>
          <w:szCs w:val="20"/>
          <w:color w:val="auto"/>
        </w:rPr>
      </w:pPr>
      <w:r>
        <w:rPr>
          <w:rFonts w:ascii="Arial" w:cs="Arial" w:eastAsia="Arial" w:hAnsi="Arial"/>
          <w:sz w:val="20"/>
          <w:szCs w:val="20"/>
          <w:color w:val="auto"/>
        </w:rPr>
        <w:t>Property and equipment, net – replacement cost method</w:t>
      </w:r>
    </w:p>
    <w:p>
      <w:pPr>
        <w:spacing w:after="0" w:line="13" w:lineRule="exact"/>
        <w:rPr>
          <w:rFonts w:ascii="Arial" w:cs="Arial" w:eastAsia="Arial" w:hAnsi="Arial"/>
          <w:sz w:val="20"/>
          <w:szCs w:val="20"/>
          <w:color w:val="auto"/>
        </w:rPr>
      </w:pPr>
    </w:p>
    <w:p>
      <w:pPr>
        <w:ind w:left="1260" w:hanging="280"/>
        <w:spacing w:after="0"/>
        <w:tabs>
          <w:tab w:leader="none" w:pos="1260" w:val="left"/>
        </w:tabs>
        <w:numPr>
          <w:ilvl w:val="0"/>
          <w:numId w:val="3"/>
        </w:numPr>
        <w:rPr>
          <w:rFonts w:ascii="Arial" w:cs="Arial" w:eastAsia="Arial" w:hAnsi="Arial"/>
          <w:sz w:val="20"/>
          <w:szCs w:val="20"/>
          <w:color w:val="auto"/>
        </w:rPr>
      </w:pPr>
      <w:r>
        <w:rPr>
          <w:rFonts w:ascii="Arial" w:cs="Arial" w:eastAsia="Arial" w:hAnsi="Arial"/>
          <w:sz w:val="20"/>
          <w:szCs w:val="20"/>
          <w:color w:val="auto"/>
        </w:rPr>
        <w:t>Favorable leases – discounted cash flow method</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preliminary book value of the working capital (excluding inventory) approximates fair value.</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has determined goodwill in accordance with ASC 805-30-30-1, “Business Combinations,” which requires the recognition of goodwill for the excess of the aggregate consideration over the net amounts of identifiable assets acquired and liabilities assumed as of the acquisition date.</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For tax purposes, the AFF Transaction was recorded as an asset purchase. As such, the Company received a step-up in tax basis of the AFF assets, net, equal to the purchase price.</w:t>
      </w:r>
    </w:p>
    <w:p>
      <w:pPr>
        <w:spacing w:after="0" w:line="190"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In accordance with Regulation S-X, pro forma unaudited condensed financial information for the AFF Transaction has not been provided as the impact of the transaction on the Company’s financial position, results of operations and liquidity was not material.</w:t>
      </w:r>
    </w:p>
    <w:p>
      <w:pPr>
        <w:sectPr>
          <w:pgSz w:w="11900" w:h="16838" w:orient="portrait"/>
          <w:cols w:equalWidth="0" w:num="1">
            <w:col w:w="11420"/>
          </w:cols>
          <w:pgMar w:left="240" w:top="121" w:right="239" w:bottom="0"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1" w:right="239" w:bottom="0" w:gutter="0" w:footer="0" w:header="0"/>
          <w:type w:val="continuous"/>
        </w:sectPr>
      </w:pPr>
    </w:p>
    <w:bookmarkStart w:id="6" w:name="page7"/>
    <w:bookmarkEnd w:id="6"/>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The Coca-Cola Company</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On June 12, 2015, the Company completed the transactions contemplated by the definitive agreements entered into with The Coca-Cola Company (“TCCC”) on August 14, 2014 (the “TCCC Transaction”), which provided for a long-term strategic relationship in the global energy drink category.</w:t>
      </w:r>
    </w:p>
    <w:p>
      <w:pPr>
        <w:spacing w:after="0" w:line="20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In consequence of the TCCC Transaction, (1) the Company issued to TCCC 34,040,534 newly issued Company common shares representing approximately 16.7% of the total number of outstanding Company common shares (after giving effect to such issuance) at such time and TCCC appointed two individuals to the Company’s Board of Directors, (2) TCCC transferred all of its rights in and to TCCC’s worldwide energy drink business (“KO Energy”) to the Company, (3) the Company transferred all of its rights in and to its non-energy drink business (“Monster Non-Energy”) to TCCC, (4) the Company and TCCC amended the distribution coordination agreements previously existing between them to govern the transition of third parties’ rights to distribute the Company’s energy products in most territories in the United States (“U.S.”) to members of TCCC’s distribution network, which consists of owned or controlled bottlers/distributors and independent bottling/distribution partners, and (5) TCCC and one of its subsidiaries made an aggregate net cash payment to the Company of $2.15 billion, $125.0 million of which was held in escrow through June 17, 2016, subject to release upon the achievement of milestones relating to the transition of distribution rights to TCCC’s distribution network.</w:t>
      </w:r>
    </w:p>
    <w:p>
      <w:pPr>
        <w:spacing w:after="0" w:line="19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Under the terms of the escrow agreement and the transition payment agreement entered into in connection therewith, if the distribution rights in the U.S. transitioned to TCCC’s distribution network represented case sales in excess of the following percentages of a target case sale amount agreed to by the parties, amounts in the escrow fund in excess of the applicable amounts below would be released to the Company:</w:t>
      </w:r>
    </w:p>
    <w:p>
      <w:pPr>
        <w:spacing w:after="0" w:line="108"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1920" w:type="dxa"/>
            <w:vAlign w:val="bottom"/>
          </w:tcPr>
          <w:p>
            <w:pPr>
              <w:jc w:val="right"/>
              <w:spacing w:after="0"/>
              <w:rPr>
                <w:sz w:val="20"/>
                <w:szCs w:val="20"/>
                <w:color w:val="auto"/>
              </w:rPr>
            </w:pPr>
            <w:r>
              <w:rPr>
                <w:rFonts w:ascii="Arial" w:cs="Arial" w:eastAsia="Arial" w:hAnsi="Arial"/>
                <w:sz w:val="20"/>
                <w:szCs w:val="20"/>
                <w:color w:val="auto"/>
                <w:w w:val="87"/>
              </w:rPr>
              <w:t>Percentage Transitioned</w:t>
            </w:r>
          </w:p>
        </w:tc>
        <w:tc>
          <w:tcPr>
            <w:tcW w:w="820" w:type="dxa"/>
            <w:vAlign w:val="bottom"/>
          </w:tcPr>
          <w:p>
            <w:pPr>
              <w:spacing w:after="0"/>
              <w:rPr>
                <w:sz w:val="19"/>
                <w:szCs w:val="19"/>
                <w:color w:val="auto"/>
              </w:rPr>
            </w:pPr>
          </w:p>
        </w:tc>
        <w:tc>
          <w:tcPr>
            <w:tcW w:w="3740" w:type="dxa"/>
            <w:vAlign w:val="bottom"/>
            <w:gridSpan w:val="3"/>
          </w:tcPr>
          <w:p>
            <w:pPr>
              <w:ind w:left="820"/>
              <w:spacing w:after="0"/>
              <w:rPr>
                <w:sz w:val="20"/>
                <w:szCs w:val="20"/>
                <w:color w:val="auto"/>
              </w:rPr>
            </w:pPr>
            <w:r>
              <w:rPr>
                <w:rFonts w:ascii="Arial" w:cs="Arial" w:eastAsia="Arial" w:hAnsi="Arial"/>
                <w:sz w:val="20"/>
                <w:szCs w:val="20"/>
                <w:color w:val="auto"/>
              </w:rPr>
              <w:t>Escrow Release</w:t>
            </w:r>
          </w:p>
        </w:tc>
      </w:tr>
      <w:tr>
        <w:trPr>
          <w:trHeight w:val="20"/>
        </w:trPr>
        <w:tc>
          <w:tcPr>
            <w:tcW w:w="19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33"/>
        </w:trPr>
        <w:tc>
          <w:tcPr>
            <w:tcW w:w="1920" w:type="dxa"/>
            <w:vAlign w:val="bottom"/>
          </w:tcPr>
          <w:p>
            <w:pPr>
              <w:jc w:val="right"/>
              <w:ind w:right="1201"/>
              <w:spacing w:after="0"/>
              <w:rPr>
                <w:sz w:val="20"/>
                <w:szCs w:val="20"/>
                <w:color w:val="auto"/>
              </w:rPr>
            </w:pPr>
            <w:r>
              <w:rPr>
                <w:rFonts w:ascii="Arial" w:cs="Arial" w:eastAsia="Arial" w:hAnsi="Arial"/>
                <w:sz w:val="20"/>
                <w:szCs w:val="20"/>
                <w:color w:val="auto"/>
              </w:rPr>
              <w:t>40%</w:t>
            </w:r>
          </w:p>
        </w:tc>
        <w:tc>
          <w:tcPr>
            <w:tcW w:w="820" w:type="dxa"/>
            <w:vAlign w:val="bottom"/>
          </w:tcPr>
          <w:p>
            <w:pPr>
              <w:spacing w:after="0"/>
              <w:rPr>
                <w:sz w:val="20"/>
                <w:szCs w:val="20"/>
                <w:color w:val="auto"/>
              </w:rPr>
            </w:pPr>
          </w:p>
        </w:tc>
        <w:tc>
          <w:tcPr>
            <w:tcW w:w="3740" w:type="dxa"/>
            <w:vAlign w:val="bottom"/>
            <w:gridSpan w:val="3"/>
          </w:tcPr>
          <w:p>
            <w:pPr>
              <w:ind w:left="820"/>
              <w:spacing w:after="0"/>
              <w:rPr>
                <w:sz w:val="20"/>
                <w:szCs w:val="20"/>
                <w:color w:val="auto"/>
              </w:rPr>
            </w:pPr>
            <w:r>
              <w:rPr>
                <w:rFonts w:ascii="Arial" w:cs="Arial" w:eastAsia="Arial" w:hAnsi="Arial"/>
                <w:sz w:val="20"/>
                <w:szCs w:val="20"/>
                <w:color w:val="auto"/>
                <w:w w:val="95"/>
              </w:rPr>
              <w:t>Amounts in excess of $375 million</w:t>
            </w:r>
          </w:p>
        </w:tc>
      </w:tr>
      <w:tr>
        <w:trPr>
          <w:trHeight w:val="230"/>
        </w:trPr>
        <w:tc>
          <w:tcPr>
            <w:tcW w:w="1920" w:type="dxa"/>
            <w:vAlign w:val="bottom"/>
          </w:tcPr>
          <w:p>
            <w:pPr>
              <w:jc w:val="right"/>
              <w:ind w:right="1201"/>
              <w:spacing w:after="0"/>
              <w:rPr>
                <w:sz w:val="20"/>
                <w:szCs w:val="20"/>
                <w:color w:val="auto"/>
              </w:rPr>
            </w:pPr>
            <w:r>
              <w:rPr>
                <w:rFonts w:ascii="Arial" w:cs="Arial" w:eastAsia="Arial" w:hAnsi="Arial"/>
                <w:sz w:val="20"/>
                <w:szCs w:val="20"/>
                <w:color w:val="auto"/>
              </w:rPr>
              <w:t>50%</w:t>
            </w:r>
          </w:p>
        </w:tc>
        <w:tc>
          <w:tcPr>
            <w:tcW w:w="820" w:type="dxa"/>
            <w:vAlign w:val="bottom"/>
          </w:tcPr>
          <w:p>
            <w:pPr>
              <w:spacing w:after="0"/>
              <w:rPr>
                <w:sz w:val="19"/>
                <w:szCs w:val="19"/>
                <w:color w:val="auto"/>
              </w:rPr>
            </w:pPr>
          </w:p>
        </w:tc>
        <w:tc>
          <w:tcPr>
            <w:tcW w:w="3740" w:type="dxa"/>
            <w:vAlign w:val="bottom"/>
            <w:gridSpan w:val="3"/>
          </w:tcPr>
          <w:p>
            <w:pPr>
              <w:ind w:left="820"/>
              <w:spacing w:after="0"/>
              <w:rPr>
                <w:sz w:val="20"/>
                <w:szCs w:val="20"/>
                <w:color w:val="auto"/>
              </w:rPr>
            </w:pPr>
            <w:r>
              <w:rPr>
                <w:rFonts w:ascii="Arial" w:cs="Arial" w:eastAsia="Arial" w:hAnsi="Arial"/>
                <w:sz w:val="20"/>
                <w:szCs w:val="20"/>
                <w:color w:val="auto"/>
                <w:w w:val="90"/>
              </w:rPr>
              <w:t>Amounts in excess of $312.5 million</w:t>
            </w:r>
          </w:p>
        </w:tc>
      </w:tr>
      <w:tr>
        <w:trPr>
          <w:trHeight w:val="230"/>
        </w:trPr>
        <w:tc>
          <w:tcPr>
            <w:tcW w:w="1920" w:type="dxa"/>
            <w:vAlign w:val="bottom"/>
          </w:tcPr>
          <w:p>
            <w:pPr>
              <w:jc w:val="right"/>
              <w:ind w:right="1201"/>
              <w:spacing w:after="0"/>
              <w:rPr>
                <w:sz w:val="20"/>
                <w:szCs w:val="20"/>
                <w:color w:val="auto"/>
              </w:rPr>
            </w:pPr>
            <w:r>
              <w:rPr>
                <w:rFonts w:ascii="Arial" w:cs="Arial" w:eastAsia="Arial" w:hAnsi="Arial"/>
                <w:sz w:val="20"/>
                <w:szCs w:val="20"/>
                <w:color w:val="auto"/>
              </w:rPr>
              <w:t>60%</w:t>
            </w:r>
          </w:p>
        </w:tc>
        <w:tc>
          <w:tcPr>
            <w:tcW w:w="820" w:type="dxa"/>
            <w:vAlign w:val="bottom"/>
          </w:tcPr>
          <w:p>
            <w:pPr>
              <w:spacing w:after="0"/>
              <w:rPr>
                <w:sz w:val="19"/>
                <w:szCs w:val="19"/>
                <w:color w:val="auto"/>
              </w:rPr>
            </w:pPr>
          </w:p>
        </w:tc>
        <w:tc>
          <w:tcPr>
            <w:tcW w:w="3740" w:type="dxa"/>
            <w:vAlign w:val="bottom"/>
            <w:gridSpan w:val="3"/>
          </w:tcPr>
          <w:p>
            <w:pPr>
              <w:ind w:left="820"/>
              <w:spacing w:after="0"/>
              <w:rPr>
                <w:sz w:val="20"/>
                <w:szCs w:val="20"/>
                <w:color w:val="auto"/>
              </w:rPr>
            </w:pPr>
            <w:r>
              <w:rPr>
                <w:rFonts w:ascii="Arial" w:cs="Arial" w:eastAsia="Arial" w:hAnsi="Arial"/>
                <w:sz w:val="20"/>
                <w:szCs w:val="20"/>
                <w:color w:val="auto"/>
                <w:w w:val="95"/>
              </w:rPr>
              <w:t>Amounts in excess of $250 million</w:t>
            </w:r>
          </w:p>
        </w:tc>
      </w:tr>
      <w:tr>
        <w:trPr>
          <w:trHeight w:val="230"/>
        </w:trPr>
        <w:tc>
          <w:tcPr>
            <w:tcW w:w="1920" w:type="dxa"/>
            <w:vAlign w:val="bottom"/>
          </w:tcPr>
          <w:p>
            <w:pPr>
              <w:jc w:val="right"/>
              <w:ind w:right="1201"/>
              <w:spacing w:after="0"/>
              <w:rPr>
                <w:sz w:val="20"/>
                <w:szCs w:val="20"/>
                <w:color w:val="auto"/>
              </w:rPr>
            </w:pPr>
            <w:r>
              <w:rPr>
                <w:rFonts w:ascii="Arial" w:cs="Arial" w:eastAsia="Arial" w:hAnsi="Arial"/>
                <w:sz w:val="20"/>
                <w:szCs w:val="20"/>
                <w:color w:val="auto"/>
              </w:rPr>
              <w:t>70%</w:t>
            </w:r>
          </w:p>
        </w:tc>
        <w:tc>
          <w:tcPr>
            <w:tcW w:w="820" w:type="dxa"/>
            <w:vAlign w:val="bottom"/>
          </w:tcPr>
          <w:p>
            <w:pPr>
              <w:spacing w:after="0"/>
              <w:rPr>
                <w:sz w:val="19"/>
                <w:szCs w:val="19"/>
                <w:color w:val="auto"/>
              </w:rPr>
            </w:pPr>
          </w:p>
        </w:tc>
        <w:tc>
          <w:tcPr>
            <w:tcW w:w="3740" w:type="dxa"/>
            <w:vAlign w:val="bottom"/>
            <w:gridSpan w:val="3"/>
          </w:tcPr>
          <w:p>
            <w:pPr>
              <w:ind w:left="820"/>
              <w:spacing w:after="0"/>
              <w:rPr>
                <w:sz w:val="20"/>
                <w:szCs w:val="20"/>
                <w:color w:val="auto"/>
              </w:rPr>
            </w:pPr>
            <w:r>
              <w:rPr>
                <w:rFonts w:ascii="Arial" w:cs="Arial" w:eastAsia="Arial" w:hAnsi="Arial"/>
                <w:sz w:val="20"/>
                <w:szCs w:val="20"/>
                <w:color w:val="auto"/>
                <w:w w:val="90"/>
              </w:rPr>
              <w:t>Amounts in excess of $187.5 million</w:t>
            </w:r>
          </w:p>
        </w:tc>
      </w:tr>
      <w:tr>
        <w:trPr>
          <w:trHeight w:val="230"/>
        </w:trPr>
        <w:tc>
          <w:tcPr>
            <w:tcW w:w="1920" w:type="dxa"/>
            <w:vAlign w:val="bottom"/>
          </w:tcPr>
          <w:p>
            <w:pPr>
              <w:jc w:val="right"/>
              <w:ind w:right="1201"/>
              <w:spacing w:after="0"/>
              <w:rPr>
                <w:sz w:val="20"/>
                <w:szCs w:val="20"/>
                <w:color w:val="auto"/>
              </w:rPr>
            </w:pPr>
            <w:r>
              <w:rPr>
                <w:rFonts w:ascii="Arial" w:cs="Arial" w:eastAsia="Arial" w:hAnsi="Arial"/>
                <w:sz w:val="20"/>
                <w:szCs w:val="20"/>
                <w:color w:val="auto"/>
              </w:rPr>
              <w:t>80%</w:t>
            </w:r>
          </w:p>
        </w:tc>
        <w:tc>
          <w:tcPr>
            <w:tcW w:w="820" w:type="dxa"/>
            <w:vAlign w:val="bottom"/>
          </w:tcPr>
          <w:p>
            <w:pPr>
              <w:spacing w:after="0"/>
              <w:rPr>
                <w:sz w:val="19"/>
                <w:szCs w:val="19"/>
                <w:color w:val="auto"/>
              </w:rPr>
            </w:pPr>
          </w:p>
        </w:tc>
        <w:tc>
          <w:tcPr>
            <w:tcW w:w="3740" w:type="dxa"/>
            <w:vAlign w:val="bottom"/>
            <w:gridSpan w:val="3"/>
          </w:tcPr>
          <w:p>
            <w:pPr>
              <w:ind w:left="820"/>
              <w:spacing w:after="0"/>
              <w:rPr>
                <w:sz w:val="20"/>
                <w:szCs w:val="20"/>
                <w:color w:val="auto"/>
              </w:rPr>
            </w:pPr>
            <w:r>
              <w:rPr>
                <w:rFonts w:ascii="Arial" w:cs="Arial" w:eastAsia="Arial" w:hAnsi="Arial"/>
                <w:sz w:val="20"/>
                <w:szCs w:val="20"/>
                <w:color w:val="auto"/>
                <w:w w:val="95"/>
              </w:rPr>
              <w:t>Amounts in excess of $125 million</w:t>
            </w:r>
          </w:p>
        </w:tc>
      </w:tr>
      <w:tr>
        <w:trPr>
          <w:trHeight w:val="230"/>
        </w:trPr>
        <w:tc>
          <w:tcPr>
            <w:tcW w:w="1920" w:type="dxa"/>
            <w:vAlign w:val="bottom"/>
          </w:tcPr>
          <w:p>
            <w:pPr>
              <w:jc w:val="right"/>
              <w:ind w:right="1201"/>
              <w:spacing w:after="0"/>
              <w:rPr>
                <w:sz w:val="20"/>
                <w:szCs w:val="20"/>
                <w:color w:val="auto"/>
              </w:rPr>
            </w:pPr>
            <w:r>
              <w:rPr>
                <w:rFonts w:ascii="Arial" w:cs="Arial" w:eastAsia="Arial" w:hAnsi="Arial"/>
                <w:sz w:val="20"/>
                <w:szCs w:val="20"/>
                <w:color w:val="auto"/>
              </w:rPr>
              <w:t>90%</w:t>
            </w:r>
          </w:p>
        </w:tc>
        <w:tc>
          <w:tcPr>
            <w:tcW w:w="820" w:type="dxa"/>
            <w:vAlign w:val="bottom"/>
          </w:tcPr>
          <w:p>
            <w:pPr>
              <w:spacing w:after="0"/>
              <w:rPr>
                <w:sz w:val="19"/>
                <w:szCs w:val="19"/>
                <w:color w:val="auto"/>
              </w:rPr>
            </w:pPr>
          </w:p>
        </w:tc>
        <w:tc>
          <w:tcPr>
            <w:tcW w:w="3740" w:type="dxa"/>
            <w:vAlign w:val="bottom"/>
            <w:gridSpan w:val="3"/>
          </w:tcPr>
          <w:p>
            <w:pPr>
              <w:ind w:left="820"/>
              <w:spacing w:after="0"/>
              <w:rPr>
                <w:sz w:val="20"/>
                <w:szCs w:val="20"/>
                <w:color w:val="auto"/>
              </w:rPr>
            </w:pPr>
            <w:r>
              <w:rPr>
                <w:rFonts w:ascii="Arial" w:cs="Arial" w:eastAsia="Arial" w:hAnsi="Arial"/>
                <w:sz w:val="20"/>
                <w:szCs w:val="20"/>
                <w:color w:val="auto"/>
                <w:w w:val="94"/>
              </w:rPr>
              <w:t>Amounts in excess of $62.5 million</w:t>
            </w:r>
          </w:p>
        </w:tc>
      </w:tr>
      <w:tr>
        <w:trPr>
          <w:trHeight w:val="250"/>
        </w:trPr>
        <w:tc>
          <w:tcPr>
            <w:tcW w:w="1920" w:type="dxa"/>
            <w:vAlign w:val="bottom"/>
          </w:tcPr>
          <w:p>
            <w:pPr>
              <w:jc w:val="right"/>
              <w:ind w:right="1201"/>
              <w:spacing w:after="0"/>
              <w:rPr>
                <w:sz w:val="20"/>
                <w:szCs w:val="20"/>
                <w:color w:val="auto"/>
              </w:rPr>
            </w:pPr>
            <w:r>
              <w:rPr>
                <w:rFonts w:ascii="Arial" w:cs="Arial" w:eastAsia="Arial" w:hAnsi="Arial"/>
                <w:sz w:val="20"/>
                <w:szCs w:val="20"/>
                <w:color w:val="auto"/>
              </w:rPr>
              <w:t>95%</w:t>
            </w:r>
          </w:p>
        </w:tc>
        <w:tc>
          <w:tcPr>
            <w:tcW w:w="820" w:type="dxa"/>
            <w:vAlign w:val="bottom"/>
          </w:tcPr>
          <w:p>
            <w:pPr>
              <w:spacing w:after="0"/>
              <w:rPr>
                <w:sz w:val="21"/>
                <w:szCs w:val="21"/>
                <w:color w:val="auto"/>
              </w:rPr>
            </w:pPr>
          </w:p>
        </w:tc>
        <w:tc>
          <w:tcPr>
            <w:tcW w:w="3740" w:type="dxa"/>
            <w:vAlign w:val="bottom"/>
            <w:gridSpan w:val="3"/>
          </w:tcPr>
          <w:p>
            <w:pPr>
              <w:ind w:left="820"/>
              <w:spacing w:after="0"/>
              <w:rPr>
                <w:sz w:val="20"/>
                <w:szCs w:val="20"/>
                <w:color w:val="auto"/>
              </w:rPr>
            </w:pPr>
            <w:r>
              <w:rPr>
                <w:rFonts w:ascii="Arial" w:cs="Arial" w:eastAsia="Arial" w:hAnsi="Arial"/>
                <w:sz w:val="20"/>
                <w:szCs w:val="20"/>
                <w:color w:val="auto"/>
              </w:rPr>
              <w:t>All remaining amounts</w:t>
            </w:r>
          </w:p>
        </w:tc>
      </w:tr>
    </w:tbl>
    <w:p>
      <w:pPr>
        <w:spacing w:after="0" w:line="20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As of June 30, 2016, distribution rights in the U.S. representing approximately 89% of the target case sales had been transitioned to TCCC’s distribution network. As a result, on the one-year anniversary of the closing of the TCCC Transaction, the then-remaining escrow amount of $125 million was released to TCCC. Going forward TCCC will directly pay to the Company the amounts described above that become payable as a result of future target case sale transitions. The Company expects to transition sufficient additional distribution rights to receive all such amounts.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unaudited pro forma condensed combined financial information is presented as if the TCCC Transaction had closed 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January 1, 2015:</w:t>
      </w: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2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400" w:type="dxa"/>
            <w:vAlign w:val="bottom"/>
            <w:tcBorders>
              <w:bottom w:val="single" w:sz="8" w:color="auto"/>
            </w:tcBorders>
            <w:gridSpan w:val="8"/>
          </w:tcPr>
          <w:p>
            <w:pPr>
              <w:jc w:val="center"/>
              <w:ind w:right="440"/>
              <w:spacing w:after="0"/>
              <w:rPr>
                <w:sz w:val="20"/>
                <w:szCs w:val="20"/>
                <w:color w:val="auto"/>
              </w:rPr>
            </w:pPr>
            <w:r>
              <w:rPr>
                <w:rFonts w:ascii="Arial" w:cs="Arial" w:eastAsia="Arial" w:hAnsi="Arial"/>
                <w:sz w:val="19"/>
                <w:szCs w:val="19"/>
                <w:color w:val="auto"/>
                <w:w w:val="89"/>
              </w:rPr>
              <w:t>Three-Months Ended June 30, 2015</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vMerge w:val="restart"/>
          </w:tcPr>
          <w:p>
            <w:pPr>
              <w:jc w:val="center"/>
              <w:ind w:right="420"/>
              <w:spacing w:after="0"/>
              <w:rPr>
                <w:sz w:val="20"/>
                <w:szCs w:val="20"/>
                <w:color w:val="auto"/>
              </w:rPr>
            </w:pPr>
            <w:r>
              <w:rPr>
                <w:rFonts w:ascii="Arial" w:cs="Arial" w:eastAsia="Arial" w:hAnsi="Arial"/>
                <w:sz w:val="19"/>
                <w:szCs w:val="19"/>
                <w:color w:val="auto"/>
                <w:w w:val="93"/>
              </w:rPr>
              <w:t>Monster</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gridSpan w:val="5"/>
          </w:tcPr>
          <w:p>
            <w:pPr>
              <w:ind w:left="320"/>
              <w:spacing w:after="0" w:line="210" w:lineRule="exact"/>
              <w:rPr>
                <w:sz w:val="20"/>
                <w:szCs w:val="20"/>
                <w:color w:val="auto"/>
              </w:rPr>
            </w:pPr>
            <w:r>
              <w:rPr>
                <w:rFonts w:ascii="Arial" w:cs="Arial" w:eastAsia="Arial" w:hAnsi="Arial"/>
                <w:sz w:val="19"/>
                <w:szCs w:val="19"/>
                <w:color w:val="auto"/>
              </w:rPr>
              <w:t>Pro Forma Adjustments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420"/>
              <w:spacing w:after="0" w:line="216" w:lineRule="exact"/>
              <w:rPr>
                <w:sz w:val="20"/>
                <w:szCs w:val="20"/>
                <w:color w:val="auto"/>
              </w:rPr>
            </w:pPr>
            <w:r>
              <w:rPr>
                <w:rFonts w:ascii="Arial" w:cs="Arial" w:eastAsia="Arial" w:hAnsi="Arial"/>
                <w:sz w:val="19"/>
                <w:szCs w:val="19"/>
                <w:color w:val="auto"/>
                <w:w w:val="88"/>
              </w:rPr>
              <w:t>Beverage</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420"/>
              <w:spacing w:after="0" w:line="216" w:lineRule="exact"/>
              <w:rPr>
                <w:sz w:val="20"/>
                <w:szCs w:val="20"/>
                <w:color w:val="auto"/>
              </w:rPr>
            </w:pPr>
            <w:r>
              <w:rPr>
                <w:rFonts w:ascii="Arial" w:cs="Arial" w:eastAsia="Arial" w:hAnsi="Arial"/>
                <w:sz w:val="19"/>
                <w:szCs w:val="19"/>
                <w:color w:val="auto"/>
                <w:w w:val="91"/>
              </w:rPr>
              <w:t>Disposal of</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420"/>
              <w:spacing w:after="0" w:line="216" w:lineRule="exact"/>
              <w:rPr>
                <w:sz w:val="20"/>
                <w:szCs w:val="20"/>
                <w:color w:val="auto"/>
              </w:rPr>
            </w:pPr>
            <w:r>
              <w:rPr>
                <w:rFonts w:ascii="Arial" w:cs="Arial" w:eastAsia="Arial" w:hAnsi="Arial"/>
                <w:sz w:val="19"/>
                <w:szCs w:val="19"/>
                <w:color w:val="auto"/>
                <w:w w:val="92"/>
              </w:rPr>
              <w:t>Corporation</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3"/>
          </w:tcPr>
          <w:p>
            <w:pPr>
              <w:jc w:val="center"/>
              <w:ind w:right="220"/>
              <w:spacing w:after="0" w:line="216" w:lineRule="exact"/>
              <w:rPr>
                <w:sz w:val="20"/>
                <w:szCs w:val="20"/>
                <w:color w:val="auto"/>
              </w:rPr>
            </w:pPr>
            <w:r>
              <w:rPr>
                <w:rFonts w:ascii="Arial" w:cs="Arial" w:eastAsia="Arial" w:hAnsi="Arial"/>
                <w:sz w:val="19"/>
                <w:szCs w:val="19"/>
                <w:color w:val="auto"/>
                <w:w w:val="92"/>
              </w:rPr>
              <w:t>Monster Non-</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ind w:left="20"/>
              <w:spacing w:after="0" w:line="216" w:lineRule="exact"/>
              <w:rPr>
                <w:sz w:val="20"/>
                <w:szCs w:val="20"/>
                <w:color w:val="auto"/>
              </w:rPr>
            </w:pPr>
            <w:r>
              <w:rPr>
                <w:rFonts w:ascii="Arial" w:cs="Arial" w:eastAsia="Arial" w:hAnsi="Arial"/>
                <w:sz w:val="19"/>
                <w:szCs w:val="19"/>
                <w:color w:val="auto"/>
              </w:rPr>
              <w:t>Pro Forma</w:t>
            </w:r>
          </w:p>
        </w:tc>
        <w:tc>
          <w:tcPr>
            <w:tcW w:w="0" w:type="dxa"/>
            <w:vAlign w:val="bottom"/>
          </w:tcPr>
          <w:p>
            <w:pPr>
              <w:spacing w:after="0"/>
              <w:rPr>
                <w:sz w:val="1"/>
                <w:szCs w:val="1"/>
                <w:color w:val="auto"/>
              </w:rPr>
            </w:pPr>
          </w:p>
        </w:tc>
      </w:tr>
      <w:tr>
        <w:trPr>
          <w:trHeight w:val="238"/>
        </w:trPr>
        <w:tc>
          <w:tcPr>
            <w:tcW w:w="2200" w:type="dxa"/>
            <w:vAlign w:val="bottom"/>
            <w:vMerge w:val="restart"/>
          </w:tcPr>
          <w:p>
            <w:pPr>
              <w:spacing w:after="0"/>
              <w:rPr>
                <w:sz w:val="20"/>
                <w:szCs w:val="20"/>
                <w:color w:val="auto"/>
              </w:rPr>
            </w:pPr>
            <w:r>
              <w:rPr>
                <w:rFonts w:ascii="Arial" w:cs="Arial" w:eastAsia="Arial" w:hAnsi="Arial"/>
                <w:sz w:val="19"/>
                <w:szCs w:val="19"/>
                <w:color w:val="auto"/>
              </w:rPr>
              <w:t>Net sales</w:t>
            </w:r>
          </w:p>
        </w:tc>
        <w:tc>
          <w:tcPr>
            <w:tcW w:w="200" w:type="dxa"/>
            <w:vAlign w:val="bottom"/>
          </w:tcPr>
          <w:p>
            <w:pPr>
              <w:spacing w:after="0"/>
              <w:rPr>
                <w:sz w:val="20"/>
                <w:szCs w:val="20"/>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9"/>
                <w:szCs w:val="19"/>
                <w:color w:val="auto"/>
                <w:w w:val="87"/>
              </w:rPr>
              <w:t>as reported¹</w:t>
            </w:r>
          </w:p>
        </w:tc>
        <w:tc>
          <w:tcPr>
            <w:tcW w:w="18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9"/>
                <w:szCs w:val="19"/>
                <w:color w:val="auto"/>
              </w:rPr>
              <w:t>KO Energy²</w:t>
            </w:r>
          </w:p>
        </w:tc>
        <w:tc>
          <w:tcPr>
            <w:tcW w:w="200" w:type="dxa"/>
            <w:vAlign w:val="bottom"/>
          </w:tcPr>
          <w:p>
            <w:pPr>
              <w:spacing w:after="0"/>
              <w:rPr>
                <w:sz w:val="20"/>
                <w:szCs w:val="20"/>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9"/>
                <w:szCs w:val="19"/>
                <w:color w:val="auto"/>
                <w:w w:val="90"/>
              </w:rPr>
              <w:t>Energy³</w:t>
            </w:r>
          </w:p>
        </w:tc>
        <w:tc>
          <w:tcPr>
            <w:tcW w:w="44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Arial" w:cs="Arial" w:eastAsia="Arial" w:hAnsi="Arial"/>
                <w:sz w:val="19"/>
                <w:szCs w:val="19"/>
                <w:color w:val="auto"/>
              </w:rPr>
              <w:t>Other</w:t>
            </w:r>
          </w:p>
        </w:tc>
        <w:tc>
          <w:tcPr>
            <w:tcW w:w="220" w:type="dxa"/>
            <w:vAlign w:val="bottom"/>
          </w:tcPr>
          <w:p>
            <w:pPr>
              <w:spacing w:after="0"/>
              <w:rPr>
                <w:sz w:val="20"/>
                <w:szCs w:val="20"/>
                <w:color w:val="auto"/>
              </w:rPr>
            </w:pPr>
          </w:p>
        </w:tc>
        <w:tc>
          <w:tcPr>
            <w:tcW w:w="1080" w:type="dxa"/>
            <w:vAlign w:val="bottom"/>
          </w:tcPr>
          <w:p>
            <w:pPr>
              <w:ind w:left="40"/>
              <w:spacing w:after="0"/>
              <w:rPr>
                <w:sz w:val="20"/>
                <w:szCs w:val="20"/>
                <w:color w:val="auto"/>
              </w:rPr>
            </w:pPr>
            <w:r>
              <w:rPr>
                <w:rFonts w:ascii="Arial" w:cs="Arial" w:eastAsia="Arial" w:hAnsi="Arial"/>
                <w:sz w:val="19"/>
                <w:szCs w:val="19"/>
                <w:color w:val="auto"/>
              </w:rPr>
              <w:t>Combined</w:t>
            </w:r>
          </w:p>
        </w:tc>
        <w:tc>
          <w:tcPr>
            <w:tcW w:w="0" w:type="dxa"/>
            <w:vAlign w:val="bottom"/>
          </w:tcPr>
          <w:p>
            <w:pPr>
              <w:spacing w:after="0"/>
              <w:rPr>
                <w:sz w:val="1"/>
                <w:szCs w:val="1"/>
                <w:color w:val="auto"/>
              </w:rPr>
            </w:pPr>
          </w:p>
        </w:tc>
      </w:tr>
      <w:tr>
        <w:trPr>
          <w:trHeight w:val="187"/>
        </w:trPr>
        <w:tc>
          <w:tcPr>
            <w:tcW w:w="2200" w:type="dxa"/>
            <w:vAlign w:val="bottom"/>
            <w:vMerge w:val="continue"/>
          </w:tcPr>
          <w:p>
            <w:pPr>
              <w:spacing w:after="0"/>
              <w:rPr>
                <w:sz w:val="16"/>
                <w:szCs w:val="16"/>
                <w:color w:val="auto"/>
              </w:rPr>
            </w:pPr>
          </w:p>
        </w:tc>
        <w:tc>
          <w:tcPr>
            <w:tcW w:w="20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w:t>
            </w:r>
          </w:p>
        </w:tc>
        <w:tc>
          <w:tcPr>
            <w:tcW w:w="114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693,722</w:t>
            </w:r>
          </w:p>
        </w:tc>
        <w:tc>
          <w:tcPr>
            <w:tcW w:w="240" w:type="dxa"/>
            <w:vAlign w:val="bottom"/>
          </w:tcPr>
          <w:p>
            <w:pPr>
              <w:spacing w:after="0"/>
              <w:rPr>
                <w:sz w:val="16"/>
                <w:szCs w:val="16"/>
                <w:color w:val="auto"/>
              </w:rPr>
            </w:pPr>
          </w:p>
        </w:tc>
        <w:tc>
          <w:tcPr>
            <w:tcW w:w="18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w:t>
            </w:r>
          </w:p>
        </w:tc>
        <w:tc>
          <w:tcPr>
            <w:tcW w:w="112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57,422</w:t>
            </w:r>
          </w:p>
        </w:tc>
        <w:tc>
          <w:tcPr>
            <w:tcW w:w="220" w:type="dxa"/>
            <w:vAlign w:val="bottom"/>
          </w:tcPr>
          <w:p>
            <w:pPr>
              <w:spacing w:after="0"/>
              <w:rPr>
                <w:sz w:val="16"/>
                <w:szCs w:val="16"/>
                <w:color w:val="auto"/>
              </w:rPr>
            </w:pPr>
          </w:p>
        </w:tc>
        <w:tc>
          <w:tcPr>
            <w:tcW w:w="20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w:t>
            </w:r>
          </w:p>
        </w:tc>
        <w:tc>
          <w:tcPr>
            <w:tcW w:w="110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(29,516)</w:t>
            </w:r>
          </w:p>
        </w:tc>
        <w:tc>
          <w:tcPr>
            <w:tcW w:w="220" w:type="dxa"/>
            <w:vAlign w:val="bottom"/>
          </w:tcPr>
          <w:p>
            <w:pPr>
              <w:spacing w:after="0"/>
              <w:rPr>
                <w:sz w:val="16"/>
                <w:szCs w:val="16"/>
                <w:color w:val="auto"/>
              </w:rPr>
            </w:pPr>
          </w:p>
        </w:tc>
        <w:tc>
          <w:tcPr>
            <w:tcW w:w="440" w:type="dxa"/>
            <w:vAlign w:val="bottom"/>
            <w:tcBorders>
              <w:top w:val="single" w:sz="8" w:color="auto"/>
            </w:tcBorders>
          </w:tcPr>
          <w:p>
            <w:pPr>
              <w:jc w:val="right"/>
              <w:ind w:right="145"/>
              <w:spacing w:after="0" w:line="187" w:lineRule="exact"/>
              <w:rPr>
                <w:sz w:val="20"/>
                <w:szCs w:val="20"/>
                <w:color w:val="auto"/>
              </w:rPr>
            </w:pPr>
            <w:r>
              <w:rPr>
                <w:rFonts w:ascii="Arial" w:cs="Arial" w:eastAsia="Arial" w:hAnsi="Arial"/>
                <w:sz w:val="19"/>
                <w:szCs w:val="19"/>
                <w:color w:val="auto"/>
              </w:rPr>
              <w:t>$</w:t>
            </w:r>
          </w:p>
        </w:tc>
        <w:tc>
          <w:tcPr>
            <w:tcW w:w="88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3,089</w:t>
            </w:r>
          </w:p>
        </w:tc>
        <w:tc>
          <w:tcPr>
            <w:tcW w:w="220" w:type="dxa"/>
            <w:vAlign w:val="bottom"/>
          </w:tcPr>
          <w:p>
            <w:pPr>
              <w:spacing w:after="0"/>
              <w:rPr>
                <w:sz w:val="16"/>
                <w:szCs w:val="16"/>
                <w:color w:val="auto"/>
              </w:rPr>
            </w:pPr>
          </w:p>
        </w:tc>
        <w:tc>
          <w:tcPr>
            <w:tcW w:w="22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w:t>
            </w:r>
          </w:p>
        </w:tc>
        <w:tc>
          <w:tcPr>
            <w:tcW w:w="108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724,717</w:t>
            </w:r>
          </w:p>
        </w:tc>
        <w:tc>
          <w:tcPr>
            <w:tcW w:w="0" w:type="dxa"/>
            <w:vAlign w:val="bottom"/>
          </w:tcPr>
          <w:p>
            <w:pPr>
              <w:spacing w:after="0"/>
              <w:rPr>
                <w:sz w:val="1"/>
                <w:szCs w:val="1"/>
                <w:color w:val="auto"/>
              </w:rPr>
            </w:pPr>
          </w:p>
        </w:tc>
      </w:tr>
      <w:tr>
        <w:trPr>
          <w:trHeight w:val="240"/>
        </w:trPr>
        <w:tc>
          <w:tcPr>
            <w:tcW w:w="2200" w:type="dxa"/>
            <w:vAlign w:val="bottom"/>
          </w:tcPr>
          <w:p>
            <w:pPr>
              <w:spacing w:after="0"/>
              <w:rPr>
                <w:sz w:val="20"/>
                <w:szCs w:val="20"/>
                <w:color w:val="auto"/>
              </w:rPr>
            </w:pPr>
            <w:r>
              <w:rPr>
                <w:rFonts w:ascii="Arial" w:cs="Arial" w:eastAsia="Arial" w:hAnsi="Arial"/>
                <w:sz w:val="19"/>
                <w:szCs w:val="19"/>
                <w:color w:val="auto"/>
              </w:rPr>
              <w:t>Net income</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229,004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41,136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(100,652)</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(11,659)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157,829</w:t>
            </w:r>
          </w:p>
        </w:tc>
        <w:tc>
          <w:tcPr>
            <w:tcW w:w="0" w:type="dxa"/>
            <w:vAlign w:val="bottom"/>
          </w:tcPr>
          <w:p>
            <w:pPr>
              <w:spacing w:after="0"/>
              <w:rPr>
                <w:sz w:val="1"/>
                <w:szCs w:val="1"/>
                <w:color w:val="auto"/>
              </w:rPr>
            </w:pPr>
          </w:p>
        </w:tc>
      </w:tr>
      <w:tr>
        <w:trPr>
          <w:trHeight w:val="444"/>
        </w:trPr>
        <w:tc>
          <w:tcPr>
            <w:tcW w:w="2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6"/>
          </w:tcPr>
          <w:p>
            <w:pPr>
              <w:jc w:val="center"/>
              <w:ind w:left="565"/>
              <w:spacing w:after="0"/>
              <w:rPr>
                <w:sz w:val="20"/>
                <w:szCs w:val="20"/>
                <w:color w:val="auto"/>
              </w:rPr>
            </w:pPr>
            <w:r>
              <w:rPr>
                <w:rFonts w:ascii="Arial" w:cs="Arial" w:eastAsia="Arial" w:hAnsi="Arial"/>
                <w:sz w:val="20"/>
                <w:szCs w:val="20"/>
                <w:color w:val="auto"/>
                <w:w w:val="89"/>
              </w:rPr>
              <w:t>Six-Months Ended June 30, 2015</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vMerge w:val="restart"/>
          </w:tcPr>
          <w:p>
            <w:pPr>
              <w:jc w:val="center"/>
              <w:ind w:right="420"/>
              <w:spacing w:after="0"/>
              <w:rPr>
                <w:sz w:val="20"/>
                <w:szCs w:val="20"/>
                <w:color w:val="auto"/>
              </w:rPr>
            </w:pPr>
            <w:r>
              <w:rPr>
                <w:rFonts w:ascii="Arial" w:cs="Arial" w:eastAsia="Arial" w:hAnsi="Arial"/>
                <w:sz w:val="19"/>
                <w:szCs w:val="19"/>
                <w:color w:val="auto"/>
                <w:w w:val="93"/>
              </w:rPr>
              <w:t>Monster</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gridSpan w:val="5"/>
          </w:tcPr>
          <w:p>
            <w:pPr>
              <w:ind w:left="320"/>
              <w:spacing w:after="0" w:line="210" w:lineRule="exact"/>
              <w:rPr>
                <w:sz w:val="20"/>
                <w:szCs w:val="20"/>
                <w:color w:val="auto"/>
              </w:rPr>
            </w:pPr>
            <w:r>
              <w:rPr>
                <w:rFonts w:ascii="Arial" w:cs="Arial" w:eastAsia="Arial" w:hAnsi="Arial"/>
                <w:sz w:val="19"/>
                <w:szCs w:val="19"/>
                <w:color w:val="auto"/>
              </w:rPr>
              <w:t>Pro Forma Adjustments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420"/>
              <w:spacing w:after="0" w:line="216" w:lineRule="exact"/>
              <w:rPr>
                <w:sz w:val="20"/>
                <w:szCs w:val="20"/>
                <w:color w:val="auto"/>
              </w:rPr>
            </w:pPr>
            <w:r>
              <w:rPr>
                <w:rFonts w:ascii="Arial" w:cs="Arial" w:eastAsia="Arial" w:hAnsi="Arial"/>
                <w:sz w:val="19"/>
                <w:szCs w:val="19"/>
                <w:color w:val="auto"/>
                <w:w w:val="88"/>
              </w:rPr>
              <w:t>Beverage</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420"/>
              <w:spacing w:after="0" w:line="216" w:lineRule="exact"/>
              <w:rPr>
                <w:sz w:val="20"/>
                <w:szCs w:val="20"/>
                <w:color w:val="auto"/>
              </w:rPr>
            </w:pPr>
            <w:r>
              <w:rPr>
                <w:rFonts w:ascii="Arial" w:cs="Arial" w:eastAsia="Arial" w:hAnsi="Arial"/>
                <w:sz w:val="19"/>
                <w:szCs w:val="19"/>
                <w:color w:val="auto"/>
                <w:w w:val="91"/>
              </w:rPr>
              <w:t>Disposal of</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420"/>
              <w:spacing w:after="0" w:line="216" w:lineRule="exact"/>
              <w:rPr>
                <w:sz w:val="20"/>
                <w:szCs w:val="20"/>
                <w:color w:val="auto"/>
              </w:rPr>
            </w:pPr>
            <w:r>
              <w:rPr>
                <w:rFonts w:ascii="Arial" w:cs="Arial" w:eastAsia="Arial" w:hAnsi="Arial"/>
                <w:sz w:val="19"/>
                <w:szCs w:val="19"/>
                <w:color w:val="auto"/>
                <w:w w:val="92"/>
              </w:rPr>
              <w:t>Corporation</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3"/>
          </w:tcPr>
          <w:p>
            <w:pPr>
              <w:jc w:val="center"/>
              <w:ind w:right="220"/>
              <w:spacing w:after="0" w:line="216" w:lineRule="exact"/>
              <w:rPr>
                <w:sz w:val="20"/>
                <w:szCs w:val="20"/>
                <w:color w:val="auto"/>
              </w:rPr>
            </w:pPr>
            <w:r>
              <w:rPr>
                <w:rFonts w:ascii="Arial" w:cs="Arial" w:eastAsia="Arial" w:hAnsi="Arial"/>
                <w:sz w:val="19"/>
                <w:szCs w:val="19"/>
                <w:color w:val="auto"/>
                <w:w w:val="92"/>
              </w:rPr>
              <w:t>Monster Non-</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ind w:left="20"/>
              <w:spacing w:after="0" w:line="216" w:lineRule="exact"/>
              <w:rPr>
                <w:sz w:val="20"/>
                <w:szCs w:val="20"/>
                <w:color w:val="auto"/>
              </w:rPr>
            </w:pPr>
            <w:r>
              <w:rPr>
                <w:rFonts w:ascii="Arial" w:cs="Arial" w:eastAsia="Arial" w:hAnsi="Arial"/>
                <w:sz w:val="19"/>
                <w:szCs w:val="19"/>
                <w:color w:val="auto"/>
              </w:rPr>
              <w:t>Pro Forma</w:t>
            </w:r>
          </w:p>
        </w:tc>
        <w:tc>
          <w:tcPr>
            <w:tcW w:w="0" w:type="dxa"/>
            <w:vAlign w:val="bottom"/>
          </w:tcPr>
          <w:p>
            <w:pPr>
              <w:spacing w:after="0"/>
              <w:rPr>
                <w:sz w:val="1"/>
                <w:szCs w:val="1"/>
                <w:color w:val="auto"/>
              </w:rPr>
            </w:pPr>
          </w:p>
        </w:tc>
      </w:tr>
      <w:tr>
        <w:trPr>
          <w:trHeight w:val="238"/>
        </w:trPr>
        <w:tc>
          <w:tcPr>
            <w:tcW w:w="2200" w:type="dxa"/>
            <w:vAlign w:val="bottom"/>
            <w:vMerge w:val="restart"/>
          </w:tcPr>
          <w:p>
            <w:pPr>
              <w:spacing w:after="0"/>
              <w:rPr>
                <w:sz w:val="20"/>
                <w:szCs w:val="20"/>
                <w:color w:val="auto"/>
              </w:rPr>
            </w:pPr>
            <w:r>
              <w:rPr>
                <w:rFonts w:ascii="Arial" w:cs="Arial" w:eastAsia="Arial" w:hAnsi="Arial"/>
                <w:sz w:val="19"/>
                <w:szCs w:val="19"/>
                <w:color w:val="auto"/>
              </w:rPr>
              <w:t>Net sales</w:t>
            </w:r>
          </w:p>
        </w:tc>
        <w:tc>
          <w:tcPr>
            <w:tcW w:w="200" w:type="dxa"/>
            <w:vAlign w:val="bottom"/>
          </w:tcPr>
          <w:p>
            <w:pPr>
              <w:spacing w:after="0"/>
              <w:rPr>
                <w:sz w:val="20"/>
                <w:szCs w:val="20"/>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9"/>
                <w:szCs w:val="19"/>
                <w:color w:val="auto"/>
                <w:w w:val="87"/>
              </w:rPr>
              <w:t>as reported¹</w:t>
            </w:r>
          </w:p>
        </w:tc>
        <w:tc>
          <w:tcPr>
            <w:tcW w:w="18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9"/>
                <w:szCs w:val="19"/>
                <w:color w:val="auto"/>
              </w:rPr>
              <w:t>KO Energy²</w:t>
            </w:r>
          </w:p>
        </w:tc>
        <w:tc>
          <w:tcPr>
            <w:tcW w:w="200" w:type="dxa"/>
            <w:vAlign w:val="bottom"/>
          </w:tcPr>
          <w:p>
            <w:pPr>
              <w:spacing w:after="0"/>
              <w:rPr>
                <w:sz w:val="20"/>
                <w:szCs w:val="20"/>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9"/>
                <w:szCs w:val="19"/>
                <w:color w:val="auto"/>
                <w:w w:val="90"/>
              </w:rPr>
              <w:t>Energy³</w:t>
            </w:r>
          </w:p>
        </w:tc>
        <w:tc>
          <w:tcPr>
            <w:tcW w:w="44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Arial" w:cs="Arial" w:eastAsia="Arial" w:hAnsi="Arial"/>
                <w:sz w:val="19"/>
                <w:szCs w:val="19"/>
                <w:color w:val="auto"/>
              </w:rPr>
              <w:t>Other</w:t>
            </w:r>
          </w:p>
        </w:tc>
        <w:tc>
          <w:tcPr>
            <w:tcW w:w="220" w:type="dxa"/>
            <w:vAlign w:val="bottom"/>
          </w:tcPr>
          <w:p>
            <w:pPr>
              <w:spacing w:after="0"/>
              <w:rPr>
                <w:sz w:val="20"/>
                <w:szCs w:val="20"/>
                <w:color w:val="auto"/>
              </w:rPr>
            </w:pPr>
          </w:p>
        </w:tc>
        <w:tc>
          <w:tcPr>
            <w:tcW w:w="1080" w:type="dxa"/>
            <w:vAlign w:val="bottom"/>
          </w:tcPr>
          <w:p>
            <w:pPr>
              <w:ind w:left="40"/>
              <w:spacing w:after="0"/>
              <w:rPr>
                <w:sz w:val="20"/>
                <w:szCs w:val="20"/>
                <w:color w:val="auto"/>
              </w:rPr>
            </w:pPr>
            <w:r>
              <w:rPr>
                <w:rFonts w:ascii="Arial" w:cs="Arial" w:eastAsia="Arial" w:hAnsi="Arial"/>
                <w:sz w:val="19"/>
                <w:szCs w:val="19"/>
                <w:color w:val="auto"/>
              </w:rPr>
              <w:t>Combined</w:t>
            </w:r>
          </w:p>
        </w:tc>
        <w:tc>
          <w:tcPr>
            <w:tcW w:w="0" w:type="dxa"/>
            <w:vAlign w:val="bottom"/>
          </w:tcPr>
          <w:p>
            <w:pPr>
              <w:spacing w:after="0"/>
              <w:rPr>
                <w:sz w:val="1"/>
                <w:szCs w:val="1"/>
                <w:color w:val="auto"/>
              </w:rPr>
            </w:pPr>
          </w:p>
        </w:tc>
      </w:tr>
      <w:tr>
        <w:trPr>
          <w:trHeight w:val="234"/>
        </w:trPr>
        <w:tc>
          <w:tcPr>
            <w:tcW w:w="2200" w:type="dxa"/>
            <w:vAlign w:val="bottom"/>
            <w:vMerge w:val="continue"/>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1,320,512</w:t>
            </w:r>
          </w:p>
        </w:tc>
        <w:tc>
          <w:tcPr>
            <w:tcW w:w="2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138,127</w:t>
            </w:r>
          </w:p>
        </w:tc>
        <w:tc>
          <w:tcPr>
            <w:tcW w:w="2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(60,824)</w:t>
            </w:r>
          </w:p>
        </w:tc>
        <w:tc>
          <w:tcPr>
            <w:tcW w:w="220" w:type="dxa"/>
            <w:vAlign w:val="bottom"/>
          </w:tcPr>
          <w:p>
            <w:pPr>
              <w:spacing w:after="0"/>
              <w:rPr>
                <w:sz w:val="20"/>
                <w:szCs w:val="20"/>
                <w:color w:val="auto"/>
              </w:rPr>
            </w:pPr>
          </w:p>
        </w:tc>
        <w:tc>
          <w:tcPr>
            <w:tcW w:w="440" w:type="dxa"/>
            <w:vAlign w:val="bottom"/>
            <w:tcBorders>
              <w:top w:val="single" w:sz="8" w:color="auto"/>
            </w:tcBorders>
          </w:tcPr>
          <w:p>
            <w:pPr>
              <w:jc w:val="right"/>
              <w:ind w:right="145"/>
              <w:spacing w:after="0"/>
              <w:rPr>
                <w:sz w:val="20"/>
                <w:szCs w:val="20"/>
                <w:color w:val="auto"/>
              </w:rPr>
            </w:pPr>
            <w:r>
              <w:rPr>
                <w:rFonts w:ascii="Arial" w:cs="Arial" w:eastAsia="Arial" w:hAnsi="Arial"/>
                <w:sz w:val="19"/>
                <w:szCs w:val="19"/>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6,897</w:t>
            </w:r>
          </w:p>
        </w:tc>
        <w:tc>
          <w:tcPr>
            <w:tcW w:w="220" w:type="dxa"/>
            <w:vAlign w:val="bottom"/>
          </w:tcPr>
          <w:p>
            <w:pPr>
              <w:spacing w:after="0"/>
              <w:rPr>
                <w:sz w:val="20"/>
                <w:szCs w:val="20"/>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1,404,712</w:t>
            </w:r>
          </w:p>
        </w:tc>
        <w:tc>
          <w:tcPr>
            <w:tcW w:w="0" w:type="dxa"/>
            <w:vAlign w:val="bottom"/>
          </w:tcPr>
          <w:p>
            <w:pPr>
              <w:spacing w:after="0"/>
              <w:rPr>
                <w:sz w:val="1"/>
                <w:szCs w:val="1"/>
                <w:color w:val="auto"/>
              </w:rPr>
            </w:pPr>
          </w:p>
        </w:tc>
      </w:tr>
    </w:tbl>
    <w:p>
      <w:pPr>
        <w:sectPr>
          <w:pgSz w:w="11900" w:h="16838" w:orient="portrait"/>
          <w:cols w:equalWidth="0" w:num="1">
            <w:col w:w="11420"/>
          </w:cols>
          <w:pgMar w:left="240" w:top="517" w:right="239" w:bottom="0" w:gutter="0" w:footer="0" w:header="0"/>
        </w:sectPr>
      </w:pPr>
    </w:p>
    <w:bookmarkStart w:id="7" w:name="page8"/>
    <w:bookmarkEnd w:id="7"/>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40"/>
        </w:trPr>
        <w:tc>
          <w:tcPr>
            <w:tcW w:w="1860" w:type="dxa"/>
            <w:vAlign w:val="bottom"/>
          </w:tcPr>
          <w:p>
            <w:pPr>
              <w:spacing w:after="0"/>
              <w:rPr>
                <w:sz w:val="20"/>
                <w:szCs w:val="20"/>
                <w:color w:val="auto"/>
              </w:rPr>
            </w:pPr>
            <w:r>
              <w:rPr>
                <w:rFonts w:ascii="Arial" w:cs="Arial" w:eastAsia="Arial" w:hAnsi="Arial"/>
                <w:sz w:val="19"/>
                <w:szCs w:val="19"/>
                <w:color w:val="auto"/>
              </w:rPr>
              <w:t>Net income</w:t>
            </w:r>
          </w:p>
        </w:tc>
        <w:tc>
          <w:tcPr>
            <w:tcW w:w="2060" w:type="dxa"/>
            <w:vAlign w:val="bottom"/>
          </w:tcPr>
          <w:p>
            <w:pPr>
              <w:jc w:val="right"/>
              <w:ind w:right="365"/>
              <w:spacing w:after="0"/>
              <w:rPr>
                <w:sz w:val="20"/>
                <w:szCs w:val="20"/>
                <w:color w:val="auto"/>
              </w:rPr>
            </w:pPr>
            <w:r>
              <w:rPr>
                <w:rFonts w:ascii="Arial" w:cs="Arial" w:eastAsia="Arial" w:hAnsi="Arial"/>
                <w:sz w:val="19"/>
                <w:szCs w:val="19"/>
                <w:color w:val="auto"/>
              </w:rPr>
              <w:t>233,417</w:t>
            </w:r>
          </w:p>
        </w:tc>
        <w:tc>
          <w:tcPr>
            <w:tcW w:w="1500" w:type="dxa"/>
            <w:vAlign w:val="bottom"/>
          </w:tcPr>
          <w:p>
            <w:pPr>
              <w:jc w:val="right"/>
              <w:ind w:right="325"/>
              <w:spacing w:after="0"/>
              <w:rPr>
                <w:sz w:val="20"/>
                <w:szCs w:val="20"/>
                <w:color w:val="auto"/>
              </w:rPr>
            </w:pPr>
            <w:r>
              <w:rPr>
                <w:rFonts w:ascii="Arial" w:cs="Arial" w:eastAsia="Arial" w:hAnsi="Arial"/>
                <w:sz w:val="19"/>
                <w:szCs w:val="19"/>
                <w:color w:val="auto"/>
              </w:rPr>
              <w:t>100,575</w:t>
            </w:r>
          </w:p>
        </w:tc>
        <w:tc>
          <w:tcPr>
            <w:tcW w:w="1600" w:type="dxa"/>
            <w:vAlign w:val="bottom"/>
          </w:tcPr>
          <w:p>
            <w:pPr>
              <w:jc w:val="right"/>
              <w:ind w:right="345"/>
              <w:spacing w:after="0"/>
              <w:rPr>
                <w:sz w:val="20"/>
                <w:szCs w:val="20"/>
                <w:color w:val="auto"/>
              </w:rPr>
            </w:pPr>
            <w:r>
              <w:rPr>
                <w:rFonts w:ascii="Arial" w:cs="Arial" w:eastAsia="Arial" w:hAnsi="Arial"/>
                <w:sz w:val="19"/>
                <w:szCs w:val="19"/>
                <w:color w:val="auto"/>
              </w:rPr>
              <w:t>(101,881)</w:t>
            </w:r>
          </w:p>
        </w:tc>
        <w:tc>
          <w:tcPr>
            <w:tcW w:w="1520" w:type="dxa"/>
            <w:vAlign w:val="bottom"/>
          </w:tcPr>
          <w:p>
            <w:pPr>
              <w:jc w:val="right"/>
              <w:ind w:right="325"/>
              <w:spacing w:after="0"/>
              <w:rPr>
                <w:sz w:val="20"/>
                <w:szCs w:val="20"/>
                <w:color w:val="auto"/>
              </w:rPr>
            </w:pPr>
            <w:r>
              <w:rPr>
                <w:rFonts w:ascii="Arial" w:cs="Arial" w:eastAsia="Arial" w:hAnsi="Arial"/>
                <w:sz w:val="19"/>
                <w:szCs w:val="19"/>
                <w:color w:val="auto"/>
              </w:rPr>
              <w:t>(36,608)</w:t>
            </w:r>
          </w:p>
        </w:tc>
        <w:tc>
          <w:tcPr>
            <w:tcW w:w="1040" w:type="dxa"/>
            <w:vAlign w:val="bottom"/>
          </w:tcPr>
          <w:p>
            <w:pPr>
              <w:jc w:val="right"/>
              <w:spacing w:after="0"/>
              <w:rPr>
                <w:sz w:val="20"/>
                <w:szCs w:val="20"/>
                <w:color w:val="auto"/>
              </w:rPr>
            </w:pPr>
            <w:r>
              <w:rPr>
                <w:rFonts w:ascii="Arial" w:cs="Arial" w:eastAsia="Arial" w:hAnsi="Arial"/>
                <w:sz w:val="19"/>
                <w:szCs w:val="19"/>
                <w:color w:val="auto"/>
              </w:rPr>
              <w:t>195,503</w:t>
            </w:r>
          </w:p>
        </w:tc>
      </w:tr>
    </w:tbl>
    <w:p>
      <w:pPr>
        <w:spacing w:after="0" w:line="204" w:lineRule="exact"/>
        <w:rPr>
          <w:sz w:val="20"/>
          <w:szCs w:val="20"/>
          <w:color w:val="auto"/>
        </w:rPr>
      </w:pPr>
    </w:p>
    <w:p>
      <w:pPr>
        <w:ind w:left="740" w:right="40" w:hanging="84"/>
        <w:spacing w:after="0" w:line="224" w:lineRule="auto"/>
        <w:tabs>
          <w:tab w:leader="none" w:pos="764"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Includes net sales of $13.0 million and net income of $5.8 million related to the acquired KO Energy assets from June 12, 2015 (the date of acquisition) through June 30, 2015.</w:t>
      </w:r>
    </w:p>
    <w:p>
      <w:pPr>
        <w:spacing w:after="0" w:line="146" w:lineRule="exact"/>
        <w:rPr>
          <w:sz w:val="20"/>
          <w:szCs w:val="20"/>
          <w:color w:val="auto"/>
        </w:rPr>
      </w:pPr>
    </w:p>
    <w:p>
      <w:pPr>
        <w:jc w:val="both"/>
        <w:ind w:left="740" w:right="40" w:hanging="84"/>
        <w:spacing w:after="0" w:line="236" w:lineRule="auto"/>
        <w:tabs>
          <w:tab w:leader="none" w:pos="762" w:val="left"/>
        </w:tabs>
        <w:numPr>
          <w:ilvl w:val="0"/>
          <w:numId w:val="5"/>
        </w:numPr>
        <w:rPr>
          <w:rFonts w:ascii="Arial" w:cs="Arial" w:eastAsia="Arial" w:hAnsi="Arial"/>
          <w:sz w:val="22"/>
          <w:szCs w:val="22"/>
          <w:color w:val="auto"/>
          <w:vertAlign w:val="superscript"/>
        </w:rPr>
      </w:pPr>
      <w:r>
        <w:rPr>
          <w:rFonts w:ascii="Arial" w:cs="Arial" w:eastAsia="Arial" w:hAnsi="Arial"/>
          <w:sz w:val="16"/>
          <w:szCs w:val="16"/>
          <w:color w:val="auto"/>
        </w:rPr>
        <w:t>Includes results through June 12, 2015, the date the TCCC Transaction was finalized. The $41.1 million and $100.6 million of net income for KO Energy for the three- and six-months ended June 30, 2015, respectively, is presented before tax. The associated estimated provision for income taxes is included in the “Other” category.</w:t>
      </w:r>
    </w:p>
    <w:p>
      <w:pPr>
        <w:spacing w:after="0" w:line="99" w:lineRule="exact"/>
        <w:rPr>
          <w:sz w:val="20"/>
          <w:szCs w:val="20"/>
          <w:color w:val="auto"/>
        </w:rPr>
      </w:pPr>
    </w:p>
    <w:p>
      <w:pPr>
        <w:ind w:left="760" w:hanging="104"/>
        <w:spacing w:after="0"/>
        <w:tabs>
          <w:tab w:leader="none" w:pos="760"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Includes results through June 12, 2015. Net income includes the gain recognized on the sale of Monster Non-Energy of $161.5 million.</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Pro-Forma Adjustments – Other include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40" w:type="dxa"/>
            <w:vAlign w:val="bottom"/>
            <w:gridSpan w:val="3"/>
          </w:tcPr>
          <w:p>
            <w:pPr>
              <w:jc w:val="center"/>
              <w:ind w:right="280"/>
              <w:spacing w:after="0"/>
              <w:rPr>
                <w:sz w:val="20"/>
                <w:szCs w:val="20"/>
                <w:color w:val="auto"/>
              </w:rPr>
            </w:pPr>
            <w:r>
              <w:rPr>
                <w:rFonts w:ascii="Arial" w:cs="Arial" w:eastAsia="Arial" w:hAnsi="Arial"/>
                <w:sz w:val="19"/>
                <w:szCs w:val="19"/>
                <w:color w:val="auto"/>
                <w:w w:val="91"/>
              </w:rPr>
              <w:t>Three-Months</w:t>
            </w:r>
          </w:p>
        </w:tc>
        <w:tc>
          <w:tcPr>
            <w:tcW w:w="220" w:type="dxa"/>
            <w:vAlign w:val="bottom"/>
          </w:tcPr>
          <w:p>
            <w:pPr>
              <w:spacing w:after="0"/>
              <w:rPr>
                <w:sz w:val="18"/>
                <w:szCs w:val="18"/>
                <w:color w:val="auto"/>
              </w:rPr>
            </w:pPr>
          </w:p>
        </w:tc>
        <w:tc>
          <w:tcPr>
            <w:tcW w:w="1160" w:type="dxa"/>
            <w:vAlign w:val="bottom"/>
          </w:tcPr>
          <w:p>
            <w:pPr>
              <w:jc w:val="center"/>
              <w:ind w:right="125"/>
              <w:spacing w:after="0"/>
              <w:rPr>
                <w:sz w:val="20"/>
                <w:szCs w:val="20"/>
                <w:color w:val="auto"/>
              </w:rPr>
            </w:pPr>
            <w:r>
              <w:rPr>
                <w:rFonts w:ascii="Arial" w:cs="Arial" w:eastAsia="Arial" w:hAnsi="Arial"/>
                <w:sz w:val="19"/>
                <w:szCs w:val="19"/>
                <w:color w:val="auto"/>
                <w:w w:val="94"/>
              </w:rPr>
              <w:t>Six-Months</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center"/>
              <w:ind w:right="600"/>
              <w:spacing w:after="0" w:line="216" w:lineRule="exact"/>
              <w:rPr>
                <w:sz w:val="20"/>
                <w:szCs w:val="20"/>
                <w:color w:val="auto"/>
              </w:rPr>
            </w:pPr>
            <w:r>
              <w:rPr>
                <w:rFonts w:ascii="Arial" w:cs="Arial" w:eastAsia="Arial" w:hAnsi="Arial"/>
                <w:sz w:val="19"/>
                <w:szCs w:val="19"/>
                <w:color w:val="auto"/>
                <w:w w:val="87"/>
              </w:rPr>
              <w:t>Ended</w:t>
            </w:r>
          </w:p>
        </w:tc>
        <w:tc>
          <w:tcPr>
            <w:tcW w:w="220" w:type="dxa"/>
            <w:vAlign w:val="bottom"/>
          </w:tcPr>
          <w:p>
            <w:pPr>
              <w:spacing w:after="0"/>
              <w:rPr>
                <w:sz w:val="18"/>
                <w:szCs w:val="18"/>
                <w:color w:val="auto"/>
              </w:rPr>
            </w:pPr>
          </w:p>
        </w:tc>
        <w:tc>
          <w:tcPr>
            <w:tcW w:w="1160" w:type="dxa"/>
            <w:vAlign w:val="bottom"/>
          </w:tcPr>
          <w:p>
            <w:pPr>
              <w:jc w:val="center"/>
              <w:ind w:right="105"/>
              <w:spacing w:after="0" w:line="216" w:lineRule="exact"/>
              <w:rPr>
                <w:sz w:val="20"/>
                <w:szCs w:val="20"/>
                <w:color w:val="auto"/>
              </w:rPr>
            </w:pPr>
            <w:r>
              <w:rPr>
                <w:rFonts w:ascii="Arial" w:cs="Arial" w:eastAsia="Arial" w:hAnsi="Arial"/>
                <w:sz w:val="19"/>
                <w:szCs w:val="19"/>
                <w:color w:val="auto"/>
                <w:w w:val="87"/>
              </w:rPr>
              <w:t>Ended</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480" w:type="dxa"/>
            <w:vAlign w:val="bottom"/>
            <w:vMerge w:val="restart"/>
          </w:tcPr>
          <w:p>
            <w:pPr>
              <w:ind w:left="340"/>
              <w:spacing w:after="0"/>
              <w:rPr>
                <w:sz w:val="20"/>
                <w:szCs w:val="20"/>
                <w:color w:val="auto"/>
              </w:rPr>
            </w:pPr>
            <w:r>
              <w:rPr>
                <w:rFonts w:ascii="Arial" w:cs="Arial" w:eastAsia="Arial" w:hAnsi="Arial"/>
                <w:sz w:val="19"/>
                <w:szCs w:val="19"/>
                <w:color w:val="auto"/>
              </w:rPr>
              <w:t>Net sales:</w:t>
            </w:r>
          </w:p>
        </w:tc>
        <w:tc>
          <w:tcPr>
            <w:tcW w:w="860" w:type="dxa"/>
            <w:vAlign w:val="bottom"/>
          </w:tcPr>
          <w:p>
            <w:pPr>
              <w:spacing w:after="0"/>
              <w:rPr>
                <w:sz w:val="20"/>
                <w:szCs w:val="20"/>
                <w:color w:val="auto"/>
              </w:rPr>
            </w:pPr>
          </w:p>
        </w:tc>
        <w:tc>
          <w:tcPr>
            <w:tcW w:w="1640" w:type="dxa"/>
            <w:vAlign w:val="bottom"/>
            <w:gridSpan w:val="3"/>
          </w:tcPr>
          <w:p>
            <w:pPr>
              <w:jc w:val="center"/>
              <w:ind w:right="260"/>
              <w:spacing w:after="0"/>
              <w:rPr>
                <w:sz w:val="20"/>
                <w:szCs w:val="20"/>
                <w:color w:val="auto"/>
              </w:rPr>
            </w:pPr>
            <w:r>
              <w:rPr>
                <w:rFonts w:ascii="Arial" w:cs="Arial" w:eastAsia="Arial" w:hAnsi="Arial"/>
                <w:sz w:val="19"/>
                <w:szCs w:val="19"/>
                <w:color w:val="auto"/>
                <w:w w:val="87"/>
              </w:rPr>
              <w:t>June 30, 2015</w:t>
            </w:r>
          </w:p>
        </w:tc>
        <w:tc>
          <w:tcPr>
            <w:tcW w:w="1380" w:type="dxa"/>
            <w:vAlign w:val="bottom"/>
            <w:gridSpan w:val="2"/>
          </w:tcPr>
          <w:p>
            <w:pPr>
              <w:jc w:val="center"/>
              <w:spacing w:after="0"/>
              <w:rPr>
                <w:sz w:val="20"/>
                <w:szCs w:val="20"/>
                <w:color w:val="auto"/>
              </w:rPr>
            </w:pPr>
            <w:r>
              <w:rPr>
                <w:rFonts w:ascii="Arial" w:cs="Arial" w:eastAsia="Arial" w:hAnsi="Arial"/>
                <w:sz w:val="19"/>
                <w:szCs w:val="19"/>
                <w:color w:val="auto"/>
                <w:w w:val="87"/>
              </w:rPr>
              <w:t>June 30, 2015</w:t>
            </w: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48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5480" w:type="dxa"/>
            <w:vAlign w:val="bottom"/>
          </w:tcPr>
          <w:p>
            <w:pPr>
              <w:ind w:left="520"/>
              <w:spacing w:after="0"/>
              <w:rPr>
                <w:sz w:val="20"/>
                <w:szCs w:val="20"/>
                <w:color w:val="auto"/>
              </w:rPr>
            </w:pPr>
            <w:r>
              <w:rPr>
                <w:rFonts w:ascii="Arial" w:cs="Arial" w:eastAsia="Arial" w:hAnsi="Arial"/>
                <w:sz w:val="19"/>
                <w:szCs w:val="19"/>
                <w:color w:val="auto"/>
              </w:rPr>
              <w:t>Amortization of deferred revenue</w:t>
            </w:r>
          </w:p>
        </w:tc>
        <w:tc>
          <w:tcPr>
            <w:tcW w:w="1180" w:type="dxa"/>
            <w:vAlign w:val="bottom"/>
            <w:gridSpan w:val="2"/>
          </w:tcPr>
          <w:p>
            <w:pPr>
              <w:jc w:val="right"/>
              <w:ind w:right="25"/>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3,089</w:t>
            </w:r>
          </w:p>
        </w:tc>
        <w:tc>
          <w:tcPr>
            <w:tcW w:w="2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6,897</w:t>
            </w: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8"/>
        </w:trPr>
        <w:tc>
          <w:tcPr>
            <w:tcW w:w="5480" w:type="dxa"/>
            <w:vAlign w:val="bottom"/>
          </w:tcPr>
          <w:p>
            <w:pPr>
              <w:ind w:left="340"/>
              <w:spacing w:after="0"/>
              <w:rPr>
                <w:sz w:val="20"/>
                <w:szCs w:val="20"/>
                <w:color w:val="auto"/>
              </w:rPr>
            </w:pPr>
            <w:r>
              <w:rPr>
                <w:rFonts w:ascii="Arial" w:cs="Arial" w:eastAsia="Arial" w:hAnsi="Arial"/>
                <w:sz w:val="19"/>
                <w:szCs w:val="19"/>
                <w:color w:val="auto"/>
              </w:rPr>
              <w:t>Net income:</w:t>
            </w: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520"/>
              <w:spacing w:after="0" w:line="216" w:lineRule="exact"/>
              <w:rPr>
                <w:sz w:val="20"/>
                <w:szCs w:val="20"/>
                <w:color w:val="auto"/>
              </w:rPr>
            </w:pPr>
            <w:r>
              <w:rPr>
                <w:rFonts w:ascii="Arial" w:cs="Arial" w:eastAsia="Arial" w:hAnsi="Arial"/>
                <w:sz w:val="19"/>
                <w:szCs w:val="19"/>
                <w:color w:val="auto"/>
              </w:rPr>
              <w:t>Amortization of deferred revenue</w:t>
            </w:r>
          </w:p>
        </w:tc>
        <w:tc>
          <w:tcPr>
            <w:tcW w:w="1180" w:type="dxa"/>
            <w:vAlign w:val="bottom"/>
            <w:gridSpan w:val="2"/>
          </w:tcPr>
          <w:p>
            <w:pPr>
              <w:jc w:val="right"/>
              <w:ind w:right="25"/>
              <w:spacing w:after="0" w:line="216" w:lineRule="exact"/>
              <w:rPr>
                <w:sz w:val="20"/>
                <w:szCs w:val="20"/>
                <w:color w:val="auto"/>
              </w:rPr>
            </w:pPr>
            <w:r>
              <w:rPr>
                <w:rFonts w:ascii="Arial" w:cs="Arial" w:eastAsia="Arial" w:hAnsi="Arial"/>
                <w:sz w:val="19"/>
                <w:szCs w:val="19"/>
                <w:color w:val="auto"/>
              </w:rPr>
              <w:t>$</w:t>
            </w:r>
          </w:p>
        </w:tc>
        <w:tc>
          <w:tcPr>
            <w:tcW w:w="1040" w:type="dxa"/>
            <w:vAlign w:val="bottom"/>
          </w:tcPr>
          <w:p>
            <w:pPr>
              <w:jc w:val="right"/>
              <w:spacing w:after="0" w:line="216" w:lineRule="exact"/>
              <w:rPr>
                <w:sz w:val="20"/>
                <w:szCs w:val="20"/>
                <w:color w:val="auto"/>
              </w:rPr>
            </w:pPr>
            <w:r>
              <w:rPr>
                <w:rFonts w:ascii="Arial" w:cs="Arial" w:eastAsia="Arial" w:hAnsi="Arial"/>
                <w:sz w:val="19"/>
                <w:szCs w:val="19"/>
                <w:color w:val="auto"/>
              </w:rPr>
              <w:t>3,089</w:t>
            </w:r>
          </w:p>
        </w:tc>
        <w:tc>
          <w:tcPr>
            <w:tcW w:w="280" w:type="dxa"/>
            <w:vAlign w:val="bottom"/>
          </w:tcPr>
          <w:p>
            <w:pPr>
              <w:spacing w:after="0"/>
              <w:rPr>
                <w:sz w:val="18"/>
                <w:szCs w:val="18"/>
                <w:color w:val="auto"/>
              </w:rPr>
            </w:pPr>
          </w:p>
        </w:tc>
        <w:tc>
          <w:tcPr>
            <w:tcW w:w="22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160" w:type="dxa"/>
            <w:vAlign w:val="bottom"/>
          </w:tcPr>
          <w:p>
            <w:pPr>
              <w:jc w:val="right"/>
              <w:spacing w:after="0" w:line="216" w:lineRule="exact"/>
              <w:rPr>
                <w:sz w:val="20"/>
                <w:szCs w:val="20"/>
                <w:color w:val="auto"/>
              </w:rPr>
            </w:pPr>
            <w:r>
              <w:rPr>
                <w:rFonts w:ascii="Arial" w:cs="Arial" w:eastAsia="Arial" w:hAnsi="Arial"/>
                <w:sz w:val="19"/>
                <w:szCs w:val="19"/>
                <w:color w:val="auto"/>
              </w:rPr>
              <w:t>6,897</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520"/>
              <w:spacing w:after="0" w:line="216" w:lineRule="exact"/>
              <w:rPr>
                <w:sz w:val="20"/>
                <w:szCs w:val="20"/>
                <w:color w:val="auto"/>
              </w:rPr>
            </w:pPr>
            <w:r>
              <w:rPr>
                <w:rFonts w:ascii="Arial" w:cs="Arial" w:eastAsia="Arial" w:hAnsi="Arial"/>
                <w:sz w:val="19"/>
                <w:szCs w:val="19"/>
                <w:color w:val="auto"/>
              </w:rPr>
              <w:t>To record sales commissions</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Arial" w:cs="Arial" w:eastAsia="Arial" w:hAnsi="Arial"/>
                <w:sz w:val="19"/>
                <w:szCs w:val="19"/>
                <w:color w:val="auto"/>
              </w:rPr>
              <w:t>(6,431)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line="216" w:lineRule="exact"/>
              <w:rPr>
                <w:sz w:val="20"/>
                <w:szCs w:val="20"/>
                <w:color w:val="auto"/>
              </w:rPr>
            </w:pPr>
            <w:r>
              <w:rPr>
                <w:rFonts w:ascii="Arial" w:cs="Arial" w:eastAsia="Arial" w:hAnsi="Arial"/>
                <w:sz w:val="19"/>
                <w:szCs w:val="19"/>
                <w:color w:val="auto"/>
              </w:rPr>
              <w:t>(15,470)</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520"/>
              <w:spacing w:after="0" w:line="216" w:lineRule="exact"/>
              <w:rPr>
                <w:sz w:val="20"/>
                <w:szCs w:val="20"/>
                <w:color w:val="auto"/>
              </w:rPr>
            </w:pPr>
            <w:r>
              <w:rPr>
                <w:rFonts w:ascii="Arial" w:cs="Arial" w:eastAsia="Arial" w:hAnsi="Arial"/>
                <w:sz w:val="19"/>
                <w:szCs w:val="19"/>
                <w:color w:val="auto"/>
                <w:w w:val="95"/>
              </w:rPr>
              <w:t>To record amortization of definite lived KO Energy intangibles</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Arial" w:cs="Arial" w:eastAsia="Arial" w:hAnsi="Arial"/>
                <w:sz w:val="19"/>
                <w:szCs w:val="19"/>
                <w:color w:val="auto"/>
              </w:rPr>
              <w:t>(1,400)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line="216" w:lineRule="exact"/>
              <w:rPr>
                <w:sz w:val="20"/>
                <w:szCs w:val="20"/>
                <w:color w:val="auto"/>
              </w:rPr>
            </w:pPr>
            <w:r>
              <w:rPr>
                <w:rFonts w:ascii="Arial" w:cs="Arial" w:eastAsia="Arial" w:hAnsi="Arial"/>
                <w:sz w:val="19"/>
                <w:szCs w:val="19"/>
                <w:color w:val="auto"/>
              </w:rPr>
              <w:t>(3,126)</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520"/>
              <w:spacing w:after="0" w:line="216" w:lineRule="exact"/>
              <w:rPr>
                <w:sz w:val="20"/>
                <w:szCs w:val="20"/>
                <w:color w:val="auto"/>
              </w:rPr>
            </w:pPr>
            <w:r>
              <w:rPr>
                <w:rFonts w:ascii="Arial" w:cs="Arial" w:eastAsia="Arial" w:hAnsi="Arial"/>
                <w:sz w:val="19"/>
                <w:szCs w:val="19"/>
                <w:color w:val="auto"/>
              </w:rPr>
              <w:t>To eliminate TCCC Transaction expenses</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Arial" w:cs="Arial" w:eastAsia="Arial" w:hAnsi="Arial"/>
                <w:sz w:val="19"/>
                <w:szCs w:val="19"/>
                <w:color w:val="auto"/>
              </w:rPr>
              <w:t>11,536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line="216" w:lineRule="exact"/>
              <w:rPr>
                <w:sz w:val="20"/>
                <w:szCs w:val="20"/>
                <w:color w:val="auto"/>
              </w:rPr>
            </w:pPr>
            <w:r>
              <w:rPr>
                <w:rFonts w:ascii="Arial" w:cs="Arial" w:eastAsia="Arial" w:hAnsi="Arial"/>
                <w:sz w:val="19"/>
                <w:szCs w:val="19"/>
                <w:color w:val="auto"/>
              </w:rPr>
              <w:t>15,134</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520"/>
              <w:spacing w:after="0" w:line="216" w:lineRule="exact"/>
              <w:rPr>
                <w:sz w:val="20"/>
                <w:szCs w:val="20"/>
                <w:color w:val="auto"/>
              </w:rPr>
            </w:pPr>
            <w:r>
              <w:rPr>
                <w:rFonts w:ascii="Arial" w:cs="Arial" w:eastAsia="Arial" w:hAnsi="Arial"/>
                <w:sz w:val="19"/>
                <w:szCs w:val="19"/>
                <w:color w:val="auto"/>
                <w:w w:val="92"/>
              </w:rPr>
              <w:t>Estimated provision for income taxes on pro forma adjustments</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Arial" w:cs="Arial" w:eastAsia="Arial" w:hAnsi="Arial"/>
                <w:sz w:val="19"/>
                <w:szCs w:val="19"/>
                <w:color w:val="auto"/>
              </w:rPr>
              <w:t>(2,616)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line="216" w:lineRule="exact"/>
              <w:rPr>
                <w:sz w:val="20"/>
                <w:szCs w:val="20"/>
                <w:color w:val="auto"/>
              </w:rPr>
            </w:pPr>
            <w:r>
              <w:rPr>
                <w:rFonts w:ascii="Arial" w:cs="Arial" w:eastAsia="Arial" w:hAnsi="Arial"/>
                <w:sz w:val="19"/>
                <w:szCs w:val="19"/>
                <w:color w:val="auto"/>
              </w:rPr>
              <w:t>(1,322)</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520"/>
              <w:spacing w:after="0" w:line="216" w:lineRule="exact"/>
              <w:rPr>
                <w:sz w:val="20"/>
                <w:szCs w:val="20"/>
                <w:color w:val="auto"/>
              </w:rPr>
            </w:pPr>
            <w:r>
              <w:rPr>
                <w:rFonts w:ascii="Arial" w:cs="Arial" w:eastAsia="Arial" w:hAnsi="Arial"/>
                <w:sz w:val="19"/>
                <w:szCs w:val="19"/>
                <w:color w:val="auto"/>
                <w:w w:val="98"/>
              </w:rPr>
              <w:t>Estimated provision for income taxes on KO Energy income</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Arial" w:cs="Arial" w:eastAsia="Arial" w:hAnsi="Arial"/>
                <w:sz w:val="19"/>
                <w:szCs w:val="19"/>
                <w:color w:val="auto"/>
              </w:rPr>
              <w:t>(15,837)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line="216" w:lineRule="exact"/>
              <w:rPr>
                <w:sz w:val="20"/>
                <w:szCs w:val="20"/>
                <w:color w:val="auto"/>
              </w:rPr>
            </w:pPr>
            <w:r>
              <w:rPr>
                <w:rFonts w:ascii="Arial" w:cs="Arial" w:eastAsia="Arial" w:hAnsi="Arial"/>
                <w:sz w:val="19"/>
                <w:szCs w:val="19"/>
                <w:color w:val="auto"/>
              </w:rPr>
              <w:t>(38,721)</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5480" w:type="dxa"/>
            <w:vAlign w:val="bottom"/>
            <w:vMerge w:val="restart"/>
          </w:tcPr>
          <w:p>
            <w:pPr>
              <w:ind w:left="520"/>
              <w:spacing w:after="0"/>
              <w:rPr>
                <w:sz w:val="20"/>
                <w:szCs w:val="20"/>
                <w:color w:val="auto"/>
              </w:rPr>
            </w:pPr>
            <w:r>
              <w:rPr>
                <w:rFonts w:ascii="Arial" w:cs="Arial" w:eastAsia="Arial" w:hAnsi="Arial"/>
                <w:sz w:val="19"/>
                <w:szCs w:val="19"/>
                <w:color w:val="auto"/>
              </w:rPr>
              <w:t>Total</w:t>
            </w:r>
          </w:p>
        </w:tc>
        <w:tc>
          <w:tcPr>
            <w:tcW w:w="86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48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320" w:type="dxa"/>
            <w:vAlign w:val="bottom"/>
            <w:tcBorders>
              <w:bottom w:val="single" w:sz="8" w:color="auto"/>
            </w:tcBorders>
          </w:tcPr>
          <w:p>
            <w:pPr>
              <w:jc w:val="right"/>
              <w:ind w:right="25"/>
              <w:spacing w:after="0" w:line="210" w:lineRule="exact"/>
              <w:rPr>
                <w:sz w:val="20"/>
                <w:szCs w:val="20"/>
                <w:color w:val="auto"/>
              </w:rPr>
            </w:pPr>
            <w:r>
              <w:rPr>
                <w:rFonts w:ascii="Arial" w:cs="Arial" w:eastAsia="Arial" w:hAnsi="Arial"/>
                <w:sz w:val="19"/>
                <w:szCs w:val="19"/>
                <w:color w:val="auto"/>
              </w:rPr>
              <w:t>$</w:t>
            </w:r>
          </w:p>
        </w:tc>
        <w:tc>
          <w:tcPr>
            <w:tcW w:w="10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(11,659)</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16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(36,608)</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860" w:type="dxa"/>
            <w:vAlign w:val="bottom"/>
            <w:vMerge w:val="restart"/>
          </w:tcPr>
          <w:p>
            <w:pPr>
              <w:jc w:val="right"/>
              <w:ind w:right="447"/>
              <w:spacing w:after="0"/>
              <w:rPr>
                <w:sz w:val="20"/>
                <w:szCs w:val="20"/>
                <w:color w:val="auto"/>
              </w:rPr>
            </w:pPr>
            <w:r>
              <w:rPr>
                <w:rFonts w:ascii="Arial" w:cs="Arial" w:eastAsia="Arial" w:hAnsi="Arial"/>
                <w:sz w:val="18"/>
                <w:szCs w:val="18"/>
                <w:color w:val="auto"/>
              </w:rPr>
              <w:t>11</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8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48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1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For purposes of the unaudited pro forma financial information, a combined U.S. Federal and state statutory tax rate of 38.5% has been used. This rate does not reflect the Company’s expected effective tax rate, which includes other tax charges and benefits, and does not take into account any historical or possible future tax events that may impact the combined company.</w:t>
      </w:r>
    </w:p>
    <w:p>
      <w:pPr>
        <w:spacing w:after="0" w:line="200" w:lineRule="exact"/>
        <w:rPr>
          <w:sz w:val="20"/>
          <w:szCs w:val="20"/>
          <w:color w:val="auto"/>
        </w:rPr>
      </w:pPr>
    </w:p>
    <w:p>
      <w:pPr>
        <w:jc w:val="both"/>
        <w:ind w:right="40" w:firstLine="648"/>
        <w:spacing w:after="0" w:line="274" w:lineRule="auto"/>
        <w:rPr>
          <w:sz w:val="20"/>
          <w:szCs w:val="20"/>
          <w:color w:val="auto"/>
        </w:rPr>
      </w:pPr>
      <w:r>
        <w:rPr>
          <w:rFonts w:ascii="Arial" w:cs="Arial" w:eastAsia="Arial" w:hAnsi="Arial"/>
          <w:sz w:val="18"/>
          <w:szCs w:val="18"/>
          <w:color w:val="auto"/>
        </w:rPr>
        <w:t>The unaudited pro forma financial information is presented for information purposes only and is not intended to represent or be indicative of the combined results of operations that the Company would have reported had the TCCC Transaction been completed as of the date and for the periods presented, and should not be taken as representative of the Company’s consolidated results of operations following the completion of the TCCC Transaction. In addition, the unaudited pro forma financial information is not intended to project the future financial results of operations of the combined company. The unaudited pro forma combined financial information does not reflect any cost savings, operational synergies or revenue enhancements that the combined company may achieve as a result of the TCCC Transaction, or the costs to combine the operations or costs necessary to achieve cost savings, operating synergies and revenue enhancements.</w:t>
      </w:r>
    </w:p>
    <w:p>
      <w:pPr>
        <w:spacing w:after="0" w:line="183" w:lineRule="exact"/>
        <w:rPr>
          <w:sz w:val="20"/>
          <w:szCs w:val="20"/>
          <w:color w:val="auto"/>
        </w:rPr>
      </w:pPr>
    </w:p>
    <w:p>
      <w:pPr>
        <w:ind w:left="640" w:hanging="632"/>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RECENT ACCOUNTING PRONOUNCEMENTS</w:t>
      </w:r>
    </w:p>
    <w:p>
      <w:pPr>
        <w:spacing w:after="0" w:line="229" w:lineRule="exact"/>
        <w:rPr>
          <w:sz w:val="20"/>
          <w:szCs w:val="20"/>
          <w:color w:val="auto"/>
        </w:rPr>
      </w:pPr>
    </w:p>
    <w:p>
      <w:pPr>
        <w:jc w:val="both"/>
        <w:ind w:right="40" w:firstLine="648"/>
        <w:spacing w:after="0" w:line="278" w:lineRule="auto"/>
        <w:rPr>
          <w:sz w:val="20"/>
          <w:szCs w:val="20"/>
          <w:color w:val="auto"/>
        </w:rPr>
      </w:pPr>
      <w:r>
        <w:rPr>
          <w:rFonts w:ascii="Arial" w:cs="Arial" w:eastAsia="Arial" w:hAnsi="Arial"/>
          <w:sz w:val="18"/>
          <w:szCs w:val="18"/>
          <w:color w:val="auto"/>
        </w:rPr>
        <w:t>In June 2016, the FASB issued ASU No. 2016-13, “Financial Instruments - Credit Losses (Topic 326): Measurement of Credit Losses on Financial Instruments”. The accounting standard changes the methodology for measuring credit losses on financial instruments and the timing when such losses are recorded. ASU No. 2016-13 is effective for fiscal years, and interim periods within those years, beginning after December 15, 2019. Early adoption is permitted for fiscal years, and interim periods within those years, beginning after December 15, 2018. The Company is currently evaluating the impact of ASU No. 2016-13 on its financial position, results of operations and liquidity.</w:t>
      </w:r>
    </w:p>
    <w:p>
      <w:pPr>
        <w:spacing w:after="0" w:line="179" w:lineRule="exact"/>
        <w:rPr>
          <w:sz w:val="20"/>
          <w:szCs w:val="20"/>
          <w:color w:val="auto"/>
        </w:rPr>
      </w:pPr>
    </w:p>
    <w:p>
      <w:pPr>
        <w:jc w:val="both"/>
        <w:ind w:right="40" w:firstLine="648"/>
        <w:spacing w:after="0" w:line="270" w:lineRule="auto"/>
        <w:rPr>
          <w:sz w:val="20"/>
          <w:szCs w:val="20"/>
          <w:color w:val="auto"/>
        </w:rPr>
      </w:pPr>
      <w:r>
        <w:rPr>
          <w:rFonts w:ascii="Arial" w:cs="Arial" w:eastAsia="Arial" w:hAnsi="Arial"/>
          <w:sz w:val="18"/>
          <w:szCs w:val="18"/>
          <w:color w:val="auto"/>
        </w:rPr>
        <w:t>In March 2016, the FASB issued ASU No. 2016-09, “Compensation - Stock Compensation: Improvements to Employee Share-Based Payment Accounting”, which changes how companies account for certain aspects of share-based payments to employees. The new guidance identifies areas for simplification involving several aspects of accounting for share-based payment transactions, including income tax consequences, classification of awards as either equity or liabilities, an option to recognize gross stock compensation expense with actual forfeitures recognized as they occur, and certain classifications on the statement of cash flows. The update is effective for annual reporting periods beginning after December 15, 2016, including interim periods within those annual reporting periods with early application permitted. The Company early adopted the standards update effective January 1, 2016, electing (i) retrospective adjustment in the statement of cash flows and (ii) continued recognition of stock compensation based on estimated forfeitures. For the six-months ended June 30, 2015, each of net cash provided by operating activities and net cash used in financing activities increased by $300.3 million, respectively, as a result of such retrospective adjustment. For the three-and six-months ended June 30, 2016, the Company recorded $2.0 million and $3.6 million of excess tax benefits in net income that previously would have been recorded in additional paid-in-capital. The adoption of ASU No. 2016-09 did not have a material impact on the Company’s financial position, results of operations or liquidity.</w:t>
      </w:r>
    </w:p>
    <w:p>
      <w:pPr>
        <w:spacing w:after="0" w:line="190" w:lineRule="exact"/>
        <w:rPr>
          <w:sz w:val="20"/>
          <w:szCs w:val="20"/>
          <w:color w:val="auto"/>
        </w:rPr>
      </w:pPr>
    </w:p>
    <w:p>
      <w:pPr>
        <w:jc w:val="both"/>
        <w:ind w:right="40" w:firstLine="648"/>
        <w:spacing w:after="0" w:line="291" w:lineRule="auto"/>
        <w:rPr>
          <w:sz w:val="20"/>
          <w:szCs w:val="20"/>
          <w:color w:val="auto"/>
        </w:rPr>
      </w:pPr>
      <w:r>
        <w:rPr>
          <w:rFonts w:ascii="Arial" w:cs="Arial" w:eastAsia="Arial" w:hAnsi="Arial"/>
          <w:sz w:val="18"/>
          <w:szCs w:val="18"/>
          <w:color w:val="auto"/>
        </w:rPr>
        <w:t>In February 2016, the FASB issued ASU No. 2016-02, “Leases (Topic 842)”. This update is intended to increase transparency and comparability among organizations by recognizing lease assets and lease liabilities on the balance sheet and disclosing key information about leasing arrangements. This update is effective for annual and interim reporting periods beginning after December 15, 2018, including interim</w:t>
      </w:r>
    </w:p>
    <w:p>
      <w:pPr>
        <w:sectPr>
          <w:pgSz w:w="11900" w:h="16838" w:orient="portrait"/>
          <w:cols w:equalWidth="0" w:num="1">
            <w:col w:w="11460"/>
          </w:cols>
          <w:pgMar w:left="240" w:top="118" w:right="199" w:bottom="0" w:gutter="0" w:footer="0" w:header="0"/>
        </w:sectPr>
      </w:pPr>
    </w:p>
    <w:bookmarkStart w:id="8" w:name="page9"/>
    <w:bookmarkEnd w:id="8"/>
    <w:p>
      <w:pPr>
        <w:jc w:val="both"/>
        <w:ind w:right="20"/>
        <w:spacing w:after="0" w:line="262" w:lineRule="auto"/>
        <w:rPr>
          <w:sz w:val="20"/>
          <w:szCs w:val="20"/>
          <w:color w:val="auto"/>
        </w:rPr>
      </w:pPr>
      <w:r>
        <w:rPr>
          <w:rFonts w:ascii="Arial" w:cs="Arial" w:eastAsia="Arial" w:hAnsi="Arial"/>
          <w:sz w:val="20"/>
          <w:szCs w:val="20"/>
          <w:color w:val="auto"/>
        </w:rPr>
        <w:t>periods within those fiscal years. Early adoption is permitted. The Company is currently evaluating the impact of ASU No. 2016-02 on its financial position, results of operations and liquidity.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In November 2015, the FASB issued ASU No. 2015-17, “Income Taxes (Topic 740), Balance Sheet Classification of Deferred Taxes”. The amendments under the new guidance require that deferred tax liabilities and assets be classified as noncurrent in the classified balance sheets. The guidance is effective for financial statements issued for annual periods beginning after December 15, 2016, and interim periods within those annual periods. Earlier application is permitted for all entities as of the beginning of an interim or annual reporting period. The Company adopted the standards update effective December 31, 2015, electing to apply it retrospectively to all periods presented.</w:t>
      </w:r>
    </w:p>
    <w:p>
      <w:pPr>
        <w:spacing w:after="0" w:line="17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In July 2015, the FASB issued ASU No. 2015-11, “Inventory (Topic 330): Simplifying the Measurement of Inventory”. ASU No. 2015-11 requires entities to measure inventory at the lower of cost or net realizable value. Net realizable value is defined as the estimated selling prices in the ordinary course of business, less reasonably predictable costs of completion, disposal and transportation. ASU No. 2015-11 is effective for annual periods, and interim periods within those years, beginning after December 15, 2016. Early adoption is permitted. The adoption of ASU No. 2015-11 is not expected to have a material impact on the Company’s financial position, results of operations or liquidity.</w:t>
      </w:r>
    </w:p>
    <w:p>
      <w:pPr>
        <w:spacing w:after="0" w:line="1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In May 2014, the FASB issued ASU No. 2014-09, “Revenue from Contracts with Customers”, which supersedes previous revenue recognition guidance. ASU No. 2014-09 requires that a company recognize revenue at an amount that reflects the consideration to which the company expects to be entitled in exchange for transferring goods or services to a customer. In applying the new guidance, a company will</w:t>
      </w:r>
    </w:p>
    <w:p>
      <w:pPr>
        <w:spacing w:after="0" w:line="1" w:lineRule="exact"/>
        <w:rPr>
          <w:sz w:val="20"/>
          <w:szCs w:val="20"/>
          <w:color w:val="auto"/>
        </w:rPr>
      </w:pPr>
    </w:p>
    <w:p>
      <w:pPr>
        <w:ind w:left="280" w:hanging="272"/>
        <w:spacing w:after="0"/>
        <w:tabs>
          <w:tab w:leader="none" w:pos="280" w:val="left"/>
        </w:tabs>
        <w:numPr>
          <w:ilvl w:val="0"/>
          <w:numId w:val="8"/>
        </w:numPr>
        <w:rPr>
          <w:rFonts w:ascii="Arial" w:cs="Arial" w:eastAsia="Arial" w:hAnsi="Arial"/>
          <w:sz w:val="19"/>
          <w:szCs w:val="19"/>
          <w:color w:val="auto"/>
        </w:rPr>
      </w:pPr>
      <w:r>
        <w:rPr>
          <w:rFonts w:ascii="Arial" w:cs="Arial" w:eastAsia="Arial" w:hAnsi="Arial"/>
          <w:sz w:val="19"/>
          <w:szCs w:val="19"/>
          <w:color w:val="auto"/>
        </w:rPr>
        <w:t>identify the contract(s) with a customer; (ii) identify the performance obligations in the contract; (iii) determine the transaction price;</w:t>
      </w:r>
    </w:p>
    <w:p>
      <w:pPr>
        <w:spacing w:after="0" w:line="11" w:lineRule="exact"/>
        <w:rPr>
          <w:rFonts w:ascii="Arial" w:cs="Arial" w:eastAsia="Arial" w:hAnsi="Arial"/>
          <w:sz w:val="19"/>
          <w:szCs w:val="19"/>
          <w:color w:val="auto"/>
        </w:rPr>
      </w:pPr>
    </w:p>
    <w:p>
      <w:pPr>
        <w:jc w:val="both"/>
        <w:ind w:firstLine="8"/>
        <w:spacing w:after="0"/>
        <w:tabs>
          <w:tab w:leader="none" w:pos="370" w:val="left"/>
        </w:tabs>
        <w:numPr>
          <w:ilvl w:val="0"/>
          <w:numId w:val="9"/>
        </w:numPr>
        <w:rPr>
          <w:rFonts w:ascii="Arial" w:cs="Arial" w:eastAsia="Arial" w:hAnsi="Arial"/>
          <w:sz w:val="20"/>
          <w:szCs w:val="20"/>
          <w:color w:val="auto"/>
        </w:rPr>
      </w:pPr>
      <w:r>
        <w:rPr>
          <w:rFonts w:ascii="Arial" w:cs="Arial" w:eastAsia="Arial" w:hAnsi="Arial"/>
          <w:sz w:val="20"/>
          <w:szCs w:val="20"/>
          <w:color w:val="auto"/>
        </w:rPr>
        <w:t>allocate the transaction price to the contract’s performance obligations; and (v) recognize revenue when (or as) the entity satisfies a performance obligation. ASU No. 2014-09 was to be effective for reporting periods beginning after December 15, 2016. However, on July 9, 2015, the FASB voted to approve a one-year deferral of the effective date. This new guidance is effective for the Company beginning January 1, 2018 and can be adopted using either a full retrospective or modified approach. The Company is currently evaluating the impact of ASU No. 2014-09 on its financial position, results of operations and liquidity.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INVESTMENTS</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The following table summarizes the Company’s investments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5"/>
                <w:szCs w:val="15"/>
                <w:color w:val="auto"/>
                <w:w w:val="94"/>
              </w:rPr>
              <w:t>Continuous</w:t>
            </w:r>
          </w:p>
        </w:tc>
        <w:tc>
          <w:tcPr>
            <w:tcW w:w="160" w:type="dxa"/>
            <w:vAlign w:val="bottom"/>
          </w:tcPr>
          <w:p>
            <w:pPr>
              <w:spacing w:after="0"/>
              <w:rPr>
                <w:sz w:val="16"/>
                <w:szCs w:val="16"/>
                <w:color w:val="auto"/>
              </w:rPr>
            </w:pPr>
          </w:p>
        </w:tc>
        <w:tc>
          <w:tcPr>
            <w:tcW w:w="980" w:type="dxa"/>
            <w:vAlign w:val="bottom"/>
          </w:tcPr>
          <w:p>
            <w:pPr>
              <w:jc w:val="center"/>
              <w:ind w:right="83"/>
              <w:spacing w:after="0"/>
              <w:rPr>
                <w:sz w:val="20"/>
                <w:szCs w:val="20"/>
                <w:color w:val="auto"/>
              </w:rPr>
            </w:pPr>
            <w:r>
              <w:rPr>
                <w:rFonts w:ascii="Arial" w:cs="Arial" w:eastAsia="Arial" w:hAnsi="Arial"/>
                <w:sz w:val="15"/>
                <w:szCs w:val="15"/>
                <w:color w:val="auto"/>
                <w:w w:val="92"/>
              </w:rPr>
              <w:t>Continuous</w:t>
            </w:r>
          </w:p>
        </w:tc>
      </w:tr>
      <w:tr>
        <w:trPr>
          <w:trHeight w:val="216"/>
        </w:trPr>
        <w:tc>
          <w:tcPr>
            <w:tcW w:w="3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5"/>
                <w:szCs w:val="15"/>
                <w:color w:val="auto"/>
                <w:w w:val="89"/>
              </w:rPr>
              <w:t>Gross</w:t>
            </w:r>
          </w:p>
        </w:tc>
        <w:tc>
          <w:tcPr>
            <w:tcW w:w="20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5"/>
                <w:szCs w:val="15"/>
                <w:color w:val="auto"/>
                <w:w w:val="89"/>
              </w:rPr>
              <w:t>Gross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5"/>
                <w:szCs w:val="15"/>
                <w:color w:val="auto"/>
                <w:w w:val="94"/>
              </w:rPr>
              <w:t>Unrealized</w:t>
            </w:r>
          </w:p>
        </w:tc>
        <w:tc>
          <w:tcPr>
            <w:tcW w:w="160" w:type="dxa"/>
            <w:vAlign w:val="bottom"/>
          </w:tcPr>
          <w:p>
            <w:pPr>
              <w:spacing w:after="0"/>
              <w:rPr>
                <w:sz w:val="18"/>
                <w:szCs w:val="18"/>
                <w:color w:val="auto"/>
              </w:rPr>
            </w:pPr>
          </w:p>
        </w:tc>
        <w:tc>
          <w:tcPr>
            <w:tcW w:w="980" w:type="dxa"/>
            <w:vAlign w:val="bottom"/>
          </w:tcPr>
          <w:p>
            <w:pPr>
              <w:jc w:val="center"/>
              <w:ind w:right="83"/>
              <w:spacing w:after="0"/>
              <w:rPr>
                <w:sz w:val="20"/>
                <w:szCs w:val="20"/>
                <w:color w:val="auto"/>
              </w:rPr>
            </w:pPr>
            <w:r>
              <w:rPr>
                <w:rFonts w:ascii="Arial" w:cs="Arial" w:eastAsia="Arial" w:hAnsi="Arial"/>
                <w:sz w:val="15"/>
                <w:szCs w:val="15"/>
                <w:color w:val="auto"/>
                <w:w w:val="91"/>
              </w:rPr>
              <w:t>Unrealized</w:t>
            </w:r>
          </w:p>
        </w:tc>
      </w:tr>
      <w:tr>
        <w:trPr>
          <w:trHeight w:val="216"/>
        </w:trPr>
        <w:tc>
          <w:tcPr>
            <w:tcW w:w="3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5"/>
                <w:szCs w:val="15"/>
                <w:color w:val="auto"/>
                <w:w w:val="94"/>
              </w:rPr>
              <w:t>Unrealized</w:t>
            </w:r>
          </w:p>
        </w:tc>
        <w:tc>
          <w:tcPr>
            <w:tcW w:w="2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5"/>
                <w:szCs w:val="15"/>
                <w:color w:val="auto"/>
                <w:w w:val="91"/>
              </w:rPr>
              <w:t>Unrealized</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5"/>
                <w:szCs w:val="15"/>
                <w:color w:val="auto"/>
                <w:w w:val="94"/>
              </w:rPr>
              <w:t>Loss Position</w:t>
            </w:r>
          </w:p>
        </w:tc>
        <w:tc>
          <w:tcPr>
            <w:tcW w:w="160" w:type="dxa"/>
            <w:vAlign w:val="bottom"/>
          </w:tcPr>
          <w:p>
            <w:pPr>
              <w:spacing w:after="0"/>
              <w:rPr>
                <w:sz w:val="18"/>
                <w:szCs w:val="18"/>
                <w:color w:val="auto"/>
              </w:rPr>
            </w:pPr>
          </w:p>
        </w:tc>
        <w:tc>
          <w:tcPr>
            <w:tcW w:w="980" w:type="dxa"/>
            <w:vAlign w:val="bottom"/>
          </w:tcPr>
          <w:p>
            <w:pPr>
              <w:jc w:val="center"/>
              <w:ind w:right="83"/>
              <w:spacing w:after="0"/>
              <w:rPr>
                <w:sz w:val="20"/>
                <w:szCs w:val="20"/>
                <w:color w:val="auto"/>
              </w:rPr>
            </w:pPr>
            <w:r>
              <w:rPr>
                <w:rFonts w:ascii="Arial" w:cs="Arial" w:eastAsia="Arial" w:hAnsi="Arial"/>
                <w:sz w:val="15"/>
                <w:szCs w:val="15"/>
                <w:color w:val="auto"/>
                <w:w w:val="91"/>
              </w:rPr>
              <w:t>Loss Position</w:t>
            </w:r>
          </w:p>
        </w:tc>
      </w:tr>
      <w:tr>
        <w:trPr>
          <w:trHeight w:val="216"/>
        </w:trPr>
        <w:tc>
          <w:tcPr>
            <w:tcW w:w="3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5"/>
                <w:szCs w:val="15"/>
                <w:color w:val="auto"/>
                <w:w w:val="98"/>
              </w:rPr>
              <w:t>Holding</w:t>
            </w:r>
          </w:p>
        </w:tc>
        <w:tc>
          <w:tcPr>
            <w:tcW w:w="2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5"/>
                <w:szCs w:val="15"/>
                <w:color w:val="auto"/>
                <w:w w:val="98"/>
              </w:rPr>
              <w:t>Holding</w:t>
            </w:r>
          </w:p>
        </w:tc>
        <w:tc>
          <w:tcPr>
            <w:tcW w:w="260" w:type="dxa"/>
            <w:vAlign w:val="bottom"/>
          </w:tcPr>
          <w:p>
            <w:pPr>
              <w:spacing w:after="0"/>
              <w:rPr>
                <w:sz w:val="18"/>
                <w:szCs w:val="18"/>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5"/>
                <w:szCs w:val="15"/>
                <w:color w:val="auto"/>
                <w:w w:val="92"/>
              </w:rPr>
              <w:t>Fair</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5"/>
                <w:szCs w:val="15"/>
                <w:color w:val="auto"/>
                <w:w w:val="88"/>
              </w:rPr>
              <w:t>less than 12</w:t>
            </w:r>
          </w:p>
        </w:tc>
        <w:tc>
          <w:tcPr>
            <w:tcW w:w="1140" w:type="dxa"/>
            <w:vAlign w:val="bottom"/>
            <w:gridSpan w:val="2"/>
          </w:tcPr>
          <w:p>
            <w:pPr>
              <w:jc w:val="center"/>
              <w:spacing w:after="0"/>
              <w:rPr>
                <w:sz w:val="20"/>
                <w:szCs w:val="20"/>
                <w:color w:val="auto"/>
              </w:rPr>
            </w:pPr>
            <w:r>
              <w:rPr>
                <w:rFonts w:ascii="Arial" w:cs="Arial" w:eastAsia="Arial" w:hAnsi="Arial"/>
                <w:sz w:val="15"/>
                <w:szCs w:val="15"/>
                <w:color w:val="auto"/>
                <w:w w:val="90"/>
              </w:rPr>
              <w:t>greater than 12</w:t>
            </w:r>
          </w:p>
        </w:tc>
      </w:tr>
      <w:tr>
        <w:trPr>
          <w:trHeight w:val="231"/>
        </w:trPr>
        <w:tc>
          <w:tcPr>
            <w:tcW w:w="33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June 30, 2016</w:t>
            </w:r>
          </w:p>
        </w:tc>
        <w:tc>
          <w:tcPr>
            <w:tcW w:w="1480" w:type="dxa"/>
            <w:vAlign w:val="bottom"/>
            <w:tcBorders>
              <w:bottom w:val="single" w:sz="8" w:color="auto"/>
            </w:tcBorders>
            <w:gridSpan w:val="3"/>
          </w:tcPr>
          <w:p>
            <w:pPr>
              <w:ind w:left="140"/>
              <w:spacing w:after="0"/>
              <w:rPr>
                <w:sz w:val="20"/>
                <w:szCs w:val="20"/>
                <w:color w:val="auto"/>
              </w:rPr>
            </w:pPr>
            <w:r>
              <w:rPr>
                <w:rFonts w:ascii="Arial" w:cs="Arial" w:eastAsia="Arial" w:hAnsi="Arial"/>
                <w:sz w:val="15"/>
                <w:szCs w:val="15"/>
                <w:color w:val="auto"/>
              </w:rPr>
              <w:t>Amortized Cost</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5"/>
                <w:szCs w:val="15"/>
                <w:color w:val="auto"/>
                <w:w w:val="91"/>
              </w:rPr>
              <w:t>Gains</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5"/>
                <w:szCs w:val="15"/>
                <w:color w:val="auto"/>
                <w:w w:val="88"/>
              </w:rPr>
              <w:t>Losses</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5"/>
                <w:szCs w:val="15"/>
                <w:color w:val="auto"/>
                <w:w w:val="93"/>
              </w:rPr>
              <w:t>Value</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5"/>
                <w:szCs w:val="15"/>
                <w:color w:val="auto"/>
                <w:w w:val="97"/>
              </w:rPr>
              <w:t>Months</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83"/>
              <w:spacing w:after="0"/>
              <w:rPr>
                <w:sz w:val="20"/>
                <w:szCs w:val="20"/>
                <w:color w:val="auto"/>
              </w:rPr>
            </w:pPr>
            <w:r>
              <w:rPr>
                <w:rFonts w:ascii="Arial" w:cs="Arial" w:eastAsia="Arial" w:hAnsi="Arial"/>
                <w:sz w:val="15"/>
                <w:szCs w:val="15"/>
                <w:color w:val="auto"/>
                <w:w w:val="93"/>
              </w:rPr>
              <w:t>Months</w:t>
            </w:r>
          </w:p>
        </w:tc>
      </w:tr>
      <w:tr>
        <w:trPr>
          <w:trHeight w:val="208"/>
        </w:trPr>
        <w:tc>
          <w:tcPr>
            <w:tcW w:w="3340" w:type="dxa"/>
            <w:vAlign w:val="bottom"/>
          </w:tcPr>
          <w:p>
            <w:pPr>
              <w:spacing w:after="0"/>
              <w:rPr>
                <w:sz w:val="20"/>
                <w:szCs w:val="20"/>
                <w:color w:val="auto"/>
              </w:rPr>
            </w:pPr>
            <w:r>
              <w:rPr>
                <w:rFonts w:ascii="Arial" w:cs="Arial" w:eastAsia="Arial" w:hAnsi="Arial"/>
                <w:sz w:val="15"/>
                <w:szCs w:val="15"/>
                <w:b w:val="1"/>
                <w:bCs w:val="1"/>
                <w:color w:val="auto"/>
              </w:rPr>
              <w:t>Held-to-Maturity</w:t>
            </w: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3"/>
        </w:trPr>
        <w:tc>
          <w:tcPr>
            <w:tcW w:w="3340" w:type="dxa"/>
            <w:vAlign w:val="bottom"/>
          </w:tcPr>
          <w:p>
            <w:pPr>
              <w:spacing w:after="0"/>
              <w:rPr>
                <w:sz w:val="20"/>
                <w:szCs w:val="20"/>
                <w:color w:val="auto"/>
              </w:rPr>
            </w:pPr>
            <w:r>
              <w:rPr>
                <w:rFonts w:ascii="Arial" w:cs="Arial" w:eastAsia="Arial" w:hAnsi="Arial"/>
                <w:sz w:val="15"/>
                <w:szCs w:val="15"/>
                <w:color w:val="auto"/>
              </w:rPr>
              <w:t>Short-term:</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1"/>
        </w:trPr>
        <w:tc>
          <w:tcPr>
            <w:tcW w:w="3340" w:type="dxa"/>
            <w:vAlign w:val="bottom"/>
          </w:tcPr>
          <w:p>
            <w:pPr>
              <w:ind w:left="200"/>
              <w:spacing w:after="0"/>
              <w:rPr>
                <w:sz w:val="20"/>
                <w:szCs w:val="20"/>
                <w:color w:val="auto"/>
              </w:rPr>
            </w:pPr>
            <w:r>
              <w:rPr>
                <w:rFonts w:ascii="Arial" w:cs="Arial" w:eastAsia="Arial" w:hAnsi="Arial"/>
                <w:sz w:val="15"/>
                <w:szCs w:val="15"/>
                <w:color w:val="auto"/>
              </w:rPr>
              <w:t>Commercial paper</w:t>
            </w:r>
          </w:p>
        </w:tc>
        <w:tc>
          <w:tcPr>
            <w:tcW w:w="42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2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w:t>
            </w:r>
          </w:p>
        </w:tc>
      </w:tr>
      <w:tr>
        <w:trPr>
          <w:trHeight w:val="203"/>
        </w:trPr>
        <w:tc>
          <w:tcPr>
            <w:tcW w:w="3340" w:type="dxa"/>
            <w:vAlign w:val="bottom"/>
          </w:tcPr>
          <w:p>
            <w:pPr>
              <w:ind w:left="200"/>
              <w:spacing w:after="0"/>
              <w:rPr>
                <w:sz w:val="20"/>
                <w:szCs w:val="20"/>
                <w:color w:val="auto"/>
              </w:rPr>
            </w:pPr>
            <w:r>
              <w:rPr>
                <w:rFonts w:ascii="Arial" w:cs="Arial" w:eastAsia="Arial" w:hAnsi="Arial"/>
                <w:sz w:val="15"/>
                <w:szCs w:val="15"/>
                <w:color w:val="auto"/>
              </w:rPr>
              <w:t>Municipal securities</w:t>
            </w:r>
          </w:p>
        </w:tc>
        <w:tc>
          <w:tcPr>
            <w:tcW w:w="42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44,319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44,317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w:t>
            </w:r>
          </w:p>
        </w:tc>
      </w:tr>
      <w:tr>
        <w:trPr>
          <w:trHeight w:val="203"/>
        </w:trPr>
        <w:tc>
          <w:tcPr>
            <w:tcW w:w="3340" w:type="dxa"/>
            <w:vAlign w:val="bottom"/>
          </w:tcPr>
          <w:p>
            <w:pPr>
              <w:ind w:left="200"/>
              <w:spacing w:after="0"/>
              <w:rPr>
                <w:sz w:val="20"/>
                <w:szCs w:val="20"/>
                <w:color w:val="auto"/>
              </w:rPr>
            </w:pPr>
            <w:r>
              <w:rPr>
                <w:rFonts w:ascii="Arial" w:cs="Arial" w:eastAsia="Arial" w:hAnsi="Arial"/>
                <w:sz w:val="15"/>
                <w:szCs w:val="15"/>
                <w:color w:val="auto"/>
              </w:rPr>
              <w:t>U.S. government agency securities</w:t>
            </w:r>
          </w:p>
        </w:tc>
        <w:tc>
          <w:tcPr>
            <w:tcW w:w="42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w:t>
            </w:r>
          </w:p>
        </w:tc>
      </w:tr>
      <w:tr>
        <w:trPr>
          <w:trHeight w:val="203"/>
        </w:trPr>
        <w:tc>
          <w:tcPr>
            <w:tcW w:w="3340" w:type="dxa"/>
            <w:vAlign w:val="bottom"/>
          </w:tcPr>
          <w:p>
            <w:pPr>
              <w:ind w:left="200"/>
              <w:spacing w:after="0"/>
              <w:rPr>
                <w:sz w:val="20"/>
                <w:szCs w:val="20"/>
                <w:color w:val="auto"/>
              </w:rPr>
            </w:pPr>
            <w:r>
              <w:rPr>
                <w:rFonts w:ascii="Arial" w:cs="Arial" w:eastAsia="Arial" w:hAnsi="Arial"/>
                <w:sz w:val="15"/>
                <w:szCs w:val="15"/>
                <w:color w:val="auto"/>
              </w:rPr>
              <w:t>U.S. Treasuries</w:t>
            </w:r>
          </w:p>
        </w:tc>
        <w:tc>
          <w:tcPr>
            <w:tcW w:w="42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w:t>
            </w:r>
          </w:p>
        </w:tc>
      </w:tr>
      <w:tr>
        <w:trPr>
          <w:trHeight w:val="194"/>
        </w:trPr>
        <w:tc>
          <w:tcPr>
            <w:tcW w:w="3340" w:type="dxa"/>
            <w:vAlign w:val="bottom"/>
          </w:tcPr>
          <w:p>
            <w:pPr>
              <w:spacing w:after="0"/>
              <w:rPr>
                <w:sz w:val="20"/>
                <w:szCs w:val="20"/>
                <w:color w:val="auto"/>
              </w:rPr>
            </w:pPr>
            <w:r>
              <w:rPr>
                <w:rFonts w:ascii="Arial" w:cs="Arial" w:eastAsia="Arial" w:hAnsi="Arial"/>
                <w:sz w:val="15"/>
                <w:szCs w:val="15"/>
                <w:color w:val="auto"/>
              </w:rPr>
              <w:t>Long-term:</w:t>
            </w: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1"/>
        </w:trPr>
        <w:tc>
          <w:tcPr>
            <w:tcW w:w="3340" w:type="dxa"/>
            <w:vAlign w:val="bottom"/>
          </w:tcPr>
          <w:p>
            <w:pPr>
              <w:ind w:left="200"/>
              <w:spacing w:after="0"/>
              <w:rPr>
                <w:sz w:val="20"/>
                <w:szCs w:val="20"/>
                <w:color w:val="auto"/>
              </w:rPr>
            </w:pPr>
            <w:r>
              <w:rPr>
                <w:rFonts w:ascii="Arial" w:cs="Arial" w:eastAsia="Arial" w:hAnsi="Arial"/>
                <w:sz w:val="15"/>
                <w:szCs w:val="15"/>
                <w:color w:val="auto"/>
              </w:rPr>
              <w:t>Municipal securities</w:t>
            </w: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r>
      <w:tr>
        <w:trPr>
          <w:trHeight w:val="162"/>
        </w:trPr>
        <w:tc>
          <w:tcPr>
            <w:tcW w:w="3340" w:type="dxa"/>
            <w:vAlign w:val="bottom"/>
          </w:tcPr>
          <w:p>
            <w:pPr>
              <w:ind w:left="540"/>
              <w:spacing w:after="0" w:line="162" w:lineRule="exact"/>
              <w:rPr>
                <w:sz w:val="20"/>
                <w:szCs w:val="20"/>
                <w:color w:val="auto"/>
              </w:rPr>
            </w:pPr>
            <w:r>
              <w:rPr>
                <w:rFonts w:ascii="Arial" w:cs="Arial" w:eastAsia="Arial" w:hAnsi="Arial"/>
                <w:sz w:val="15"/>
                <w:szCs w:val="15"/>
                <w:color w:val="auto"/>
              </w:rPr>
              <w:t>Total</w:t>
            </w:r>
          </w:p>
        </w:tc>
        <w:tc>
          <w:tcPr>
            <w:tcW w:w="420" w:type="dxa"/>
            <w:vAlign w:val="bottom"/>
            <w:tcBorders>
              <w:bottom w:val="single" w:sz="8" w:color="auto"/>
            </w:tcBorders>
          </w:tcPr>
          <w:p>
            <w:pPr>
              <w:jc w:val="right"/>
              <w:ind w:right="203"/>
              <w:spacing w:after="0" w:line="162"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44,319</w:t>
            </w:r>
          </w:p>
        </w:tc>
        <w:tc>
          <w:tcPr>
            <w:tcW w:w="22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5</w:t>
            </w:r>
          </w:p>
        </w:tc>
        <w:tc>
          <w:tcPr>
            <w:tcW w:w="22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7</w:t>
            </w:r>
          </w:p>
        </w:tc>
        <w:tc>
          <w:tcPr>
            <w:tcW w:w="240" w:type="dxa"/>
            <w:vAlign w:val="bottom"/>
          </w:tcPr>
          <w:p>
            <w:pPr>
              <w:spacing w:after="0"/>
              <w:rPr>
                <w:sz w:val="14"/>
                <w:szCs w:val="14"/>
                <w:color w:val="auto"/>
              </w:rPr>
            </w:pPr>
          </w:p>
        </w:tc>
        <w:tc>
          <w:tcPr>
            <w:tcW w:w="260" w:type="dxa"/>
            <w:vAlign w:val="bottom"/>
            <w:tcBorders>
              <w:bottom w:val="single" w:sz="8" w:color="auto"/>
            </w:tcBorders>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44,317</w:t>
            </w:r>
          </w:p>
        </w:tc>
        <w:tc>
          <w:tcPr>
            <w:tcW w:w="220" w:type="dxa"/>
            <w:vAlign w:val="bottom"/>
          </w:tcPr>
          <w:p>
            <w:pPr>
              <w:spacing w:after="0"/>
              <w:rPr>
                <w:sz w:val="14"/>
                <w:szCs w:val="14"/>
                <w:color w:val="auto"/>
              </w:rPr>
            </w:pPr>
          </w:p>
        </w:tc>
        <w:tc>
          <w:tcPr>
            <w:tcW w:w="1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7</w:t>
            </w:r>
          </w:p>
        </w:tc>
        <w:tc>
          <w:tcPr>
            <w:tcW w:w="220" w:type="dxa"/>
            <w:vAlign w:val="bottom"/>
          </w:tcPr>
          <w:p>
            <w:pPr>
              <w:spacing w:after="0"/>
              <w:rPr>
                <w:sz w:val="14"/>
                <w:szCs w:val="14"/>
                <w:color w:val="auto"/>
              </w:rPr>
            </w:pPr>
          </w:p>
        </w:tc>
        <w:tc>
          <w:tcPr>
            <w:tcW w:w="1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w:t>
            </w:r>
          </w:p>
        </w:tc>
      </w:tr>
      <w:tr>
        <w:trPr>
          <w:trHeight w:val="20"/>
        </w:trPr>
        <w:tc>
          <w:tcPr>
            <w:tcW w:w="3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32"/>
        </w:trPr>
        <w:tc>
          <w:tcPr>
            <w:tcW w:w="3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5"/>
                <w:szCs w:val="15"/>
                <w:color w:val="auto"/>
                <w:w w:val="94"/>
              </w:rPr>
              <w:t>Continuous</w:t>
            </w:r>
          </w:p>
        </w:tc>
        <w:tc>
          <w:tcPr>
            <w:tcW w:w="160" w:type="dxa"/>
            <w:vAlign w:val="bottom"/>
          </w:tcPr>
          <w:p>
            <w:pPr>
              <w:spacing w:after="0"/>
              <w:rPr>
                <w:sz w:val="24"/>
                <w:szCs w:val="24"/>
                <w:color w:val="auto"/>
              </w:rPr>
            </w:pPr>
          </w:p>
        </w:tc>
        <w:tc>
          <w:tcPr>
            <w:tcW w:w="980" w:type="dxa"/>
            <w:vAlign w:val="bottom"/>
          </w:tcPr>
          <w:p>
            <w:pPr>
              <w:jc w:val="center"/>
              <w:ind w:right="83"/>
              <w:spacing w:after="0"/>
              <w:rPr>
                <w:sz w:val="20"/>
                <w:szCs w:val="20"/>
                <w:color w:val="auto"/>
              </w:rPr>
            </w:pPr>
            <w:r>
              <w:rPr>
                <w:rFonts w:ascii="Arial" w:cs="Arial" w:eastAsia="Arial" w:hAnsi="Arial"/>
                <w:sz w:val="15"/>
                <w:szCs w:val="15"/>
                <w:color w:val="auto"/>
                <w:w w:val="92"/>
              </w:rPr>
              <w:t>Continuous</w:t>
            </w:r>
          </w:p>
        </w:tc>
      </w:tr>
      <w:tr>
        <w:trPr>
          <w:trHeight w:val="216"/>
        </w:trPr>
        <w:tc>
          <w:tcPr>
            <w:tcW w:w="3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5"/>
                <w:szCs w:val="15"/>
                <w:color w:val="auto"/>
                <w:w w:val="89"/>
              </w:rPr>
              <w:t>Gross</w:t>
            </w:r>
          </w:p>
        </w:tc>
        <w:tc>
          <w:tcPr>
            <w:tcW w:w="20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5"/>
                <w:szCs w:val="15"/>
                <w:color w:val="auto"/>
                <w:w w:val="89"/>
              </w:rPr>
              <w:t>Gross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5"/>
                <w:szCs w:val="15"/>
                <w:color w:val="auto"/>
                <w:w w:val="94"/>
              </w:rPr>
              <w:t>Unrealized</w:t>
            </w:r>
          </w:p>
        </w:tc>
        <w:tc>
          <w:tcPr>
            <w:tcW w:w="160" w:type="dxa"/>
            <w:vAlign w:val="bottom"/>
          </w:tcPr>
          <w:p>
            <w:pPr>
              <w:spacing w:after="0"/>
              <w:rPr>
                <w:sz w:val="18"/>
                <w:szCs w:val="18"/>
                <w:color w:val="auto"/>
              </w:rPr>
            </w:pPr>
          </w:p>
        </w:tc>
        <w:tc>
          <w:tcPr>
            <w:tcW w:w="980" w:type="dxa"/>
            <w:vAlign w:val="bottom"/>
          </w:tcPr>
          <w:p>
            <w:pPr>
              <w:jc w:val="center"/>
              <w:ind w:right="83"/>
              <w:spacing w:after="0"/>
              <w:rPr>
                <w:sz w:val="20"/>
                <w:szCs w:val="20"/>
                <w:color w:val="auto"/>
              </w:rPr>
            </w:pPr>
            <w:r>
              <w:rPr>
                <w:rFonts w:ascii="Arial" w:cs="Arial" w:eastAsia="Arial" w:hAnsi="Arial"/>
                <w:sz w:val="15"/>
                <w:szCs w:val="15"/>
                <w:color w:val="auto"/>
                <w:w w:val="91"/>
              </w:rPr>
              <w:t>Unrealized</w:t>
            </w:r>
          </w:p>
        </w:tc>
      </w:tr>
      <w:tr>
        <w:trPr>
          <w:trHeight w:val="216"/>
        </w:trPr>
        <w:tc>
          <w:tcPr>
            <w:tcW w:w="3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5"/>
                <w:szCs w:val="15"/>
                <w:color w:val="auto"/>
                <w:w w:val="94"/>
              </w:rPr>
              <w:t>Unrealized</w:t>
            </w:r>
          </w:p>
        </w:tc>
        <w:tc>
          <w:tcPr>
            <w:tcW w:w="2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5"/>
                <w:szCs w:val="15"/>
                <w:color w:val="auto"/>
                <w:w w:val="91"/>
              </w:rPr>
              <w:t>Unrealized</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5"/>
                <w:szCs w:val="15"/>
                <w:color w:val="auto"/>
                <w:w w:val="94"/>
              </w:rPr>
              <w:t>Loss Position</w:t>
            </w:r>
          </w:p>
        </w:tc>
        <w:tc>
          <w:tcPr>
            <w:tcW w:w="160" w:type="dxa"/>
            <w:vAlign w:val="bottom"/>
          </w:tcPr>
          <w:p>
            <w:pPr>
              <w:spacing w:after="0"/>
              <w:rPr>
                <w:sz w:val="18"/>
                <w:szCs w:val="18"/>
                <w:color w:val="auto"/>
              </w:rPr>
            </w:pPr>
          </w:p>
        </w:tc>
        <w:tc>
          <w:tcPr>
            <w:tcW w:w="980" w:type="dxa"/>
            <w:vAlign w:val="bottom"/>
          </w:tcPr>
          <w:p>
            <w:pPr>
              <w:jc w:val="center"/>
              <w:ind w:right="83"/>
              <w:spacing w:after="0"/>
              <w:rPr>
                <w:sz w:val="20"/>
                <w:szCs w:val="20"/>
                <w:color w:val="auto"/>
              </w:rPr>
            </w:pPr>
            <w:r>
              <w:rPr>
                <w:rFonts w:ascii="Arial" w:cs="Arial" w:eastAsia="Arial" w:hAnsi="Arial"/>
                <w:sz w:val="15"/>
                <w:szCs w:val="15"/>
                <w:color w:val="auto"/>
                <w:w w:val="91"/>
              </w:rPr>
              <w:t>Loss Position</w:t>
            </w:r>
          </w:p>
        </w:tc>
      </w:tr>
      <w:tr>
        <w:trPr>
          <w:trHeight w:val="216"/>
        </w:trPr>
        <w:tc>
          <w:tcPr>
            <w:tcW w:w="3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5"/>
                <w:szCs w:val="15"/>
                <w:color w:val="auto"/>
                <w:w w:val="98"/>
              </w:rPr>
              <w:t>Holding</w:t>
            </w:r>
          </w:p>
        </w:tc>
        <w:tc>
          <w:tcPr>
            <w:tcW w:w="2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5"/>
                <w:szCs w:val="15"/>
                <w:color w:val="auto"/>
                <w:w w:val="98"/>
              </w:rPr>
              <w:t>Holding</w:t>
            </w:r>
          </w:p>
        </w:tc>
        <w:tc>
          <w:tcPr>
            <w:tcW w:w="260" w:type="dxa"/>
            <w:vAlign w:val="bottom"/>
          </w:tcPr>
          <w:p>
            <w:pPr>
              <w:spacing w:after="0"/>
              <w:rPr>
                <w:sz w:val="18"/>
                <w:szCs w:val="18"/>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5"/>
                <w:szCs w:val="15"/>
                <w:color w:val="auto"/>
                <w:w w:val="92"/>
              </w:rPr>
              <w:t>Fair</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5"/>
                <w:szCs w:val="15"/>
                <w:color w:val="auto"/>
                <w:w w:val="88"/>
              </w:rPr>
              <w:t>less than 12</w:t>
            </w:r>
          </w:p>
        </w:tc>
        <w:tc>
          <w:tcPr>
            <w:tcW w:w="1140" w:type="dxa"/>
            <w:vAlign w:val="bottom"/>
            <w:gridSpan w:val="2"/>
          </w:tcPr>
          <w:p>
            <w:pPr>
              <w:jc w:val="center"/>
              <w:spacing w:after="0"/>
              <w:rPr>
                <w:sz w:val="20"/>
                <w:szCs w:val="20"/>
                <w:color w:val="auto"/>
              </w:rPr>
            </w:pPr>
            <w:r>
              <w:rPr>
                <w:rFonts w:ascii="Arial" w:cs="Arial" w:eastAsia="Arial" w:hAnsi="Arial"/>
                <w:sz w:val="15"/>
                <w:szCs w:val="15"/>
                <w:color w:val="auto"/>
                <w:w w:val="90"/>
              </w:rPr>
              <w:t>greater than 12</w:t>
            </w:r>
          </w:p>
        </w:tc>
      </w:tr>
      <w:tr>
        <w:trPr>
          <w:trHeight w:val="231"/>
        </w:trPr>
        <w:tc>
          <w:tcPr>
            <w:tcW w:w="33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December 31, 2015</w:t>
            </w:r>
          </w:p>
        </w:tc>
        <w:tc>
          <w:tcPr>
            <w:tcW w:w="1480" w:type="dxa"/>
            <w:vAlign w:val="bottom"/>
            <w:tcBorders>
              <w:bottom w:val="single" w:sz="8" w:color="auto"/>
            </w:tcBorders>
            <w:gridSpan w:val="3"/>
          </w:tcPr>
          <w:p>
            <w:pPr>
              <w:ind w:left="140"/>
              <w:spacing w:after="0"/>
              <w:rPr>
                <w:sz w:val="20"/>
                <w:szCs w:val="20"/>
                <w:color w:val="auto"/>
              </w:rPr>
            </w:pPr>
            <w:r>
              <w:rPr>
                <w:rFonts w:ascii="Arial" w:cs="Arial" w:eastAsia="Arial" w:hAnsi="Arial"/>
                <w:sz w:val="15"/>
                <w:szCs w:val="15"/>
                <w:color w:val="auto"/>
              </w:rPr>
              <w:t>Amortized Cost</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5"/>
                <w:szCs w:val="15"/>
                <w:color w:val="auto"/>
                <w:w w:val="91"/>
              </w:rPr>
              <w:t>Gains</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5"/>
                <w:szCs w:val="15"/>
                <w:color w:val="auto"/>
                <w:w w:val="88"/>
              </w:rPr>
              <w:t>Losses</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5"/>
                <w:szCs w:val="15"/>
                <w:color w:val="auto"/>
                <w:w w:val="93"/>
              </w:rPr>
              <w:t>Value</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5"/>
                <w:szCs w:val="15"/>
                <w:color w:val="auto"/>
                <w:w w:val="97"/>
              </w:rPr>
              <w:t>Months</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83"/>
              <w:spacing w:after="0"/>
              <w:rPr>
                <w:sz w:val="20"/>
                <w:szCs w:val="20"/>
                <w:color w:val="auto"/>
              </w:rPr>
            </w:pPr>
            <w:r>
              <w:rPr>
                <w:rFonts w:ascii="Arial" w:cs="Arial" w:eastAsia="Arial" w:hAnsi="Arial"/>
                <w:sz w:val="15"/>
                <w:szCs w:val="15"/>
                <w:color w:val="auto"/>
                <w:w w:val="93"/>
              </w:rPr>
              <w:t>Months</w:t>
            </w:r>
          </w:p>
        </w:tc>
      </w:tr>
      <w:tr>
        <w:trPr>
          <w:trHeight w:val="208"/>
        </w:trPr>
        <w:tc>
          <w:tcPr>
            <w:tcW w:w="3340" w:type="dxa"/>
            <w:vAlign w:val="bottom"/>
          </w:tcPr>
          <w:p>
            <w:pPr>
              <w:spacing w:after="0"/>
              <w:rPr>
                <w:sz w:val="20"/>
                <w:szCs w:val="20"/>
                <w:color w:val="auto"/>
              </w:rPr>
            </w:pPr>
            <w:r>
              <w:rPr>
                <w:rFonts w:ascii="Arial" w:cs="Arial" w:eastAsia="Arial" w:hAnsi="Arial"/>
                <w:sz w:val="15"/>
                <w:szCs w:val="15"/>
                <w:b w:val="1"/>
                <w:bCs w:val="1"/>
                <w:color w:val="auto"/>
              </w:rPr>
              <w:t>Held-to-Maturity</w:t>
            </w: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3"/>
        </w:trPr>
        <w:tc>
          <w:tcPr>
            <w:tcW w:w="3340" w:type="dxa"/>
            <w:vAlign w:val="bottom"/>
          </w:tcPr>
          <w:p>
            <w:pPr>
              <w:spacing w:after="0"/>
              <w:rPr>
                <w:sz w:val="20"/>
                <w:szCs w:val="20"/>
                <w:color w:val="auto"/>
              </w:rPr>
            </w:pPr>
            <w:r>
              <w:rPr>
                <w:rFonts w:ascii="Arial" w:cs="Arial" w:eastAsia="Arial" w:hAnsi="Arial"/>
                <w:sz w:val="15"/>
                <w:szCs w:val="15"/>
                <w:color w:val="auto"/>
              </w:rPr>
              <w:t>Short-term:</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1"/>
        </w:trPr>
        <w:tc>
          <w:tcPr>
            <w:tcW w:w="3340" w:type="dxa"/>
            <w:vAlign w:val="bottom"/>
          </w:tcPr>
          <w:p>
            <w:pPr>
              <w:ind w:left="200"/>
              <w:spacing w:after="0"/>
              <w:rPr>
                <w:sz w:val="20"/>
                <w:szCs w:val="20"/>
                <w:color w:val="auto"/>
              </w:rPr>
            </w:pPr>
            <w:r>
              <w:rPr>
                <w:rFonts w:ascii="Arial" w:cs="Arial" w:eastAsia="Arial" w:hAnsi="Arial"/>
                <w:sz w:val="15"/>
                <w:szCs w:val="15"/>
                <w:color w:val="auto"/>
              </w:rPr>
              <w:t>Commercial paper</w:t>
            </w:r>
          </w:p>
        </w:tc>
        <w:tc>
          <w:tcPr>
            <w:tcW w:w="42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3,978</w:t>
            </w:r>
          </w:p>
        </w:tc>
        <w:tc>
          <w:tcPr>
            <w:tcW w:w="2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2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3,978</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w:t>
            </w:r>
          </w:p>
        </w:tc>
      </w:tr>
      <w:tr>
        <w:trPr>
          <w:trHeight w:val="203"/>
        </w:trPr>
        <w:tc>
          <w:tcPr>
            <w:tcW w:w="3340" w:type="dxa"/>
            <w:vAlign w:val="bottom"/>
          </w:tcPr>
          <w:p>
            <w:pPr>
              <w:ind w:left="200"/>
              <w:spacing w:after="0"/>
              <w:rPr>
                <w:sz w:val="20"/>
                <w:szCs w:val="20"/>
                <w:color w:val="auto"/>
              </w:rPr>
            </w:pPr>
            <w:r>
              <w:rPr>
                <w:rFonts w:ascii="Arial" w:cs="Arial" w:eastAsia="Arial" w:hAnsi="Arial"/>
                <w:sz w:val="15"/>
                <w:szCs w:val="15"/>
                <w:color w:val="auto"/>
              </w:rPr>
              <w:t>Municipal securities</w:t>
            </w:r>
          </w:p>
        </w:tc>
        <w:tc>
          <w:tcPr>
            <w:tcW w:w="42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709,207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63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192</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709,078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192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w:t>
            </w:r>
          </w:p>
        </w:tc>
      </w:tr>
      <w:tr>
        <w:trPr>
          <w:trHeight w:val="203"/>
        </w:trPr>
        <w:tc>
          <w:tcPr>
            <w:tcW w:w="3340" w:type="dxa"/>
            <w:vAlign w:val="bottom"/>
          </w:tcPr>
          <w:p>
            <w:pPr>
              <w:ind w:left="200"/>
              <w:spacing w:after="0"/>
              <w:rPr>
                <w:sz w:val="20"/>
                <w:szCs w:val="20"/>
                <w:color w:val="auto"/>
              </w:rPr>
            </w:pPr>
            <w:r>
              <w:rPr>
                <w:rFonts w:ascii="Arial" w:cs="Arial" w:eastAsia="Arial" w:hAnsi="Arial"/>
                <w:sz w:val="15"/>
                <w:szCs w:val="15"/>
                <w:color w:val="auto"/>
              </w:rPr>
              <w:t>U.S. government agency securities</w:t>
            </w:r>
          </w:p>
        </w:tc>
        <w:tc>
          <w:tcPr>
            <w:tcW w:w="42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23,369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58</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23,311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w:t>
            </w:r>
          </w:p>
        </w:tc>
      </w:tr>
      <w:tr>
        <w:trPr>
          <w:trHeight w:val="208"/>
        </w:trPr>
        <w:tc>
          <w:tcPr>
            <w:tcW w:w="3340" w:type="dxa"/>
            <w:vAlign w:val="bottom"/>
          </w:tcPr>
          <w:p>
            <w:pPr>
              <w:ind w:left="200"/>
              <w:spacing w:after="0"/>
              <w:rPr>
                <w:sz w:val="20"/>
                <w:szCs w:val="20"/>
                <w:color w:val="auto"/>
              </w:rPr>
            </w:pPr>
            <w:r>
              <w:rPr>
                <w:rFonts w:ascii="Arial" w:cs="Arial" w:eastAsia="Arial" w:hAnsi="Arial"/>
                <w:sz w:val="15"/>
                <w:szCs w:val="15"/>
                <w:color w:val="auto"/>
              </w:rPr>
              <w:t>U.S. Treasuries</w:t>
            </w:r>
          </w:p>
        </w:tc>
        <w:tc>
          <w:tcPr>
            <w:tcW w:w="42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8,056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8,043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w:t>
            </w:r>
          </w:p>
        </w:tc>
      </w:tr>
    </w:tbl>
    <w:p>
      <w:pPr>
        <w:sectPr>
          <w:pgSz w:w="11900" w:h="16838" w:orient="portrait"/>
          <w:cols w:equalWidth="0" w:num="1">
            <w:col w:w="11420"/>
          </w:cols>
          <w:pgMar w:left="240" w:top="121" w:right="239" w:bottom="0" w:gutter="0" w:footer="0" w:header="0"/>
        </w:sectPr>
      </w:pPr>
    </w:p>
    <w:bookmarkStart w:id="9" w:name="page10"/>
    <w:bookmarkEnd w:id="9"/>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tcPr>
          <w:p>
            <w:pPr>
              <w:spacing w:after="0"/>
              <w:rPr>
                <w:sz w:val="20"/>
                <w:szCs w:val="20"/>
                <w:color w:val="auto"/>
              </w:rPr>
            </w:pPr>
            <w:r>
              <w:rPr>
                <w:rFonts w:ascii="Arial" w:cs="Arial" w:eastAsia="Arial" w:hAnsi="Arial"/>
                <w:sz w:val="15"/>
                <w:szCs w:val="15"/>
                <w:color w:val="auto"/>
              </w:rPr>
              <w:t>Long-term:</w:t>
            </w: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03"/>
        </w:trPr>
        <w:tc>
          <w:tcPr>
            <w:tcW w:w="3340" w:type="dxa"/>
            <w:vAlign w:val="bottom"/>
          </w:tcPr>
          <w:p>
            <w:pPr>
              <w:ind w:left="200"/>
              <w:spacing w:after="0"/>
              <w:rPr>
                <w:sz w:val="20"/>
                <w:szCs w:val="20"/>
                <w:color w:val="auto"/>
              </w:rPr>
            </w:pPr>
            <w:r>
              <w:rPr>
                <w:rFonts w:ascii="Arial" w:cs="Arial" w:eastAsia="Arial" w:hAnsi="Arial"/>
                <w:sz w:val="15"/>
                <w:szCs w:val="15"/>
                <w:color w:val="auto"/>
              </w:rPr>
              <w:t>Municipal securities</w:t>
            </w:r>
          </w:p>
        </w:tc>
        <w:tc>
          <w:tcPr>
            <w:tcW w:w="42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11,071</w:t>
            </w: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8</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11,063</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8</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jc w:val="right"/>
              <w:ind w:right="3"/>
              <w:spacing w:after="0"/>
              <w:rPr>
                <w:sz w:val="20"/>
                <w:szCs w:val="20"/>
                <w:color w:val="auto"/>
              </w:rPr>
            </w:pPr>
            <w:r>
              <w:rPr>
                <w:rFonts w:ascii="Arial" w:cs="Arial" w:eastAsia="Arial" w:hAnsi="Arial"/>
                <w:sz w:val="15"/>
                <w:szCs w:val="15"/>
                <w:color w:val="auto"/>
              </w:rPr>
              <w:t>-</w:t>
            </w:r>
          </w:p>
        </w:tc>
      </w:tr>
      <w:tr>
        <w:trPr>
          <w:trHeight w:val="182"/>
        </w:trPr>
        <w:tc>
          <w:tcPr>
            <w:tcW w:w="3340" w:type="dxa"/>
            <w:vAlign w:val="bottom"/>
          </w:tcPr>
          <w:p>
            <w:pPr>
              <w:ind w:left="200"/>
              <w:spacing w:after="0"/>
              <w:rPr>
                <w:sz w:val="20"/>
                <w:szCs w:val="20"/>
                <w:color w:val="auto"/>
              </w:rPr>
            </w:pPr>
            <w:r>
              <w:rPr>
                <w:rFonts w:ascii="Arial" w:cs="Arial" w:eastAsia="Arial" w:hAnsi="Arial"/>
                <w:sz w:val="15"/>
                <w:szCs w:val="15"/>
                <w:color w:val="auto"/>
              </w:rPr>
              <w:t>U.S. government agency securities</w:t>
            </w: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4,277</w:t>
            </w:r>
          </w:p>
        </w:tc>
        <w:tc>
          <w:tcPr>
            <w:tcW w:w="2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w:t>
            </w:r>
          </w:p>
        </w:tc>
        <w:tc>
          <w:tcPr>
            <w:tcW w:w="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4,252</w:t>
            </w:r>
          </w:p>
        </w:tc>
        <w:tc>
          <w:tcPr>
            <w:tcW w:w="2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w:t>
            </w:r>
          </w:p>
        </w:tc>
        <w:tc>
          <w:tcPr>
            <w:tcW w:w="2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r>
      <w:tr>
        <w:trPr>
          <w:trHeight w:val="162"/>
        </w:trPr>
        <w:tc>
          <w:tcPr>
            <w:tcW w:w="3340" w:type="dxa"/>
            <w:vAlign w:val="bottom"/>
          </w:tcPr>
          <w:p>
            <w:pPr>
              <w:ind w:left="540"/>
              <w:spacing w:after="0" w:line="162" w:lineRule="exact"/>
              <w:rPr>
                <w:sz w:val="20"/>
                <w:szCs w:val="20"/>
                <w:color w:val="auto"/>
              </w:rPr>
            </w:pPr>
            <w:r>
              <w:rPr>
                <w:rFonts w:ascii="Arial" w:cs="Arial" w:eastAsia="Arial" w:hAnsi="Arial"/>
                <w:sz w:val="15"/>
                <w:szCs w:val="15"/>
                <w:color w:val="auto"/>
              </w:rPr>
              <w:t>Total</w:t>
            </w:r>
          </w:p>
        </w:tc>
        <w:tc>
          <w:tcPr>
            <w:tcW w:w="420" w:type="dxa"/>
            <w:vAlign w:val="bottom"/>
            <w:tcBorders>
              <w:bottom w:val="single" w:sz="8" w:color="auto"/>
            </w:tcBorders>
          </w:tcPr>
          <w:p>
            <w:pPr>
              <w:jc w:val="right"/>
              <w:ind w:right="203"/>
              <w:spacing w:after="0" w:line="162"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759,958</w:t>
            </w:r>
          </w:p>
        </w:tc>
        <w:tc>
          <w:tcPr>
            <w:tcW w:w="220" w:type="dxa"/>
            <w:vAlign w:val="bottom"/>
          </w:tcPr>
          <w:p>
            <w:pPr>
              <w:spacing w:after="0"/>
              <w:rPr>
                <w:sz w:val="14"/>
                <w:szCs w:val="14"/>
                <w:color w:val="auto"/>
              </w:rPr>
            </w:pPr>
          </w:p>
        </w:tc>
        <w:tc>
          <w:tcPr>
            <w:tcW w:w="540" w:type="dxa"/>
            <w:vAlign w:val="bottom"/>
            <w:tcBorders>
              <w:bottom w:val="single" w:sz="8" w:color="auto"/>
            </w:tcBorders>
          </w:tcPr>
          <w:p>
            <w:pPr>
              <w:jc w:val="right"/>
              <w:ind w:right="303"/>
              <w:spacing w:after="0" w:line="162" w:lineRule="exact"/>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63</w:t>
            </w:r>
          </w:p>
        </w:tc>
        <w:tc>
          <w:tcPr>
            <w:tcW w:w="220" w:type="dxa"/>
            <w:vAlign w:val="bottom"/>
          </w:tcPr>
          <w:p>
            <w:pPr>
              <w:spacing w:after="0"/>
              <w:rPr>
                <w:sz w:val="14"/>
                <w:szCs w:val="14"/>
                <w:color w:val="auto"/>
              </w:rPr>
            </w:pPr>
          </w:p>
        </w:tc>
        <w:tc>
          <w:tcPr>
            <w:tcW w:w="520" w:type="dxa"/>
            <w:vAlign w:val="bottom"/>
            <w:tcBorders>
              <w:bottom w:val="single" w:sz="8" w:color="auto"/>
            </w:tcBorders>
          </w:tcPr>
          <w:p>
            <w:pPr>
              <w:jc w:val="right"/>
              <w:ind w:right="283"/>
              <w:spacing w:after="0" w:line="162" w:lineRule="exact"/>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296</w:t>
            </w:r>
          </w:p>
        </w:tc>
        <w:tc>
          <w:tcPr>
            <w:tcW w:w="240" w:type="dxa"/>
            <w:vAlign w:val="bottom"/>
          </w:tcPr>
          <w:p>
            <w:pPr>
              <w:spacing w:after="0"/>
              <w:rPr>
                <w:sz w:val="14"/>
                <w:szCs w:val="14"/>
                <w:color w:val="auto"/>
              </w:rPr>
            </w:pPr>
          </w:p>
        </w:tc>
        <w:tc>
          <w:tcPr>
            <w:tcW w:w="340" w:type="dxa"/>
            <w:vAlign w:val="bottom"/>
            <w:tcBorders>
              <w:bottom w:val="single" w:sz="8" w:color="auto"/>
            </w:tcBorders>
          </w:tcPr>
          <w:p>
            <w:pPr>
              <w:jc w:val="right"/>
              <w:ind w:right="103"/>
              <w:spacing w:after="0" w:line="162"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759,725</w:t>
            </w:r>
          </w:p>
        </w:tc>
        <w:tc>
          <w:tcPr>
            <w:tcW w:w="220" w:type="dxa"/>
            <w:vAlign w:val="bottom"/>
          </w:tcPr>
          <w:p>
            <w:pPr>
              <w:spacing w:after="0"/>
              <w:rPr>
                <w:sz w:val="14"/>
                <w:szCs w:val="14"/>
                <w:color w:val="auto"/>
              </w:rPr>
            </w:pPr>
          </w:p>
        </w:tc>
        <w:tc>
          <w:tcPr>
            <w:tcW w:w="480" w:type="dxa"/>
            <w:vAlign w:val="bottom"/>
            <w:tcBorders>
              <w:bottom w:val="single" w:sz="8" w:color="auto"/>
            </w:tcBorders>
          </w:tcPr>
          <w:p>
            <w:pPr>
              <w:jc w:val="right"/>
              <w:ind w:right="263"/>
              <w:spacing w:after="0" w:line="162" w:lineRule="exact"/>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296</w:t>
            </w:r>
          </w:p>
        </w:tc>
        <w:tc>
          <w:tcPr>
            <w:tcW w:w="220" w:type="dxa"/>
            <w:vAlign w:val="bottom"/>
          </w:tcPr>
          <w:p>
            <w:pPr>
              <w:spacing w:after="0"/>
              <w:rPr>
                <w:sz w:val="14"/>
                <w:szCs w:val="14"/>
                <w:color w:val="auto"/>
              </w:rPr>
            </w:pPr>
          </w:p>
        </w:tc>
        <w:tc>
          <w:tcPr>
            <w:tcW w:w="580" w:type="dxa"/>
            <w:vAlign w:val="bottom"/>
            <w:tcBorders>
              <w:bottom w:val="single" w:sz="8" w:color="auto"/>
            </w:tcBorders>
          </w:tcPr>
          <w:p>
            <w:pPr>
              <w:jc w:val="right"/>
              <w:ind w:right="343"/>
              <w:spacing w:after="0" w:line="162"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w:t>
            </w:r>
          </w:p>
        </w:tc>
      </w:tr>
      <w:tr>
        <w:trPr>
          <w:trHeight w:val="20"/>
        </w:trPr>
        <w:tc>
          <w:tcPr>
            <w:tcW w:w="3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During the three- and six-months ended June 30, 2016 and 2015, realized gains or losses recognized on the sale of investments were not significant.</w:t>
      </w:r>
    </w:p>
    <w:p>
      <w:pPr>
        <w:spacing w:after="0" w:line="19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Company’s investments at June 30, 2016 and December 31, 2015 in commercial paper, U.S. Treasuries, municipal securities and U.S. government agency securities carried investment grade credit ratings.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underlying contractual maturities of the Company’s investments at:</w:t>
      </w:r>
    </w:p>
    <w:p>
      <w:pPr>
        <w:spacing w:after="0" w:line="210" w:lineRule="exact"/>
        <w:rPr>
          <w:sz w:val="20"/>
          <w:szCs w:val="20"/>
          <w:color w:val="auto"/>
        </w:rPr>
      </w:pPr>
    </w:p>
    <w:tbl>
      <w:tblPr>
        <w:tblLayout w:type="fixed"/>
        <w:tblInd w:w="44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865"/>
              <w:spacing w:after="0"/>
              <w:rPr>
                <w:sz w:val="20"/>
                <w:szCs w:val="20"/>
                <w:color w:val="auto"/>
              </w:rPr>
            </w:pPr>
            <w:r>
              <w:rPr>
                <w:rFonts w:ascii="Arial" w:cs="Arial" w:eastAsia="Arial" w:hAnsi="Arial"/>
                <w:sz w:val="19"/>
                <w:szCs w:val="19"/>
                <w:color w:val="auto"/>
              </w:rPr>
              <w:t>June 30, 2016</w:t>
            </w:r>
          </w:p>
        </w:tc>
        <w:tc>
          <w:tcPr>
            <w:tcW w:w="2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705"/>
              <w:spacing w:after="0"/>
              <w:rPr>
                <w:sz w:val="20"/>
                <w:szCs w:val="20"/>
                <w:color w:val="auto"/>
              </w:rPr>
            </w:pPr>
            <w:r>
              <w:rPr>
                <w:rFonts w:ascii="Arial" w:cs="Arial" w:eastAsia="Arial" w:hAnsi="Arial"/>
                <w:sz w:val="19"/>
                <w:szCs w:val="19"/>
                <w:color w:val="auto"/>
              </w:rPr>
              <w:t>December 31, 2015</w:t>
            </w:r>
          </w:p>
        </w:tc>
        <w:tc>
          <w:tcPr>
            <w:tcW w:w="0" w:type="dxa"/>
            <w:vAlign w:val="bottom"/>
          </w:tcPr>
          <w:p>
            <w:pPr>
              <w:spacing w:after="0"/>
              <w:rPr>
                <w:sz w:val="1"/>
                <w:szCs w:val="1"/>
                <w:color w:val="auto"/>
              </w:rPr>
            </w:pPr>
          </w:p>
        </w:tc>
      </w:tr>
      <w:tr>
        <w:trPr>
          <w:trHeight w:val="331"/>
        </w:trPr>
        <w:tc>
          <w:tcPr>
            <w:tcW w:w="4400" w:type="dxa"/>
            <w:vAlign w:val="bottom"/>
            <w:vMerge w:val="restart"/>
          </w:tcPr>
          <w:p>
            <w:pPr>
              <w:spacing w:after="0"/>
              <w:rPr>
                <w:sz w:val="20"/>
                <w:szCs w:val="20"/>
                <w:color w:val="auto"/>
              </w:rPr>
            </w:pPr>
            <w:r>
              <w:rPr>
                <w:rFonts w:ascii="Arial" w:cs="Arial" w:eastAsia="Arial" w:hAnsi="Arial"/>
                <w:sz w:val="19"/>
                <w:szCs w:val="19"/>
                <w:color w:val="auto"/>
              </w:rPr>
              <w:t>Less than 1 year:</w:t>
            </w:r>
          </w:p>
        </w:tc>
        <w:tc>
          <w:tcPr>
            <w:tcW w:w="1660" w:type="dxa"/>
            <w:vAlign w:val="bottom"/>
            <w:gridSpan w:val="3"/>
          </w:tcPr>
          <w:p>
            <w:pPr>
              <w:ind w:left="120"/>
              <w:spacing w:after="0"/>
              <w:rPr>
                <w:sz w:val="20"/>
                <w:szCs w:val="20"/>
                <w:color w:val="auto"/>
              </w:rPr>
            </w:pPr>
            <w:r>
              <w:rPr>
                <w:rFonts w:ascii="Arial" w:cs="Arial" w:eastAsia="Arial" w:hAnsi="Arial"/>
                <w:sz w:val="19"/>
                <w:szCs w:val="19"/>
                <w:color w:val="auto"/>
              </w:rPr>
              <w:t>Amortized Cost</w:t>
            </w:r>
          </w:p>
        </w:tc>
        <w:tc>
          <w:tcPr>
            <w:tcW w:w="240" w:type="dxa"/>
            <w:vAlign w:val="bottom"/>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Arial" w:cs="Arial" w:eastAsia="Arial" w:hAnsi="Arial"/>
                <w:sz w:val="19"/>
                <w:szCs w:val="19"/>
                <w:color w:val="auto"/>
              </w:rPr>
              <w:t>Fair Value</w:t>
            </w:r>
          </w:p>
        </w:tc>
        <w:tc>
          <w:tcPr>
            <w:tcW w:w="1680" w:type="dxa"/>
            <w:vAlign w:val="bottom"/>
            <w:gridSpan w:val="3"/>
          </w:tcPr>
          <w:p>
            <w:pPr>
              <w:ind w:left="120"/>
              <w:spacing w:after="0"/>
              <w:rPr>
                <w:sz w:val="20"/>
                <w:szCs w:val="20"/>
                <w:color w:val="auto"/>
              </w:rPr>
            </w:pPr>
            <w:r>
              <w:rPr>
                <w:rFonts w:ascii="Arial" w:cs="Arial" w:eastAsia="Arial" w:hAnsi="Arial"/>
                <w:sz w:val="19"/>
                <w:szCs w:val="19"/>
                <w:color w:val="auto"/>
              </w:rPr>
              <w:t>Amortized Cost</w:t>
            </w:r>
          </w:p>
        </w:tc>
        <w:tc>
          <w:tcPr>
            <w:tcW w:w="240" w:type="dxa"/>
            <w:vAlign w:val="bottom"/>
          </w:tcPr>
          <w:p>
            <w:pPr>
              <w:spacing w:after="0"/>
              <w:rPr>
                <w:sz w:val="24"/>
                <w:szCs w:val="24"/>
                <w:color w:val="auto"/>
              </w:rPr>
            </w:pPr>
          </w:p>
        </w:tc>
        <w:tc>
          <w:tcPr>
            <w:tcW w:w="1160" w:type="dxa"/>
            <w:vAlign w:val="bottom"/>
          </w:tcPr>
          <w:p>
            <w:pPr>
              <w:jc w:val="right"/>
              <w:ind w:right="225"/>
              <w:spacing w:after="0"/>
              <w:rPr>
                <w:sz w:val="20"/>
                <w:szCs w:val="20"/>
                <w:color w:val="auto"/>
              </w:rPr>
            </w:pPr>
            <w:r>
              <w:rPr>
                <w:rFonts w:ascii="Arial" w:cs="Arial" w:eastAsia="Arial" w:hAnsi="Arial"/>
                <w:sz w:val="19"/>
                <w:szCs w:val="19"/>
                <w:color w:val="auto"/>
                <w:w w:val="94"/>
              </w:rPr>
              <w:t>Fair Value</w:t>
            </w:r>
          </w:p>
        </w:tc>
        <w:tc>
          <w:tcPr>
            <w:tcW w:w="0" w:type="dxa"/>
            <w:vAlign w:val="bottom"/>
          </w:tcPr>
          <w:p>
            <w:pPr>
              <w:spacing w:after="0"/>
              <w:rPr>
                <w:sz w:val="1"/>
                <w:szCs w:val="1"/>
                <w:color w:val="auto"/>
              </w:rPr>
            </w:pPr>
          </w:p>
        </w:tc>
      </w:tr>
      <w:tr>
        <w:trPr>
          <w:trHeight w:val="174"/>
        </w:trPr>
        <w:tc>
          <w:tcPr>
            <w:tcW w:w="4400" w:type="dxa"/>
            <w:vAlign w:val="bottom"/>
            <w:vMerge w:val="continue"/>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line="216" w:lineRule="exact"/>
              <w:rPr>
                <w:sz w:val="20"/>
                <w:szCs w:val="20"/>
                <w:color w:val="auto"/>
              </w:rPr>
            </w:pPr>
            <w:r>
              <w:rPr>
                <w:rFonts w:ascii="Arial" w:cs="Arial" w:eastAsia="Arial" w:hAnsi="Arial"/>
                <w:sz w:val="19"/>
                <w:szCs w:val="19"/>
                <w:color w:val="auto"/>
              </w:rPr>
              <w:t>Commercial paper</w:t>
            </w:r>
          </w:p>
        </w:tc>
        <w:tc>
          <w:tcPr>
            <w:tcW w:w="520" w:type="dxa"/>
            <w:vAlign w:val="bottom"/>
          </w:tcPr>
          <w:p>
            <w:pPr>
              <w:ind w:left="100"/>
              <w:spacing w:after="0" w:line="216" w:lineRule="exact"/>
              <w:rPr>
                <w:sz w:val="20"/>
                <w:szCs w:val="20"/>
                <w:color w:val="auto"/>
              </w:rPr>
            </w:pPr>
            <w:r>
              <w:rPr>
                <w:rFonts w:ascii="Arial" w:cs="Arial" w:eastAsia="Arial" w:hAnsi="Arial"/>
                <w:sz w:val="19"/>
                <w:szCs w:val="19"/>
                <w:color w:val="auto"/>
              </w:rPr>
              <w:t>$</w:t>
            </w:r>
          </w:p>
        </w:tc>
        <w:tc>
          <w:tcPr>
            <w:tcW w:w="92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20" w:type="dxa"/>
            <w:vAlign w:val="bottom"/>
          </w:tcPr>
          <w:p>
            <w:pPr>
              <w:spacing w:after="0"/>
              <w:rPr>
                <w:sz w:val="18"/>
                <w:szCs w:val="18"/>
                <w:color w:val="auto"/>
              </w:rPr>
            </w:pPr>
          </w:p>
        </w:tc>
        <w:tc>
          <w:tcPr>
            <w:tcW w:w="24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08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80" w:type="dxa"/>
            <w:vAlign w:val="bottom"/>
          </w:tcPr>
          <w:p>
            <w:pPr>
              <w:spacing w:after="0"/>
              <w:rPr>
                <w:sz w:val="18"/>
                <w:szCs w:val="18"/>
                <w:color w:val="auto"/>
              </w:rPr>
            </w:pPr>
          </w:p>
        </w:tc>
        <w:tc>
          <w:tcPr>
            <w:tcW w:w="480" w:type="dxa"/>
            <w:vAlign w:val="bottom"/>
          </w:tcPr>
          <w:p>
            <w:pPr>
              <w:jc w:val="right"/>
              <w:ind w:right="205"/>
              <w:spacing w:after="0" w:line="216" w:lineRule="exact"/>
              <w:rPr>
                <w:sz w:val="20"/>
                <w:szCs w:val="20"/>
                <w:color w:val="auto"/>
              </w:rPr>
            </w:pPr>
            <w:r>
              <w:rPr>
                <w:rFonts w:ascii="Arial" w:cs="Arial" w:eastAsia="Arial" w:hAnsi="Arial"/>
                <w:sz w:val="19"/>
                <w:szCs w:val="19"/>
                <w:color w:val="auto"/>
              </w:rPr>
              <w:t>$</w:t>
            </w: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3,978</w:t>
            </w:r>
          </w:p>
        </w:tc>
        <w:tc>
          <w:tcPr>
            <w:tcW w:w="220" w:type="dxa"/>
            <w:vAlign w:val="bottom"/>
          </w:tcPr>
          <w:p>
            <w:pPr>
              <w:spacing w:after="0"/>
              <w:rPr>
                <w:sz w:val="18"/>
                <w:szCs w:val="18"/>
                <w:color w:val="auto"/>
              </w:rPr>
            </w:pPr>
          </w:p>
        </w:tc>
        <w:tc>
          <w:tcPr>
            <w:tcW w:w="24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160" w:type="dxa"/>
            <w:vAlign w:val="bottom"/>
          </w:tcPr>
          <w:p>
            <w:pPr>
              <w:jc w:val="right"/>
              <w:spacing w:after="0" w:line="216" w:lineRule="exact"/>
              <w:rPr>
                <w:sz w:val="20"/>
                <w:szCs w:val="20"/>
                <w:color w:val="auto"/>
              </w:rPr>
            </w:pPr>
            <w:r>
              <w:rPr>
                <w:rFonts w:ascii="Arial" w:cs="Arial" w:eastAsia="Arial" w:hAnsi="Arial"/>
                <w:sz w:val="19"/>
                <w:szCs w:val="19"/>
                <w:color w:val="auto"/>
              </w:rPr>
              <w:t>3,978</w:t>
            </w: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line="216" w:lineRule="exact"/>
              <w:rPr>
                <w:sz w:val="20"/>
                <w:szCs w:val="20"/>
                <w:color w:val="auto"/>
              </w:rPr>
            </w:pPr>
            <w:r>
              <w:rPr>
                <w:rFonts w:ascii="Arial" w:cs="Arial" w:eastAsia="Arial" w:hAnsi="Arial"/>
                <w:sz w:val="19"/>
                <w:szCs w:val="19"/>
                <w:color w:val="auto"/>
              </w:rPr>
              <w:t>Municipal securities</w:t>
            </w:r>
          </w:p>
        </w:tc>
        <w:tc>
          <w:tcPr>
            <w:tcW w:w="520" w:type="dxa"/>
            <w:vAlign w:val="bottom"/>
          </w:tcPr>
          <w:p>
            <w:pPr>
              <w:spacing w:after="0"/>
              <w:rPr>
                <w:sz w:val="18"/>
                <w:szCs w:val="18"/>
                <w:color w:val="auto"/>
              </w:rPr>
            </w:pPr>
          </w:p>
        </w:tc>
        <w:tc>
          <w:tcPr>
            <w:tcW w:w="920" w:type="dxa"/>
            <w:vAlign w:val="bottom"/>
          </w:tcPr>
          <w:p>
            <w:pPr>
              <w:jc w:val="right"/>
              <w:spacing w:after="0" w:line="216" w:lineRule="exact"/>
              <w:rPr>
                <w:sz w:val="20"/>
                <w:szCs w:val="20"/>
                <w:color w:val="auto"/>
              </w:rPr>
            </w:pPr>
            <w:r>
              <w:rPr>
                <w:rFonts w:ascii="Arial" w:cs="Arial" w:eastAsia="Arial" w:hAnsi="Arial"/>
                <w:sz w:val="19"/>
                <w:szCs w:val="19"/>
                <w:color w:val="auto"/>
              </w:rPr>
              <w:t>44,319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line="216" w:lineRule="exact"/>
              <w:rPr>
                <w:sz w:val="20"/>
                <w:szCs w:val="20"/>
                <w:color w:val="auto"/>
              </w:rPr>
            </w:pPr>
            <w:r>
              <w:rPr>
                <w:rFonts w:ascii="Arial" w:cs="Arial" w:eastAsia="Arial" w:hAnsi="Arial"/>
                <w:sz w:val="19"/>
                <w:szCs w:val="19"/>
                <w:color w:val="auto"/>
              </w:rPr>
              <w:t>44,317</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709,207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line="216" w:lineRule="exact"/>
              <w:rPr>
                <w:sz w:val="20"/>
                <w:szCs w:val="20"/>
                <w:color w:val="auto"/>
              </w:rPr>
            </w:pPr>
            <w:r>
              <w:rPr>
                <w:rFonts w:ascii="Arial" w:cs="Arial" w:eastAsia="Arial" w:hAnsi="Arial"/>
                <w:sz w:val="19"/>
                <w:szCs w:val="19"/>
                <w:color w:val="auto"/>
              </w:rPr>
              <w:t>709,078</w:t>
            </w: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line="216" w:lineRule="exact"/>
              <w:rPr>
                <w:sz w:val="20"/>
                <w:szCs w:val="20"/>
                <w:color w:val="auto"/>
              </w:rPr>
            </w:pPr>
            <w:r>
              <w:rPr>
                <w:rFonts w:ascii="Arial" w:cs="Arial" w:eastAsia="Arial" w:hAnsi="Arial"/>
                <w:sz w:val="19"/>
                <w:szCs w:val="19"/>
                <w:color w:val="auto"/>
              </w:rPr>
              <w:t>U.S. government agency securities</w:t>
            </w:r>
          </w:p>
        </w:tc>
        <w:tc>
          <w:tcPr>
            <w:tcW w:w="520" w:type="dxa"/>
            <w:vAlign w:val="bottom"/>
          </w:tcPr>
          <w:p>
            <w:pPr>
              <w:spacing w:after="0"/>
              <w:rPr>
                <w:sz w:val="18"/>
                <w:szCs w:val="18"/>
                <w:color w:val="auto"/>
              </w:rPr>
            </w:pPr>
          </w:p>
        </w:tc>
        <w:tc>
          <w:tcPr>
            <w:tcW w:w="92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23,369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line="216" w:lineRule="exact"/>
              <w:rPr>
                <w:sz w:val="20"/>
                <w:szCs w:val="20"/>
                <w:color w:val="auto"/>
              </w:rPr>
            </w:pPr>
            <w:r>
              <w:rPr>
                <w:rFonts w:ascii="Arial" w:cs="Arial" w:eastAsia="Arial" w:hAnsi="Arial"/>
                <w:sz w:val="19"/>
                <w:szCs w:val="19"/>
                <w:color w:val="auto"/>
              </w:rPr>
              <w:t>23,311</w:t>
            </w: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line="216" w:lineRule="exact"/>
              <w:rPr>
                <w:sz w:val="20"/>
                <w:szCs w:val="20"/>
                <w:color w:val="auto"/>
              </w:rPr>
            </w:pPr>
            <w:r>
              <w:rPr>
                <w:rFonts w:ascii="Arial" w:cs="Arial" w:eastAsia="Arial" w:hAnsi="Arial"/>
                <w:sz w:val="19"/>
                <w:szCs w:val="19"/>
                <w:color w:val="auto"/>
              </w:rPr>
              <w:t>U.S. Treasuries</w:t>
            </w:r>
          </w:p>
        </w:tc>
        <w:tc>
          <w:tcPr>
            <w:tcW w:w="520" w:type="dxa"/>
            <w:vAlign w:val="bottom"/>
          </w:tcPr>
          <w:p>
            <w:pPr>
              <w:spacing w:after="0"/>
              <w:rPr>
                <w:sz w:val="18"/>
                <w:szCs w:val="18"/>
                <w:color w:val="auto"/>
              </w:rPr>
            </w:pPr>
          </w:p>
        </w:tc>
        <w:tc>
          <w:tcPr>
            <w:tcW w:w="92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8,056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line="216" w:lineRule="exact"/>
              <w:rPr>
                <w:sz w:val="20"/>
                <w:szCs w:val="20"/>
                <w:color w:val="auto"/>
              </w:rPr>
            </w:pPr>
            <w:r>
              <w:rPr>
                <w:rFonts w:ascii="Arial" w:cs="Arial" w:eastAsia="Arial" w:hAnsi="Arial"/>
                <w:sz w:val="19"/>
                <w:szCs w:val="19"/>
                <w:color w:val="auto"/>
              </w:rPr>
              <w:t>8,043</w:t>
            </w:r>
          </w:p>
        </w:tc>
        <w:tc>
          <w:tcPr>
            <w:tcW w:w="0" w:type="dxa"/>
            <w:vAlign w:val="bottom"/>
          </w:tcPr>
          <w:p>
            <w:pPr>
              <w:spacing w:after="0"/>
              <w:rPr>
                <w:sz w:val="1"/>
                <w:szCs w:val="1"/>
                <w:color w:val="auto"/>
              </w:rPr>
            </w:pPr>
          </w:p>
        </w:tc>
      </w:tr>
      <w:tr>
        <w:trPr>
          <w:trHeight w:val="216"/>
        </w:trPr>
        <w:tc>
          <w:tcPr>
            <w:tcW w:w="4400" w:type="dxa"/>
            <w:vAlign w:val="bottom"/>
          </w:tcPr>
          <w:p>
            <w:pPr>
              <w:spacing w:after="0" w:line="216" w:lineRule="exact"/>
              <w:rPr>
                <w:sz w:val="20"/>
                <w:szCs w:val="20"/>
                <w:color w:val="auto"/>
              </w:rPr>
            </w:pPr>
            <w:r>
              <w:rPr>
                <w:rFonts w:ascii="Arial" w:cs="Arial" w:eastAsia="Arial" w:hAnsi="Arial"/>
                <w:sz w:val="19"/>
                <w:szCs w:val="19"/>
                <w:color w:val="auto"/>
              </w:rPr>
              <w:t>Due 1 -10 years:</w:t>
            </w: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line="216" w:lineRule="exact"/>
              <w:rPr>
                <w:sz w:val="20"/>
                <w:szCs w:val="20"/>
                <w:color w:val="auto"/>
              </w:rPr>
            </w:pPr>
            <w:r>
              <w:rPr>
                <w:rFonts w:ascii="Arial" w:cs="Arial" w:eastAsia="Arial" w:hAnsi="Arial"/>
                <w:sz w:val="19"/>
                <w:szCs w:val="19"/>
                <w:color w:val="auto"/>
              </w:rPr>
              <w:t>Municipal securities</w:t>
            </w:r>
          </w:p>
        </w:tc>
        <w:tc>
          <w:tcPr>
            <w:tcW w:w="520" w:type="dxa"/>
            <w:vAlign w:val="bottom"/>
          </w:tcPr>
          <w:p>
            <w:pPr>
              <w:spacing w:after="0"/>
              <w:rPr>
                <w:sz w:val="18"/>
                <w:szCs w:val="18"/>
                <w:color w:val="auto"/>
              </w:rPr>
            </w:pPr>
          </w:p>
        </w:tc>
        <w:tc>
          <w:tcPr>
            <w:tcW w:w="92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11,071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line="216" w:lineRule="exact"/>
              <w:rPr>
                <w:sz w:val="20"/>
                <w:szCs w:val="20"/>
                <w:color w:val="auto"/>
              </w:rPr>
            </w:pPr>
            <w:r>
              <w:rPr>
                <w:rFonts w:ascii="Arial" w:cs="Arial" w:eastAsia="Arial" w:hAnsi="Arial"/>
                <w:sz w:val="19"/>
                <w:szCs w:val="19"/>
                <w:color w:val="auto"/>
              </w:rPr>
              <w:t>11,063</w:t>
            </w: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line="216" w:lineRule="exact"/>
              <w:rPr>
                <w:sz w:val="20"/>
                <w:szCs w:val="20"/>
                <w:color w:val="auto"/>
              </w:rPr>
            </w:pPr>
            <w:r>
              <w:rPr>
                <w:rFonts w:ascii="Arial" w:cs="Arial" w:eastAsia="Arial" w:hAnsi="Arial"/>
                <w:sz w:val="19"/>
                <w:szCs w:val="19"/>
                <w:color w:val="auto"/>
              </w:rPr>
              <w:t>U.S. government agency securities</w:t>
            </w:r>
          </w:p>
        </w:tc>
        <w:tc>
          <w:tcPr>
            <w:tcW w:w="520" w:type="dxa"/>
            <w:vAlign w:val="bottom"/>
          </w:tcPr>
          <w:p>
            <w:pPr>
              <w:spacing w:after="0"/>
              <w:rPr>
                <w:sz w:val="18"/>
                <w:szCs w:val="18"/>
                <w:color w:val="auto"/>
              </w:rPr>
            </w:pPr>
          </w:p>
        </w:tc>
        <w:tc>
          <w:tcPr>
            <w:tcW w:w="92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4,277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line="216" w:lineRule="exact"/>
              <w:rPr>
                <w:sz w:val="20"/>
                <w:szCs w:val="20"/>
                <w:color w:val="auto"/>
              </w:rPr>
            </w:pPr>
            <w:r>
              <w:rPr>
                <w:rFonts w:ascii="Arial" w:cs="Arial" w:eastAsia="Arial" w:hAnsi="Arial"/>
                <w:sz w:val="19"/>
                <w:szCs w:val="19"/>
                <w:color w:val="auto"/>
              </w:rPr>
              <w:t>4,252</w:t>
            </w:r>
          </w:p>
        </w:tc>
        <w:tc>
          <w:tcPr>
            <w:tcW w:w="0" w:type="dxa"/>
            <w:vAlign w:val="bottom"/>
          </w:tcPr>
          <w:p>
            <w:pPr>
              <w:spacing w:after="0"/>
              <w:rPr>
                <w:sz w:val="1"/>
                <w:szCs w:val="1"/>
                <w:color w:val="auto"/>
              </w:rPr>
            </w:pPr>
          </w:p>
        </w:tc>
      </w:tr>
      <w:tr>
        <w:trPr>
          <w:trHeight w:val="216"/>
        </w:trPr>
        <w:tc>
          <w:tcPr>
            <w:tcW w:w="4400" w:type="dxa"/>
            <w:vAlign w:val="bottom"/>
          </w:tcPr>
          <w:p>
            <w:pPr>
              <w:spacing w:after="0" w:line="216" w:lineRule="exact"/>
              <w:rPr>
                <w:sz w:val="20"/>
                <w:szCs w:val="20"/>
                <w:color w:val="auto"/>
              </w:rPr>
            </w:pPr>
            <w:r>
              <w:rPr>
                <w:rFonts w:ascii="Arial" w:cs="Arial" w:eastAsia="Arial" w:hAnsi="Arial"/>
                <w:sz w:val="19"/>
                <w:szCs w:val="19"/>
                <w:color w:val="auto"/>
              </w:rPr>
              <w:t>Due 11 - 20 years:</w:t>
            </w: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line="216" w:lineRule="exact"/>
              <w:rPr>
                <w:sz w:val="20"/>
                <w:szCs w:val="20"/>
                <w:color w:val="auto"/>
              </w:rPr>
            </w:pPr>
            <w:r>
              <w:rPr>
                <w:rFonts w:ascii="Arial" w:cs="Arial" w:eastAsia="Arial" w:hAnsi="Arial"/>
                <w:sz w:val="19"/>
                <w:szCs w:val="19"/>
                <w:color w:val="auto"/>
              </w:rPr>
              <w:t>Municipal securities</w:t>
            </w:r>
          </w:p>
        </w:tc>
        <w:tc>
          <w:tcPr>
            <w:tcW w:w="520" w:type="dxa"/>
            <w:vAlign w:val="bottom"/>
          </w:tcPr>
          <w:p>
            <w:pPr>
              <w:spacing w:after="0"/>
              <w:rPr>
                <w:sz w:val="18"/>
                <w:szCs w:val="18"/>
                <w:color w:val="auto"/>
              </w:rPr>
            </w:pPr>
          </w:p>
        </w:tc>
        <w:tc>
          <w:tcPr>
            <w:tcW w:w="92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
        </w:trPr>
        <w:tc>
          <w:tcPr>
            <w:tcW w:w="4400" w:type="dxa"/>
            <w:vAlign w:val="bottom"/>
            <w:vMerge w:val="restart"/>
          </w:tcPr>
          <w:p>
            <w:pPr>
              <w:ind w:left="180"/>
              <w:spacing w:after="0"/>
              <w:rPr>
                <w:sz w:val="20"/>
                <w:szCs w:val="20"/>
                <w:color w:val="auto"/>
              </w:rPr>
            </w:pPr>
            <w:r>
              <w:rPr>
                <w:rFonts w:ascii="Arial" w:cs="Arial" w:eastAsia="Arial" w:hAnsi="Arial"/>
                <w:sz w:val="19"/>
                <w:szCs w:val="19"/>
                <w:color w:val="auto"/>
              </w:rPr>
              <w:t>Total</w:t>
            </w: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400" w:type="dxa"/>
            <w:vAlign w:val="bottom"/>
            <w:vMerge w:val="continue"/>
          </w:tcPr>
          <w:p>
            <w:pPr>
              <w:spacing w:after="0"/>
              <w:rPr>
                <w:sz w:val="18"/>
                <w:szCs w:val="18"/>
                <w:color w:val="auto"/>
              </w:rPr>
            </w:pPr>
          </w:p>
        </w:tc>
        <w:tc>
          <w:tcPr>
            <w:tcW w:w="520" w:type="dxa"/>
            <w:vAlign w:val="bottom"/>
            <w:tcBorders>
              <w:bottom w:val="single" w:sz="8" w:color="auto"/>
            </w:tcBorders>
          </w:tcPr>
          <w:p>
            <w:pPr>
              <w:ind w:left="100"/>
              <w:spacing w:after="0" w:line="210" w:lineRule="exact"/>
              <w:rPr>
                <w:sz w:val="20"/>
                <w:szCs w:val="20"/>
                <w:color w:val="auto"/>
              </w:rPr>
            </w:pPr>
            <w:r>
              <w:rPr>
                <w:rFonts w:ascii="Arial" w:cs="Arial" w:eastAsia="Arial" w:hAnsi="Arial"/>
                <w:sz w:val="19"/>
                <w:szCs w:val="19"/>
                <w:color w:val="auto"/>
              </w:rPr>
              <w:t>$</w:t>
            </w:r>
          </w:p>
        </w:tc>
        <w:tc>
          <w:tcPr>
            <w:tcW w:w="9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44,319</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0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44,317</w:t>
            </w:r>
          </w:p>
        </w:tc>
        <w:tc>
          <w:tcPr>
            <w:tcW w:w="280" w:type="dxa"/>
            <w:vAlign w:val="bottom"/>
          </w:tcPr>
          <w:p>
            <w:pPr>
              <w:spacing w:after="0"/>
              <w:rPr>
                <w:sz w:val="18"/>
                <w:szCs w:val="18"/>
                <w:color w:val="auto"/>
              </w:rPr>
            </w:pPr>
          </w:p>
        </w:tc>
        <w:tc>
          <w:tcPr>
            <w:tcW w:w="480" w:type="dxa"/>
            <w:vAlign w:val="bottom"/>
            <w:tcBorders>
              <w:bottom w:val="single" w:sz="8" w:color="auto"/>
            </w:tcBorders>
          </w:tcPr>
          <w:p>
            <w:pPr>
              <w:jc w:val="right"/>
              <w:ind w:right="205"/>
              <w:spacing w:after="0" w:line="210" w:lineRule="exact"/>
              <w:rPr>
                <w:sz w:val="20"/>
                <w:szCs w:val="20"/>
                <w:color w:val="auto"/>
              </w:rPr>
            </w:pPr>
            <w:r>
              <w:rPr>
                <w:rFonts w:ascii="Arial" w:cs="Arial" w:eastAsia="Arial" w:hAnsi="Arial"/>
                <w:sz w:val="19"/>
                <w:szCs w:val="19"/>
                <w:color w:val="auto"/>
              </w:rPr>
              <w:t>$</w:t>
            </w:r>
          </w:p>
        </w:tc>
        <w:tc>
          <w:tcPr>
            <w:tcW w:w="9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759,958</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16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759,725</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FAIR VALUE OF CERTAIN FINANCIAL ASSETS AND LIABILITIES</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ASC 820 provides a framework for measuring fair value and requires disclosures regarding fair value measurements. ASC 820 defines fair value as the price that would be received on the sale of an asset or paid to transfer a liability in an orderly transaction between market participants at the measurement date. ASC 820 also establishes a fair value hierarchy which requires an entity to maximize the use of observable inputs, where available. The three levels of inputs required by the standard that the Company uses to measure fair value are summarized below.</w:t>
      </w:r>
    </w:p>
    <w:p>
      <w:pPr>
        <w:spacing w:after="0" w:line="202" w:lineRule="exact"/>
        <w:rPr>
          <w:sz w:val="20"/>
          <w:szCs w:val="20"/>
          <w:color w:val="auto"/>
        </w:rPr>
      </w:pPr>
    </w:p>
    <w:p>
      <w:pPr>
        <w:ind w:left="620" w:hanging="288"/>
        <w:spacing w:after="0"/>
        <w:tabs>
          <w:tab w:leader="none" w:pos="620" w:val="left"/>
        </w:tabs>
        <w:numPr>
          <w:ilvl w:val="0"/>
          <w:numId w:val="12"/>
        </w:numPr>
        <w:rPr>
          <w:rFonts w:ascii="Arial" w:cs="Arial" w:eastAsia="Arial" w:hAnsi="Arial"/>
          <w:sz w:val="20"/>
          <w:szCs w:val="20"/>
          <w:color w:val="auto"/>
        </w:rPr>
      </w:pPr>
      <w:r>
        <w:rPr>
          <w:rFonts w:ascii="Arial" w:cs="Arial" w:eastAsia="Arial" w:hAnsi="Arial"/>
          <w:sz w:val="20"/>
          <w:szCs w:val="20"/>
          <w:b w:val="1"/>
          <w:bCs w:val="1"/>
          <w:color w:val="auto"/>
        </w:rPr>
        <w:t xml:space="preserve">Level 1: </w:t>
      </w:r>
      <w:r>
        <w:rPr>
          <w:rFonts w:ascii="Arial" w:cs="Arial" w:eastAsia="Arial" w:hAnsi="Arial"/>
          <w:sz w:val="20"/>
          <w:szCs w:val="20"/>
          <w:color w:val="auto"/>
        </w:rPr>
        <w:t>Quoted prices in active markets for identical assets or liabilities.</w:t>
      </w:r>
    </w:p>
    <w:p>
      <w:pPr>
        <w:spacing w:after="0" w:line="229" w:lineRule="exact"/>
        <w:rPr>
          <w:rFonts w:ascii="Arial" w:cs="Arial" w:eastAsia="Arial" w:hAnsi="Arial"/>
          <w:sz w:val="20"/>
          <w:szCs w:val="20"/>
          <w:color w:val="auto"/>
        </w:rPr>
      </w:pPr>
    </w:p>
    <w:p>
      <w:pPr>
        <w:jc w:val="both"/>
        <w:ind w:left="660" w:hanging="328"/>
        <w:spacing w:after="0" w:line="253" w:lineRule="auto"/>
        <w:tabs>
          <w:tab w:leader="none" w:pos="642" w:val="left"/>
        </w:tabs>
        <w:numPr>
          <w:ilvl w:val="0"/>
          <w:numId w:val="12"/>
        </w:numPr>
        <w:rPr>
          <w:rFonts w:ascii="Arial" w:cs="Arial" w:eastAsia="Arial" w:hAnsi="Arial"/>
          <w:sz w:val="20"/>
          <w:szCs w:val="20"/>
          <w:color w:val="auto"/>
        </w:rPr>
      </w:pPr>
      <w:r>
        <w:rPr>
          <w:rFonts w:ascii="Arial" w:cs="Arial" w:eastAsia="Arial" w:hAnsi="Arial"/>
          <w:sz w:val="20"/>
          <w:szCs w:val="20"/>
          <w:b w:val="1"/>
          <w:bCs w:val="1"/>
          <w:color w:val="auto"/>
        </w:rPr>
        <w:t xml:space="preserve">Level 2: </w:t>
      </w:r>
      <w:r>
        <w:rPr>
          <w:rFonts w:ascii="Arial" w:cs="Arial" w:eastAsia="Arial" w:hAnsi="Arial"/>
          <w:sz w:val="20"/>
          <w:szCs w:val="20"/>
          <w:color w:val="auto"/>
        </w:rPr>
        <w:t>Observable inputs other than Level 1 prices, such as quoted prices for similar assets or liabilities, quoted prices in markets that</w:t>
      </w:r>
      <w:r>
        <w:rPr>
          <w:rFonts w:ascii="Arial" w:cs="Arial" w:eastAsia="Arial" w:hAnsi="Arial"/>
          <w:sz w:val="20"/>
          <w:szCs w:val="20"/>
          <w:b w:val="1"/>
          <w:bCs w:val="1"/>
          <w:color w:val="auto"/>
        </w:rPr>
        <w:t xml:space="preserve"> </w:t>
      </w:r>
      <w:r>
        <w:rPr>
          <w:rFonts w:ascii="Arial" w:cs="Arial" w:eastAsia="Arial" w:hAnsi="Arial"/>
          <w:sz w:val="20"/>
          <w:szCs w:val="20"/>
          <w:color w:val="auto"/>
        </w:rPr>
        <w:t>are not active, or other inputs that are observable or can be corroborated by observable market data for substantially the full term of the related assets or liabilities.</w:t>
      </w:r>
    </w:p>
    <w:p>
      <w:pPr>
        <w:spacing w:after="0" w:line="191" w:lineRule="exact"/>
        <w:rPr>
          <w:rFonts w:ascii="Arial" w:cs="Arial" w:eastAsia="Arial" w:hAnsi="Arial"/>
          <w:sz w:val="20"/>
          <w:szCs w:val="20"/>
          <w:color w:val="auto"/>
        </w:rPr>
      </w:pPr>
    </w:p>
    <w:p>
      <w:pPr>
        <w:ind w:left="660" w:hanging="328"/>
        <w:spacing w:after="0" w:line="267" w:lineRule="auto"/>
        <w:tabs>
          <w:tab w:leader="none" w:pos="709" w:val="left"/>
        </w:tabs>
        <w:numPr>
          <w:ilvl w:val="0"/>
          <w:numId w:val="12"/>
        </w:numPr>
        <w:rPr>
          <w:rFonts w:ascii="Arial" w:cs="Arial" w:eastAsia="Arial" w:hAnsi="Arial"/>
          <w:sz w:val="20"/>
          <w:szCs w:val="20"/>
          <w:color w:val="auto"/>
        </w:rPr>
      </w:pPr>
      <w:r>
        <w:rPr>
          <w:rFonts w:ascii="Arial" w:cs="Arial" w:eastAsia="Arial" w:hAnsi="Arial"/>
          <w:sz w:val="20"/>
          <w:szCs w:val="20"/>
          <w:b w:val="1"/>
          <w:bCs w:val="1"/>
          <w:color w:val="auto"/>
        </w:rPr>
        <w:t xml:space="preserve">Level 3: </w:t>
      </w:r>
      <w:r>
        <w:rPr>
          <w:rFonts w:ascii="Arial" w:cs="Arial" w:eastAsia="Arial" w:hAnsi="Arial"/>
          <w:sz w:val="20"/>
          <w:szCs w:val="20"/>
          <w:color w:val="auto"/>
        </w:rPr>
        <w:t>Unobservable inputs that are supported by little or no market activity and that are significant to the fair value of the assets or</w:t>
      </w:r>
      <w:r>
        <w:rPr>
          <w:rFonts w:ascii="Arial" w:cs="Arial" w:eastAsia="Arial" w:hAnsi="Arial"/>
          <w:sz w:val="20"/>
          <w:szCs w:val="20"/>
          <w:b w:val="1"/>
          <w:bCs w:val="1"/>
          <w:color w:val="auto"/>
        </w:rPr>
        <w:t xml:space="preserve"> </w:t>
      </w:r>
      <w:r>
        <w:rPr>
          <w:rFonts w:ascii="Arial" w:cs="Arial" w:eastAsia="Arial" w:hAnsi="Arial"/>
          <w:sz w:val="20"/>
          <w:szCs w:val="20"/>
          <w:color w:val="auto"/>
        </w:rPr>
        <w:t>liabilities.</w:t>
      </w:r>
    </w:p>
    <w:p>
      <w:pPr>
        <w:spacing w:after="0" w:line="18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ASC 820 requires the use of observable market inputs (quoted market prices) when measuring fair value and requires a Level 1 quoted price to be used to measure fair value whenever possible.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The following tables present the Company’s held-to-maturity investments at amortized cost and the fair value of the Company’s financial assets and liabilities that are recorded at fair value on a recurring basis, segregated among the appropriate levels within the fair value hierarchy at: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3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June 30, 2016</w:t>
            </w:r>
          </w:p>
        </w:tc>
        <w:tc>
          <w:tcPr>
            <w:tcW w:w="18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Level 1</w:t>
            </w: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Level 2</w:t>
            </w: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Level 3</w:t>
            </w:r>
          </w:p>
        </w:tc>
        <w:tc>
          <w:tcPr>
            <w:tcW w:w="3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color w:val="auto"/>
              </w:rPr>
              <w:t>Total</w:t>
            </w:r>
          </w:p>
        </w:tc>
      </w:tr>
      <w:tr>
        <w:trPr>
          <w:trHeight w:val="206"/>
        </w:trPr>
        <w:tc>
          <w:tcPr>
            <w:tcW w:w="3300" w:type="dxa"/>
            <w:vAlign w:val="bottom"/>
          </w:tcPr>
          <w:p>
            <w:pPr>
              <w:spacing w:after="0" w:line="207" w:lineRule="exact"/>
              <w:rPr>
                <w:sz w:val="20"/>
                <w:szCs w:val="20"/>
                <w:color w:val="auto"/>
              </w:rPr>
            </w:pPr>
            <w:r>
              <w:rPr>
                <w:rFonts w:ascii="Arial" w:cs="Arial" w:eastAsia="Arial" w:hAnsi="Arial"/>
                <w:sz w:val="20"/>
                <w:szCs w:val="20"/>
                <w:color w:val="auto"/>
              </w:rPr>
              <w:t>Cash</w:t>
            </w:r>
          </w:p>
        </w:tc>
        <w:tc>
          <w:tcPr>
            <w:tcW w:w="188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280" w:type="dxa"/>
            <w:vAlign w:val="bottom"/>
          </w:tcPr>
          <w:p>
            <w:pPr>
              <w:jc w:val="right"/>
              <w:ind w:right="41"/>
              <w:spacing w:after="0" w:line="207" w:lineRule="exact"/>
              <w:rPr>
                <w:sz w:val="20"/>
                <w:szCs w:val="20"/>
                <w:color w:val="auto"/>
              </w:rPr>
            </w:pPr>
            <w:r>
              <w:rPr>
                <w:rFonts w:ascii="Arial" w:cs="Arial" w:eastAsia="Arial" w:hAnsi="Arial"/>
                <w:sz w:val="20"/>
                <w:szCs w:val="20"/>
                <w:color w:val="auto"/>
              </w:rPr>
              <w:t>271,234</w:t>
            </w:r>
          </w:p>
        </w:tc>
        <w:tc>
          <w:tcPr>
            <w:tcW w:w="40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28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260" w:type="dxa"/>
            <w:vAlign w:val="bottom"/>
          </w:tcPr>
          <w:p>
            <w:pPr>
              <w:jc w:val="right"/>
              <w:ind w:right="921"/>
              <w:spacing w:after="0" w:line="207" w:lineRule="exact"/>
              <w:rPr>
                <w:sz w:val="20"/>
                <w:szCs w:val="20"/>
                <w:color w:val="auto"/>
              </w:rPr>
            </w:pPr>
            <w:r>
              <w:rPr>
                <w:rFonts w:ascii="Arial" w:cs="Arial" w:eastAsia="Arial" w:hAnsi="Arial"/>
                <w:sz w:val="20"/>
                <w:szCs w:val="20"/>
                <w:color w:val="auto"/>
              </w:rPr>
              <w:t>$</w:t>
            </w:r>
          </w:p>
        </w:tc>
        <w:tc>
          <w:tcPr>
            <w:tcW w:w="36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440" w:type="dxa"/>
            <w:vAlign w:val="bottom"/>
          </w:tcPr>
          <w:p>
            <w:pPr>
              <w:jc w:val="right"/>
              <w:ind w:right="101"/>
              <w:spacing w:after="0" w:line="207" w:lineRule="exact"/>
              <w:rPr>
                <w:sz w:val="20"/>
                <w:szCs w:val="20"/>
                <w:color w:val="auto"/>
              </w:rPr>
            </w:pPr>
            <w:r>
              <w:rPr>
                <w:rFonts w:ascii="Arial" w:cs="Arial" w:eastAsia="Arial" w:hAnsi="Arial"/>
                <w:sz w:val="20"/>
                <w:szCs w:val="20"/>
                <w:color w:val="auto"/>
              </w:rPr>
              <w:t>$</w:t>
            </w:r>
          </w:p>
        </w:tc>
        <w:tc>
          <w:tcPr>
            <w:tcW w:w="1220" w:type="dxa"/>
            <w:vAlign w:val="bottom"/>
          </w:tcPr>
          <w:p>
            <w:pPr>
              <w:jc w:val="right"/>
              <w:ind w:right="61"/>
              <w:spacing w:after="0" w:line="207" w:lineRule="exact"/>
              <w:rPr>
                <w:sz w:val="20"/>
                <w:szCs w:val="20"/>
                <w:color w:val="auto"/>
              </w:rPr>
            </w:pPr>
            <w:r>
              <w:rPr>
                <w:rFonts w:ascii="Arial" w:cs="Arial" w:eastAsia="Arial" w:hAnsi="Arial"/>
                <w:sz w:val="20"/>
                <w:szCs w:val="20"/>
                <w:color w:val="auto"/>
              </w:rPr>
              <w:t>271,234</w:t>
            </w:r>
          </w:p>
        </w:tc>
      </w:tr>
      <w:tr>
        <w:trPr>
          <w:trHeight w:val="250"/>
        </w:trPr>
        <w:tc>
          <w:tcPr>
            <w:tcW w:w="3300" w:type="dxa"/>
            <w:vAlign w:val="bottom"/>
          </w:tcPr>
          <w:p>
            <w:pPr>
              <w:spacing w:after="0"/>
              <w:rPr>
                <w:sz w:val="20"/>
                <w:szCs w:val="20"/>
                <w:color w:val="auto"/>
              </w:rPr>
            </w:pPr>
            <w:r>
              <w:rPr>
                <w:rFonts w:ascii="Arial" w:cs="Arial" w:eastAsia="Arial" w:hAnsi="Arial"/>
                <w:sz w:val="20"/>
                <w:szCs w:val="20"/>
                <w:color w:val="auto"/>
              </w:rPr>
              <w:t>Money market funds</w:t>
            </w:r>
          </w:p>
        </w:tc>
        <w:tc>
          <w:tcPr>
            <w:tcW w:w="1880" w:type="dxa"/>
            <w:vAlign w:val="bottom"/>
          </w:tcPr>
          <w:p>
            <w:pPr>
              <w:spacing w:after="0"/>
              <w:rPr>
                <w:sz w:val="21"/>
                <w:szCs w:val="21"/>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163,023</w:t>
            </w:r>
          </w:p>
        </w:tc>
        <w:tc>
          <w:tcPr>
            <w:tcW w:w="400" w:type="dxa"/>
            <w:vAlign w:val="bottom"/>
          </w:tcPr>
          <w:p>
            <w:pPr>
              <w:spacing w:after="0"/>
              <w:rPr>
                <w:sz w:val="21"/>
                <w:szCs w:val="21"/>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260" w:type="dxa"/>
            <w:vAlign w:val="bottom"/>
          </w:tcPr>
          <w:p>
            <w:pPr>
              <w:spacing w:after="0"/>
              <w:rPr>
                <w:sz w:val="21"/>
                <w:szCs w:val="21"/>
                <w:color w:val="auto"/>
              </w:rPr>
            </w:pP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1"/>
                <w:szCs w:val="21"/>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163,023</w:t>
            </w:r>
          </w:p>
        </w:tc>
      </w:tr>
    </w:tbl>
    <w:p>
      <w:pPr>
        <w:sectPr>
          <w:pgSz w:w="11900" w:h="16861" w:orient="portrait"/>
          <w:cols w:equalWidth="0" w:num="1">
            <w:col w:w="11420"/>
          </w:cols>
          <w:pgMar w:left="240" w:top="125" w:right="239" w:bottom="0" w:gutter="0" w:footer="0" w:header="0"/>
        </w:sectPr>
      </w:pPr>
    </w:p>
    <w:bookmarkStart w:id="10" w:name="page11"/>
    <w:bookmarkEnd w:id="10"/>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820" w:type="dxa"/>
            <w:vAlign w:val="bottom"/>
          </w:tcPr>
          <w:p>
            <w:pPr>
              <w:spacing w:after="0"/>
              <w:rPr>
                <w:sz w:val="20"/>
                <w:szCs w:val="20"/>
                <w:color w:val="auto"/>
              </w:rPr>
            </w:pPr>
            <w:r>
              <w:rPr>
                <w:rFonts w:ascii="Arial" w:cs="Arial" w:eastAsia="Arial" w:hAnsi="Arial"/>
                <w:sz w:val="20"/>
                <w:szCs w:val="20"/>
                <w:color w:val="auto"/>
              </w:rPr>
              <w:t>Certificates of deposit</w:t>
            </w:r>
          </w:p>
        </w:tc>
        <w:tc>
          <w:tcPr>
            <w:tcW w:w="360" w:type="dxa"/>
            <w:vAlign w:val="bottom"/>
          </w:tcPr>
          <w:p>
            <w:pPr>
              <w:spacing w:after="0"/>
              <w:rPr>
                <w:sz w:val="20"/>
                <w:szCs w:val="20"/>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0"/>
                <w:szCs w:val="20"/>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240" w:type="dxa"/>
            <w:vAlign w:val="bottom"/>
          </w:tcPr>
          <w:p>
            <w:pPr>
              <w:spacing w:after="0"/>
              <w:rPr>
                <w:sz w:val="20"/>
                <w:szCs w:val="20"/>
                <w:color w:val="auto"/>
              </w:rPr>
            </w:pP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0"/>
                <w:szCs w:val="20"/>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20"/>
                <w:szCs w:val="20"/>
                <w:color w:val="auto"/>
              </w:rPr>
              <w:t>Commercial paper</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20"/>
                <w:szCs w:val="20"/>
                <w:color w:val="auto"/>
              </w:rPr>
              <w:t>U.S. Treasuries</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20"/>
                <w:szCs w:val="20"/>
                <w:color w:val="auto"/>
              </w:rPr>
              <w:t>Municipal securities</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44,831</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44,831</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20"/>
                <w:szCs w:val="20"/>
                <w:color w:val="auto"/>
              </w:rPr>
              <w:t>U.S. government agency securities</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4820" w:type="dxa"/>
            <w:vAlign w:val="bottom"/>
          </w:tcPr>
          <w:p>
            <w:pPr>
              <w:spacing w:after="0"/>
              <w:rPr>
                <w:sz w:val="20"/>
                <w:szCs w:val="20"/>
                <w:color w:val="auto"/>
              </w:rPr>
            </w:pPr>
            <w:r>
              <w:rPr>
                <w:rFonts w:ascii="Arial" w:cs="Arial" w:eastAsia="Arial" w:hAnsi="Arial"/>
                <w:sz w:val="20"/>
                <w:szCs w:val="20"/>
                <w:color w:val="auto"/>
              </w:rPr>
              <w:t>Foreign currency derivatives</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(722)</w:t>
            </w:r>
          </w:p>
        </w:tc>
        <w:tc>
          <w:tcPr>
            <w:tcW w:w="1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(722)</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line="220" w:lineRule="exact"/>
              <w:rPr>
                <w:sz w:val="20"/>
                <w:szCs w:val="20"/>
                <w:color w:val="auto"/>
              </w:rPr>
            </w:pPr>
            <w:r>
              <w:rPr>
                <w:rFonts w:ascii="Arial" w:cs="Arial" w:eastAsia="Arial" w:hAnsi="Arial"/>
                <w:sz w:val="20"/>
                <w:szCs w:val="20"/>
                <w:color w:val="auto"/>
              </w:rPr>
              <w:t>Total</w:t>
            </w: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434,257</w:t>
            </w:r>
          </w:p>
        </w:tc>
        <w:tc>
          <w:tcPr>
            <w:tcW w:w="4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44,109</w:t>
            </w:r>
          </w:p>
        </w:tc>
        <w:tc>
          <w:tcPr>
            <w:tcW w:w="1240" w:type="dxa"/>
            <w:vAlign w:val="bottom"/>
            <w:tcBorders>
              <w:bottom w:val="single" w:sz="8" w:color="auto"/>
            </w:tcBorders>
          </w:tcPr>
          <w:p>
            <w:pPr>
              <w:jc w:val="right"/>
              <w:ind w:right="92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478,366</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20"/>
                <w:szCs w:val="20"/>
                <w:color w:val="auto"/>
              </w:rPr>
              <w:t>Amounts included in:</w:t>
            </w: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48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40"/>
              <w:spacing w:after="0"/>
              <w:rPr>
                <w:sz w:val="20"/>
                <w:szCs w:val="20"/>
                <w:color w:val="auto"/>
              </w:rPr>
            </w:pPr>
            <w:r>
              <w:rPr>
                <w:rFonts w:ascii="Arial" w:cs="Arial" w:eastAsia="Arial" w:hAnsi="Arial"/>
                <w:sz w:val="20"/>
                <w:szCs w:val="20"/>
                <w:color w:val="auto"/>
              </w:rPr>
              <w:t>Cash and cash equivalents</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434,257</w:t>
            </w:r>
          </w:p>
        </w:tc>
        <w:tc>
          <w:tcPr>
            <w:tcW w:w="4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512</w:t>
            </w:r>
          </w:p>
        </w:tc>
        <w:tc>
          <w:tcPr>
            <w:tcW w:w="1240" w:type="dxa"/>
            <w:vAlign w:val="bottom"/>
          </w:tcPr>
          <w:p>
            <w:pPr>
              <w:jc w:val="right"/>
              <w:ind w:right="921"/>
              <w:spacing w:after="0"/>
              <w:rPr>
                <w:sz w:val="20"/>
                <w:szCs w:val="20"/>
                <w:color w:val="auto"/>
              </w:rPr>
            </w:pPr>
            <w:r>
              <w:rPr>
                <w:rFonts w:ascii="Arial" w:cs="Arial" w:eastAsia="Arial" w:hAnsi="Arial"/>
                <w:sz w:val="20"/>
                <w:szCs w:val="20"/>
                <w:color w:val="auto"/>
              </w:rPr>
              <w:t>$</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434,769</w:t>
            </w:r>
          </w:p>
        </w:tc>
        <w:tc>
          <w:tcPr>
            <w:tcW w:w="0" w:type="dxa"/>
            <w:vAlign w:val="bottom"/>
          </w:tcPr>
          <w:p>
            <w:pPr>
              <w:spacing w:after="0"/>
              <w:rPr>
                <w:sz w:val="1"/>
                <w:szCs w:val="1"/>
                <w:color w:val="auto"/>
              </w:rPr>
            </w:pPr>
          </w:p>
        </w:tc>
      </w:tr>
      <w:tr>
        <w:trPr>
          <w:trHeight w:val="230"/>
        </w:trPr>
        <w:tc>
          <w:tcPr>
            <w:tcW w:w="4820" w:type="dxa"/>
            <w:vAlign w:val="bottom"/>
          </w:tcPr>
          <w:p>
            <w:pPr>
              <w:ind w:left="40"/>
              <w:spacing w:after="0"/>
              <w:rPr>
                <w:sz w:val="20"/>
                <w:szCs w:val="20"/>
                <w:color w:val="auto"/>
              </w:rPr>
            </w:pPr>
            <w:r>
              <w:rPr>
                <w:rFonts w:ascii="Arial" w:cs="Arial" w:eastAsia="Arial" w:hAnsi="Arial"/>
                <w:sz w:val="20"/>
                <w:szCs w:val="20"/>
                <w:color w:val="auto"/>
              </w:rPr>
              <w:t>Short-term investments</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44,319</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44,319</w:t>
            </w:r>
          </w:p>
        </w:tc>
        <w:tc>
          <w:tcPr>
            <w:tcW w:w="0" w:type="dxa"/>
            <w:vAlign w:val="bottom"/>
          </w:tcPr>
          <w:p>
            <w:pPr>
              <w:spacing w:after="0"/>
              <w:rPr>
                <w:sz w:val="1"/>
                <w:szCs w:val="1"/>
                <w:color w:val="auto"/>
              </w:rPr>
            </w:pPr>
          </w:p>
        </w:tc>
      </w:tr>
      <w:tr>
        <w:trPr>
          <w:trHeight w:val="230"/>
        </w:trPr>
        <w:tc>
          <w:tcPr>
            <w:tcW w:w="4820" w:type="dxa"/>
            <w:vAlign w:val="bottom"/>
          </w:tcPr>
          <w:p>
            <w:pPr>
              <w:ind w:left="40"/>
              <w:spacing w:after="0"/>
              <w:rPr>
                <w:sz w:val="20"/>
                <w:szCs w:val="20"/>
                <w:color w:val="auto"/>
              </w:rPr>
            </w:pPr>
            <w:r>
              <w:rPr>
                <w:rFonts w:ascii="Arial" w:cs="Arial" w:eastAsia="Arial" w:hAnsi="Arial"/>
                <w:sz w:val="20"/>
                <w:szCs w:val="20"/>
                <w:color w:val="auto"/>
              </w:rPr>
              <w:t>Accounts receivable, net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184</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184</w:t>
            </w:r>
          </w:p>
        </w:tc>
        <w:tc>
          <w:tcPr>
            <w:tcW w:w="0" w:type="dxa"/>
            <w:vAlign w:val="bottom"/>
          </w:tcPr>
          <w:p>
            <w:pPr>
              <w:spacing w:after="0"/>
              <w:rPr>
                <w:sz w:val="1"/>
                <w:szCs w:val="1"/>
                <w:color w:val="auto"/>
              </w:rPr>
            </w:pPr>
          </w:p>
        </w:tc>
      </w:tr>
      <w:tr>
        <w:trPr>
          <w:trHeight w:val="230"/>
        </w:trPr>
        <w:tc>
          <w:tcPr>
            <w:tcW w:w="4820" w:type="dxa"/>
            <w:vAlign w:val="bottom"/>
          </w:tcPr>
          <w:p>
            <w:pPr>
              <w:ind w:left="40"/>
              <w:spacing w:after="0"/>
              <w:rPr>
                <w:sz w:val="20"/>
                <w:szCs w:val="20"/>
                <w:color w:val="auto"/>
              </w:rPr>
            </w:pPr>
            <w:r>
              <w:rPr>
                <w:rFonts w:ascii="Arial" w:cs="Arial" w:eastAsia="Arial" w:hAnsi="Arial"/>
                <w:sz w:val="20"/>
                <w:szCs w:val="20"/>
                <w:color w:val="auto"/>
              </w:rPr>
              <w:t>Investments</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4820" w:type="dxa"/>
            <w:vAlign w:val="bottom"/>
          </w:tcPr>
          <w:p>
            <w:pPr>
              <w:ind w:left="40"/>
              <w:spacing w:after="0"/>
              <w:rPr>
                <w:sz w:val="20"/>
                <w:szCs w:val="20"/>
                <w:color w:val="auto"/>
              </w:rPr>
            </w:pPr>
            <w:r>
              <w:rPr>
                <w:rFonts w:ascii="Arial" w:cs="Arial" w:eastAsia="Arial" w:hAnsi="Arial"/>
                <w:sz w:val="20"/>
                <w:szCs w:val="20"/>
                <w:color w:val="auto"/>
              </w:rPr>
              <w:t>Accrued liabilities</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(906)</w:t>
            </w:r>
          </w:p>
        </w:tc>
        <w:tc>
          <w:tcPr>
            <w:tcW w:w="1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(906)</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line="220" w:lineRule="exact"/>
              <w:rPr>
                <w:sz w:val="20"/>
                <w:szCs w:val="20"/>
                <w:color w:val="auto"/>
              </w:rPr>
            </w:pPr>
            <w:r>
              <w:rPr>
                <w:rFonts w:ascii="Arial" w:cs="Arial" w:eastAsia="Arial" w:hAnsi="Arial"/>
                <w:sz w:val="20"/>
                <w:szCs w:val="20"/>
                <w:color w:val="auto"/>
              </w:rPr>
              <w:t>Total</w:t>
            </w: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434,257</w:t>
            </w:r>
          </w:p>
        </w:tc>
        <w:tc>
          <w:tcPr>
            <w:tcW w:w="4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44,109</w:t>
            </w:r>
          </w:p>
        </w:tc>
        <w:tc>
          <w:tcPr>
            <w:tcW w:w="1240" w:type="dxa"/>
            <w:vAlign w:val="bottom"/>
            <w:tcBorders>
              <w:bottom w:val="single" w:sz="8" w:color="auto"/>
            </w:tcBorders>
          </w:tcPr>
          <w:p>
            <w:pPr>
              <w:jc w:val="right"/>
              <w:ind w:right="92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478,366</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8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December 31, 2015</w:t>
            </w: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Level 1</w:t>
            </w: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Level 2</w:t>
            </w: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Level 3</w:t>
            </w:r>
          </w:p>
        </w:tc>
        <w:tc>
          <w:tcPr>
            <w:tcW w:w="3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4820" w:type="dxa"/>
            <w:vAlign w:val="bottom"/>
          </w:tcPr>
          <w:p>
            <w:pPr>
              <w:spacing w:after="0" w:line="207" w:lineRule="exact"/>
              <w:rPr>
                <w:sz w:val="20"/>
                <w:szCs w:val="20"/>
                <w:color w:val="auto"/>
              </w:rPr>
            </w:pPr>
            <w:r>
              <w:rPr>
                <w:rFonts w:ascii="Arial" w:cs="Arial" w:eastAsia="Arial" w:hAnsi="Arial"/>
                <w:sz w:val="20"/>
                <w:szCs w:val="20"/>
                <w:color w:val="auto"/>
              </w:rPr>
              <w:t>Cash</w:t>
            </w:r>
          </w:p>
        </w:tc>
        <w:tc>
          <w:tcPr>
            <w:tcW w:w="36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280" w:type="dxa"/>
            <w:vAlign w:val="bottom"/>
          </w:tcPr>
          <w:p>
            <w:pPr>
              <w:jc w:val="right"/>
              <w:ind w:right="41"/>
              <w:spacing w:after="0" w:line="207" w:lineRule="exact"/>
              <w:rPr>
                <w:sz w:val="20"/>
                <w:szCs w:val="20"/>
                <w:color w:val="auto"/>
              </w:rPr>
            </w:pPr>
            <w:r>
              <w:rPr>
                <w:rFonts w:ascii="Arial" w:cs="Arial" w:eastAsia="Arial" w:hAnsi="Arial"/>
                <w:sz w:val="20"/>
                <w:szCs w:val="20"/>
                <w:color w:val="auto"/>
              </w:rPr>
              <w:t>255,723</w:t>
            </w:r>
          </w:p>
        </w:tc>
        <w:tc>
          <w:tcPr>
            <w:tcW w:w="40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30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240" w:type="dxa"/>
            <w:vAlign w:val="bottom"/>
          </w:tcPr>
          <w:p>
            <w:pPr>
              <w:jc w:val="right"/>
              <w:ind w:right="921"/>
              <w:spacing w:after="0" w:line="207" w:lineRule="exact"/>
              <w:rPr>
                <w:sz w:val="20"/>
                <w:szCs w:val="20"/>
                <w:color w:val="auto"/>
              </w:rPr>
            </w:pPr>
            <w:r>
              <w:rPr>
                <w:rFonts w:ascii="Arial" w:cs="Arial" w:eastAsia="Arial" w:hAnsi="Arial"/>
                <w:sz w:val="20"/>
                <w:szCs w:val="20"/>
                <w:color w:val="auto"/>
              </w:rPr>
              <w:t>$</w:t>
            </w:r>
          </w:p>
        </w:tc>
        <w:tc>
          <w:tcPr>
            <w:tcW w:w="36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440" w:type="dxa"/>
            <w:vAlign w:val="bottom"/>
          </w:tcPr>
          <w:p>
            <w:pPr>
              <w:jc w:val="right"/>
              <w:ind w:right="101"/>
              <w:spacing w:after="0" w:line="207" w:lineRule="exact"/>
              <w:rPr>
                <w:sz w:val="20"/>
                <w:szCs w:val="20"/>
                <w:color w:val="auto"/>
              </w:rPr>
            </w:pPr>
            <w:r>
              <w:rPr>
                <w:rFonts w:ascii="Arial" w:cs="Arial" w:eastAsia="Arial" w:hAnsi="Arial"/>
                <w:sz w:val="20"/>
                <w:szCs w:val="20"/>
                <w:color w:val="auto"/>
              </w:rPr>
              <w:t>$</w:t>
            </w:r>
          </w:p>
        </w:tc>
        <w:tc>
          <w:tcPr>
            <w:tcW w:w="1220" w:type="dxa"/>
            <w:vAlign w:val="bottom"/>
          </w:tcPr>
          <w:p>
            <w:pPr>
              <w:jc w:val="right"/>
              <w:ind w:right="61"/>
              <w:spacing w:after="0" w:line="207" w:lineRule="exact"/>
              <w:rPr>
                <w:sz w:val="20"/>
                <w:szCs w:val="20"/>
                <w:color w:val="auto"/>
              </w:rPr>
            </w:pPr>
            <w:r>
              <w:rPr>
                <w:rFonts w:ascii="Arial" w:cs="Arial" w:eastAsia="Arial" w:hAnsi="Arial"/>
                <w:sz w:val="20"/>
                <w:szCs w:val="20"/>
                <w:color w:val="auto"/>
              </w:rPr>
              <w:t>255,723</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20"/>
                <w:szCs w:val="20"/>
                <w:color w:val="auto"/>
              </w:rPr>
              <w:t>Money market funds</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664,005</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664,005</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20"/>
                <w:szCs w:val="20"/>
                <w:color w:val="auto"/>
              </w:rPr>
              <w:t>Certificates of deposit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85,007</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85,007</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20"/>
                <w:szCs w:val="20"/>
                <w:color w:val="auto"/>
              </w:rPr>
              <w:t>Commercial paper</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430,605</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430,605</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20"/>
                <w:szCs w:val="20"/>
                <w:color w:val="auto"/>
              </w:rPr>
              <w:t>U.S. Treasuries</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260,035</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260,035</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20"/>
                <w:szCs w:val="20"/>
                <w:color w:val="auto"/>
              </w:rPr>
              <w:t>Municipal securities</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731,744</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731,744</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20"/>
                <w:szCs w:val="20"/>
                <w:color w:val="auto"/>
              </w:rPr>
              <w:t>U.S. government agency securities</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508,256</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508,256</w:t>
            </w:r>
          </w:p>
        </w:tc>
        <w:tc>
          <w:tcPr>
            <w:tcW w:w="0" w:type="dxa"/>
            <w:vAlign w:val="bottom"/>
          </w:tcPr>
          <w:p>
            <w:pPr>
              <w:spacing w:after="0"/>
              <w:rPr>
                <w:sz w:val="1"/>
                <w:szCs w:val="1"/>
                <w:color w:val="auto"/>
              </w:rPr>
            </w:pPr>
          </w:p>
        </w:tc>
      </w:tr>
      <w:tr>
        <w:trPr>
          <w:trHeight w:val="240"/>
        </w:trPr>
        <w:tc>
          <w:tcPr>
            <w:tcW w:w="4820" w:type="dxa"/>
            <w:vAlign w:val="bottom"/>
          </w:tcPr>
          <w:p>
            <w:pPr>
              <w:spacing w:after="0"/>
              <w:rPr>
                <w:sz w:val="20"/>
                <w:szCs w:val="20"/>
                <w:color w:val="auto"/>
              </w:rPr>
            </w:pPr>
            <w:r>
              <w:rPr>
                <w:rFonts w:ascii="Arial" w:cs="Arial" w:eastAsia="Arial" w:hAnsi="Arial"/>
                <w:sz w:val="20"/>
                <w:szCs w:val="20"/>
                <w:color w:val="auto"/>
              </w:rPr>
              <w:t>Foreign currency derivatives</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(217)</w:t>
            </w:r>
          </w:p>
        </w:tc>
        <w:tc>
          <w:tcPr>
            <w:tcW w:w="1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(217)</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line="220" w:lineRule="exact"/>
              <w:rPr>
                <w:sz w:val="20"/>
                <w:szCs w:val="20"/>
                <w:color w:val="auto"/>
              </w:rPr>
            </w:pPr>
            <w:r>
              <w:rPr>
                <w:rFonts w:ascii="Arial" w:cs="Arial" w:eastAsia="Arial" w:hAnsi="Arial"/>
                <w:sz w:val="20"/>
                <w:szCs w:val="20"/>
                <w:color w:val="auto"/>
              </w:rPr>
              <w:t>Total</w:t>
            </w: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919,728</w:t>
            </w:r>
          </w:p>
        </w:tc>
        <w:tc>
          <w:tcPr>
            <w:tcW w:w="4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2,015,430</w:t>
            </w:r>
          </w:p>
        </w:tc>
        <w:tc>
          <w:tcPr>
            <w:tcW w:w="1240" w:type="dxa"/>
            <w:vAlign w:val="bottom"/>
            <w:tcBorders>
              <w:bottom w:val="single" w:sz="8" w:color="auto"/>
            </w:tcBorders>
          </w:tcPr>
          <w:p>
            <w:pPr>
              <w:jc w:val="right"/>
              <w:ind w:right="92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2,935,158</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20"/>
                <w:szCs w:val="20"/>
                <w:color w:val="auto"/>
              </w:rPr>
              <w:t>Amounts included in:</w:t>
            </w: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48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40"/>
              <w:spacing w:after="0"/>
              <w:rPr>
                <w:sz w:val="20"/>
                <w:szCs w:val="20"/>
                <w:color w:val="auto"/>
              </w:rPr>
            </w:pPr>
            <w:r>
              <w:rPr>
                <w:rFonts w:ascii="Arial" w:cs="Arial" w:eastAsia="Arial" w:hAnsi="Arial"/>
                <w:sz w:val="20"/>
                <w:szCs w:val="20"/>
                <w:color w:val="auto"/>
              </w:rPr>
              <w:t>Cash and cash equivalents</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919,728</w:t>
            </w:r>
          </w:p>
        </w:tc>
        <w:tc>
          <w:tcPr>
            <w:tcW w:w="4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1,255,689</w:t>
            </w:r>
          </w:p>
        </w:tc>
        <w:tc>
          <w:tcPr>
            <w:tcW w:w="1240" w:type="dxa"/>
            <w:vAlign w:val="bottom"/>
          </w:tcPr>
          <w:p>
            <w:pPr>
              <w:jc w:val="right"/>
              <w:ind w:right="921"/>
              <w:spacing w:after="0"/>
              <w:rPr>
                <w:sz w:val="20"/>
                <w:szCs w:val="20"/>
                <w:color w:val="auto"/>
              </w:rPr>
            </w:pPr>
            <w:r>
              <w:rPr>
                <w:rFonts w:ascii="Arial" w:cs="Arial" w:eastAsia="Arial" w:hAnsi="Arial"/>
                <w:sz w:val="20"/>
                <w:szCs w:val="20"/>
                <w:color w:val="auto"/>
              </w:rPr>
              <w:t>$</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2,175,417</w:t>
            </w:r>
          </w:p>
        </w:tc>
        <w:tc>
          <w:tcPr>
            <w:tcW w:w="0" w:type="dxa"/>
            <w:vAlign w:val="bottom"/>
          </w:tcPr>
          <w:p>
            <w:pPr>
              <w:spacing w:after="0"/>
              <w:rPr>
                <w:sz w:val="1"/>
                <w:szCs w:val="1"/>
                <w:color w:val="auto"/>
              </w:rPr>
            </w:pPr>
          </w:p>
        </w:tc>
      </w:tr>
      <w:tr>
        <w:trPr>
          <w:trHeight w:val="230"/>
        </w:trPr>
        <w:tc>
          <w:tcPr>
            <w:tcW w:w="4820" w:type="dxa"/>
            <w:vAlign w:val="bottom"/>
          </w:tcPr>
          <w:p>
            <w:pPr>
              <w:ind w:left="40"/>
              <w:spacing w:after="0"/>
              <w:rPr>
                <w:sz w:val="20"/>
                <w:szCs w:val="20"/>
                <w:color w:val="auto"/>
              </w:rPr>
            </w:pPr>
            <w:r>
              <w:rPr>
                <w:rFonts w:ascii="Arial" w:cs="Arial" w:eastAsia="Arial" w:hAnsi="Arial"/>
                <w:sz w:val="20"/>
                <w:szCs w:val="20"/>
                <w:color w:val="auto"/>
              </w:rPr>
              <w:t>Short-term investments</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744,610</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744,610</w:t>
            </w:r>
          </w:p>
        </w:tc>
        <w:tc>
          <w:tcPr>
            <w:tcW w:w="0" w:type="dxa"/>
            <w:vAlign w:val="bottom"/>
          </w:tcPr>
          <w:p>
            <w:pPr>
              <w:spacing w:after="0"/>
              <w:rPr>
                <w:sz w:val="1"/>
                <w:szCs w:val="1"/>
                <w:color w:val="auto"/>
              </w:rPr>
            </w:pPr>
          </w:p>
        </w:tc>
      </w:tr>
      <w:tr>
        <w:trPr>
          <w:trHeight w:val="230"/>
        </w:trPr>
        <w:tc>
          <w:tcPr>
            <w:tcW w:w="4820" w:type="dxa"/>
            <w:vAlign w:val="bottom"/>
          </w:tcPr>
          <w:p>
            <w:pPr>
              <w:ind w:left="40"/>
              <w:spacing w:after="0"/>
              <w:rPr>
                <w:sz w:val="20"/>
                <w:szCs w:val="20"/>
                <w:color w:val="auto"/>
              </w:rPr>
            </w:pPr>
            <w:r>
              <w:rPr>
                <w:rFonts w:ascii="Arial" w:cs="Arial" w:eastAsia="Arial" w:hAnsi="Arial"/>
                <w:sz w:val="20"/>
                <w:szCs w:val="20"/>
                <w:color w:val="auto"/>
              </w:rPr>
              <w:t>Accounts receivable, net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371</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371</w:t>
            </w:r>
          </w:p>
        </w:tc>
        <w:tc>
          <w:tcPr>
            <w:tcW w:w="0" w:type="dxa"/>
            <w:vAlign w:val="bottom"/>
          </w:tcPr>
          <w:p>
            <w:pPr>
              <w:spacing w:after="0"/>
              <w:rPr>
                <w:sz w:val="1"/>
                <w:szCs w:val="1"/>
                <w:color w:val="auto"/>
              </w:rPr>
            </w:pPr>
          </w:p>
        </w:tc>
      </w:tr>
      <w:tr>
        <w:trPr>
          <w:trHeight w:val="230"/>
        </w:trPr>
        <w:tc>
          <w:tcPr>
            <w:tcW w:w="4820" w:type="dxa"/>
            <w:vAlign w:val="bottom"/>
          </w:tcPr>
          <w:p>
            <w:pPr>
              <w:ind w:left="40"/>
              <w:spacing w:after="0"/>
              <w:rPr>
                <w:sz w:val="20"/>
                <w:szCs w:val="20"/>
                <w:color w:val="auto"/>
              </w:rPr>
            </w:pPr>
            <w:r>
              <w:rPr>
                <w:rFonts w:ascii="Arial" w:cs="Arial" w:eastAsia="Arial" w:hAnsi="Arial"/>
                <w:sz w:val="20"/>
                <w:szCs w:val="20"/>
                <w:color w:val="auto"/>
              </w:rPr>
              <w:t>Investments</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15,348</w:t>
            </w:r>
          </w:p>
        </w:tc>
        <w:tc>
          <w:tcPr>
            <w:tcW w:w="1240" w:type="dxa"/>
            <w:vAlign w:val="bottom"/>
          </w:tcPr>
          <w:p>
            <w:pPr>
              <w:spacing w:after="0"/>
              <w:rPr>
                <w:sz w:val="19"/>
                <w:szCs w:val="19"/>
                <w:color w:val="auto"/>
              </w:rPr>
            </w:pP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15,348</w:t>
            </w:r>
          </w:p>
        </w:tc>
        <w:tc>
          <w:tcPr>
            <w:tcW w:w="0" w:type="dxa"/>
            <w:vAlign w:val="bottom"/>
          </w:tcPr>
          <w:p>
            <w:pPr>
              <w:spacing w:after="0"/>
              <w:rPr>
                <w:sz w:val="1"/>
                <w:szCs w:val="1"/>
                <w:color w:val="auto"/>
              </w:rPr>
            </w:pPr>
          </w:p>
        </w:tc>
      </w:tr>
      <w:tr>
        <w:trPr>
          <w:trHeight w:val="240"/>
        </w:trPr>
        <w:tc>
          <w:tcPr>
            <w:tcW w:w="4820" w:type="dxa"/>
            <w:vAlign w:val="bottom"/>
          </w:tcPr>
          <w:p>
            <w:pPr>
              <w:ind w:left="40"/>
              <w:spacing w:after="0"/>
              <w:rPr>
                <w:sz w:val="20"/>
                <w:szCs w:val="20"/>
                <w:color w:val="auto"/>
              </w:rPr>
            </w:pPr>
            <w:r>
              <w:rPr>
                <w:rFonts w:ascii="Arial" w:cs="Arial" w:eastAsia="Arial" w:hAnsi="Arial"/>
                <w:sz w:val="20"/>
                <w:szCs w:val="20"/>
                <w:color w:val="auto"/>
              </w:rPr>
              <w:t>Accrued liabilities</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(588)</w:t>
            </w:r>
          </w:p>
        </w:tc>
        <w:tc>
          <w:tcPr>
            <w:tcW w:w="1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(588)</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line="220" w:lineRule="exact"/>
              <w:rPr>
                <w:sz w:val="20"/>
                <w:szCs w:val="20"/>
                <w:color w:val="auto"/>
              </w:rPr>
            </w:pPr>
            <w:r>
              <w:rPr>
                <w:rFonts w:ascii="Arial" w:cs="Arial" w:eastAsia="Arial" w:hAnsi="Arial"/>
                <w:sz w:val="20"/>
                <w:szCs w:val="20"/>
                <w:color w:val="auto"/>
              </w:rPr>
              <w:t>Total</w:t>
            </w: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919,728</w:t>
            </w:r>
          </w:p>
        </w:tc>
        <w:tc>
          <w:tcPr>
            <w:tcW w:w="4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2,015,430</w:t>
            </w:r>
          </w:p>
        </w:tc>
        <w:tc>
          <w:tcPr>
            <w:tcW w:w="1240" w:type="dxa"/>
            <w:vAlign w:val="bottom"/>
            <w:tcBorders>
              <w:bottom w:val="single" w:sz="8" w:color="auto"/>
            </w:tcBorders>
          </w:tcPr>
          <w:p>
            <w:pPr>
              <w:jc w:val="right"/>
              <w:ind w:right="92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2,935,158</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All of the Company’s short-term investments are classified within Level 1 or Level 2 of the fair value hierarchy. The Company’s valuation of its Level 1 investments, which include money market funds, is based on quoted market prices in active markets for identical securities. The Company’s valuation of its Level 2 investments, which include municipal securities at June 30, 2016 and commercial paper, U.S. Treasuries, certificates of deposit, municipal securities and U.S. government agency securities at December 31, 2015, is based on other observable inputs, specifically a market approach which utilizes valuation models, pricing systems, mathematical tools and other relevant information for the same or similar securities. The Company’s valuation of its Level 2 foreign exchange contracts is based on quoted market prices of the same or similar instruments, adjusted for counterparty risk. There were no transfers between Level 1 and Level 2 measurements during the six-months ended June 30, 2016 or the year ended December 31, 2015, and there were no changes in the Company’s valuation techniques.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DERIVATIVE INSTRUMENTS AND HEDGING ACTIVITIES</w:t>
      </w:r>
    </w:p>
    <w:p>
      <w:pPr>
        <w:spacing w:after="0" w:line="22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Company is exposed to foreign currency exchange rate risks related primarily to its foreign business operations. During the six-months ended June 30, 2016 and the year ended December 31, 2015, the Company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of the Company that were outstanding as of June 30, 2016 have terms of one month or less. The Company does not enter into forward currency exchange contracts for speculation or trading purposes.</w:t>
      </w:r>
    </w:p>
    <w:p>
      <w:pPr>
        <w:spacing w:after="0" w:line="21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Company has not designated its foreign currency exchange contracts as hedge transactions under ASC 815. Therefore, gains and losses on the Company’s foreign currency exchange contracts are recognized in interest and other (expense) income, net, in the condensed consolidated statements of income, and are largely offset by the changes in the fair value of the underlying economically hedged item.</w:t>
      </w:r>
    </w:p>
    <w:p>
      <w:pPr>
        <w:spacing w:after="0" w:line="16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notional amount and fair value of all outstanding foreign currency derivative instruments in the condensed consolidated balance sheets consist of the following at: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June 30, 2016</w:t>
      </w:r>
    </w:p>
    <w:p>
      <w:pPr>
        <w:spacing w:after="0" w:line="20" w:lineRule="exact"/>
        <w:rPr>
          <w:sz w:val="20"/>
          <w:szCs w:val="20"/>
          <w:color w:val="auto"/>
        </w:rPr>
      </w:pPr>
    </w:p>
    <w:p>
      <w:pPr>
        <w:sectPr>
          <w:pgSz w:w="11900" w:h="16881" w:orient="portrait"/>
          <w:cols w:equalWidth="0" w:num="1">
            <w:col w:w="11420"/>
          </w:cols>
          <w:pgMar w:left="240" w:top="122" w:right="239" w:bottom="0" w:gutter="0" w:footer="0" w:header="0"/>
        </w:sectPr>
      </w:pPr>
    </w:p>
    <w:bookmarkStart w:id="11" w:name="page12"/>
    <w:bookmarkEnd w:id="11"/>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940" w:type="dxa"/>
            <w:vAlign w:val="bottom"/>
            <w:gridSpan w:val="2"/>
          </w:tcPr>
          <w:p>
            <w:pPr>
              <w:jc w:val="center"/>
              <w:ind w:right="300"/>
              <w:spacing w:after="0"/>
              <w:rPr>
                <w:sz w:val="20"/>
                <w:szCs w:val="20"/>
                <w:color w:val="auto"/>
              </w:rPr>
            </w:pPr>
            <w:r>
              <w:rPr>
                <w:rFonts w:ascii="Arial" w:cs="Arial" w:eastAsia="Arial" w:hAnsi="Arial"/>
                <w:sz w:val="20"/>
                <w:szCs w:val="20"/>
                <w:color w:val="auto"/>
                <w:w w:val="88"/>
              </w:rPr>
              <w:t>Derivatives not designated as</w:t>
            </w:r>
          </w:p>
        </w:tc>
        <w:tc>
          <w:tcPr>
            <w:tcW w:w="320" w:type="dxa"/>
            <w:vAlign w:val="bottom"/>
          </w:tcPr>
          <w:p>
            <w:pPr>
              <w:spacing w:after="0"/>
              <w:rPr>
                <w:sz w:val="20"/>
                <w:szCs w:val="20"/>
                <w:color w:val="auto"/>
              </w:rPr>
            </w:pPr>
          </w:p>
        </w:tc>
        <w:tc>
          <w:tcPr>
            <w:tcW w:w="1560" w:type="dxa"/>
            <w:vAlign w:val="bottom"/>
            <w:gridSpan w:val="2"/>
          </w:tcPr>
          <w:p>
            <w:pPr>
              <w:ind w:left="140"/>
              <w:spacing w:after="0"/>
              <w:rPr>
                <w:sz w:val="20"/>
                <w:szCs w:val="20"/>
                <w:color w:val="auto"/>
              </w:rPr>
            </w:pPr>
            <w:r>
              <w:rPr>
                <w:rFonts w:ascii="Arial" w:cs="Arial" w:eastAsia="Arial" w:hAnsi="Arial"/>
                <w:sz w:val="20"/>
                <w:szCs w:val="20"/>
                <w:color w:val="auto"/>
              </w:rPr>
              <w:t>Notional</w:t>
            </w:r>
          </w:p>
        </w:tc>
        <w:tc>
          <w:tcPr>
            <w:tcW w:w="380" w:type="dxa"/>
            <w:vAlign w:val="bottom"/>
          </w:tcPr>
          <w:p>
            <w:pPr>
              <w:spacing w:after="0"/>
              <w:rPr>
                <w:sz w:val="20"/>
                <w:szCs w:val="20"/>
                <w:color w:val="auto"/>
              </w:rPr>
            </w:pPr>
          </w:p>
        </w:tc>
        <w:tc>
          <w:tcPr>
            <w:tcW w:w="1500" w:type="dxa"/>
            <w:vAlign w:val="bottom"/>
            <w:gridSpan w:val="2"/>
          </w:tcPr>
          <w:p>
            <w:pPr>
              <w:jc w:val="center"/>
              <w:ind w:right="660"/>
              <w:spacing w:after="0"/>
              <w:rPr>
                <w:sz w:val="20"/>
                <w:szCs w:val="20"/>
                <w:color w:val="auto"/>
              </w:rPr>
            </w:pPr>
            <w:r>
              <w:rPr>
                <w:rFonts w:ascii="Arial" w:cs="Arial" w:eastAsia="Arial" w:hAnsi="Arial"/>
                <w:sz w:val="20"/>
                <w:szCs w:val="20"/>
                <w:color w:val="auto"/>
                <w:w w:val="92"/>
              </w:rPr>
              <w:t>Fair</w:t>
            </w:r>
          </w:p>
        </w:tc>
        <w:tc>
          <w:tcPr>
            <w:tcW w:w="2720" w:type="dxa"/>
            <w:vAlign w:val="bottom"/>
          </w:tcPr>
          <w:p>
            <w:pPr>
              <w:ind w:left="420"/>
              <w:spacing w:after="0"/>
              <w:rPr>
                <w:sz w:val="20"/>
                <w:szCs w:val="20"/>
                <w:color w:val="auto"/>
              </w:rPr>
            </w:pPr>
            <w:r>
              <w:rPr>
                <w:rFonts w:ascii="Arial" w:cs="Arial" w:eastAsia="Arial" w:hAnsi="Arial"/>
                <w:sz w:val="20"/>
                <w:szCs w:val="20"/>
                <w:color w:val="auto"/>
              </w:rPr>
              <w:t>Balance Sheet Location</w:t>
            </w:r>
          </w:p>
        </w:tc>
        <w:tc>
          <w:tcPr>
            <w:tcW w:w="40" w:type="dxa"/>
            <w:vAlign w:val="bottom"/>
          </w:tcPr>
          <w:p>
            <w:pPr>
              <w:spacing w:after="0"/>
              <w:rPr>
                <w:sz w:val="20"/>
                <w:szCs w:val="20"/>
                <w:color w:val="auto"/>
              </w:rPr>
            </w:pPr>
          </w:p>
        </w:tc>
      </w:tr>
      <w:tr>
        <w:trPr>
          <w:trHeight w:val="230"/>
        </w:trPr>
        <w:tc>
          <w:tcPr>
            <w:tcW w:w="4940" w:type="dxa"/>
            <w:vAlign w:val="bottom"/>
            <w:gridSpan w:val="2"/>
          </w:tcPr>
          <w:p>
            <w:pPr>
              <w:jc w:val="center"/>
              <w:ind w:right="300"/>
              <w:spacing w:after="0"/>
              <w:rPr>
                <w:sz w:val="20"/>
                <w:szCs w:val="20"/>
                <w:color w:val="auto"/>
              </w:rPr>
            </w:pPr>
            <w:r>
              <w:rPr>
                <w:rFonts w:ascii="Arial" w:cs="Arial" w:eastAsia="Arial" w:hAnsi="Arial"/>
                <w:sz w:val="20"/>
                <w:szCs w:val="20"/>
                <w:color w:val="auto"/>
                <w:w w:val="89"/>
              </w:rPr>
              <w:t>hedging instruments under</w:t>
            </w:r>
          </w:p>
        </w:tc>
        <w:tc>
          <w:tcPr>
            <w:tcW w:w="320" w:type="dxa"/>
            <w:vAlign w:val="bottom"/>
          </w:tcPr>
          <w:p>
            <w:pPr>
              <w:spacing w:after="0"/>
              <w:rPr>
                <w:sz w:val="19"/>
                <w:szCs w:val="19"/>
                <w:color w:val="auto"/>
              </w:rPr>
            </w:pPr>
          </w:p>
        </w:tc>
        <w:tc>
          <w:tcPr>
            <w:tcW w:w="1560" w:type="dxa"/>
            <w:vAlign w:val="bottom"/>
            <w:gridSpan w:val="2"/>
          </w:tcPr>
          <w:p>
            <w:pPr>
              <w:ind w:left="160"/>
              <w:spacing w:after="0"/>
              <w:rPr>
                <w:sz w:val="20"/>
                <w:szCs w:val="20"/>
                <w:color w:val="auto"/>
              </w:rPr>
            </w:pPr>
            <w:r>
              <w:rPr>
                <w:rFonts w:ascii="Arial" w:cs="Arial" w:eastAsia="Arial" w:hAnsi="Arial"/>
                <w:sz w:val="20"/>
                <w:szCs w:val="20"/>
                <w:color w:val="auto"/>
              </w:rPr>
              <w:t>Amount</w:t>
            </w:r>
          </w:p>
        </w:tc>
        <w:tc>
          <w:tcPr>
            <w:tcW w:w="380" w:type="dxa"/>
            <w:vAlign w:val="bottom"/>
          </w:tcPr>
          <w:p>
            <w:pPr>
              <w:spacing w:after="0"/>
              <w:rPr>
                <w:sz w:val="19"/>
                <w:szCs w:val="19"/>
                <w:color w:val="auto"/>
              </w:rPr>
            </w:pPr>
          </w:p>
        </w:tc>
        <w:tc>
          <w:tcPr>
            <w:tcW w:w="1500" w:type="dxa"/>
            <w:vAlign w:val="bottom"/>
            <w:gridSpan w:val="2"/>
          </w:tcPr>
          <w:p>
            <w:pPr>
              <w:jc w:val="center"/>
              <w:ind w:right="660"/>
              <w:spacing w:after="0"/>
              <w:rPr>
                <w:sz w:val="20"/>
                <w:szCs w:val="20"/>
                <w:color w:val="auto"/>
              </w:rPr>
            </w:pPr>
            <w:r>
              <w:rPr>
                <w:rFonts w:ascii="Arial" w:cs="Arial" w:eastAsia="Arial" w:hAnsi="Arial"/>
                <w:sz w:val="20"/>
                <w:szCs w:val="20"/>
                <w:color w:val="auto"/>
                <w:w w:val="85"/>
              </w:rPr>
              <w:t>Value</w:t>
            </w:r>
          </w:p>
        </w:tc>
        <w:tc>
          <w:tcPr>
            <w:tcW w:w="27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6"/>
        </w:trPr>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FASB ASC 815-20</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r>
      <w:tr>
        <w:trPr>
          <w:trHeight w:val="314"/>
        </w:trPr>
        <w:tc>
          <w:tcPr>
            <w:tcW w:w="4940" w:type="dxa"/>
            <w:vAlign w:val="bottom"/>
            <w:gridSpan w:val="2"/>
          </w:tcPr>
          <w:p>
            <w:pPr>
              <w:spacing w:after="0"/>
              <w:rPr>
                <w:sz w:val="20"/>
                <w:szCs w:val="20"/>
                <w:color w:val="auto"/>
              </w:rPr>
            </w:pPr>
            <w:r>
              <w:rPr>
                <w:rFonts w:ascii="Arial" w:cs="Arial" w:eastAsia="Arial" w:hAnsi="Arial"/>
                <w:sz w:val="20"/>
                <w:szCs w:val="20"/>
                <w:color w:val="auto"/>
              </w:rPr>
              <w:t>Assets:</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4940" w:type="dxa"/>
            <w:vAlign w:val="bottom"/>
            <w:gridSpan w:val="2"/>
          </w:tcPr>
          <w:p>
            <w:pPr>
              <w:ind w:left="360"/>
              <w:spacing w:after="0"/>
              <w:rPr>
                <w:sz w:val="20"/>
                <w:szCs w:val="20"/>
                <w:color w:val="auto"/>
              </w:rPr>
            </w:pPr>
            <w:r>
              <w:rPr>
                <w:rFonts w:ascii="Arial" w:cs="Arial" w:eastAsia="Arial" w:hAnsi="Arial"/>
                <w:sz w:val="20"/>
                <w:szCs w:val="20"/>
                <w:color w:val="auto"/>
              </w:rPr>
              <w:t>Foreign currency exchange contracts:</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940" w:type="dxa"/>
            <w:vAlign w:val="bottom"/>
            <w:gridSpan w:val="2"/>
          </w:tcPr>
          <w:p>
            <w:pPr>
              <w:ind w:left="860"/>
              <w:spacing w:after="0"/>
              <w:rPr>
                <w:sz w:val="20"/>
                <w:szCs w:val="20"/>
                <w:color w:val="auto"/>
              </w:rPr>
            </w:pPr>
            <w:r>
              <w:rPr>
                <w:rFonts w:ascii="Arial" w:cs="Arial" w:eastAsia="Arial" w:hAnsi="Arial"/>
                <w:sz w:val="20"/>
                <w:szCs w:val="20"/>
                <w:color w:val="auto"/>
              </w:rPr>
              <w:t>Receive USD/pay GBP</w:t>
            </w:r>
          </w:p>
        </w:tc>
        <w:tc>
          <w:tcPr>
            <w:tcW w:w="3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16,141</w:t>
            </w:r>
          </w:p>
        </w:tc>
        <w:tc>
          <w:tcPr>
            <w:tcW w:w="280" w:type="dxa"/>
            <w:vAlign w:val="bottom"/>
          </w:tcPr>
          <w:p>
            <w:pPr>
              <w:spacing w:after="0"/>
              <w:rPr>
                <w:sz w:val="19"/>
                <w:szCs w:val="19"/>
                <w:color w:val="auto"/>
              </w:rPr>
            </w:pP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110</w:t>
            </w:r>
          </w:p>
        </w:tc>
        <w:tc>
          <w:tcPr>
            <w:tcW w:w="30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40" w:type="dxa"/>
            <w:vAlign w:val="bottom"/>
          </w:tcPr>
          <w:p>
            <w:pPr>
              <w:spacing w:after="0"/>
              <w:rPr>
                <w:sz w:val="19"/>
                <w:szCs w:val="19"/>
                <w:color w:val="auto"/>
              </w:rPr>
            </w:pPr>
          </w:p>
        </w:tc>
      </w:tr>
      <w:tr>
        <w:trPr>
          <w:trHeight w:val="230"/>
        </w:trPr>
        <w:tc>
          <w:tcPr>
            <w:tcW w:w="4940" w:type="dxa"/>
            <w:vAlign w:val="bottom"/>
            <w:gridSpan w:val="2"/>
          </w:tcPr>
          <w:p>
            <w:pPr>
              <w:ind w:left="860"/>
              <w:spacing w:after="0"/>
              <w:rPr>
                <w:sz w:val="20"/>
                <w:szCs w:val="20"/>
                <w:color w:val="auto"/>
              </w:rPr>
            </w:pPr>
            <w:r>
              <w:rPr>
                <w:rFonts w:ascii="Arial" w:cs="Arial" w:eastAsia="Arial" w:hAnsi="Arial"/>
                <w:sz w:val="20"/>
                <w:szCs w:val="20"/>
                <w:color w:val="auto"/>
              </w:rPr>
              <w:t>Receive EUR/pay USD</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28,473</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57</w:t>
            </w:r>
          </w:p>
        </w:tc>
        <w:tc>
          <w:tcPr>
            <w:tcW w:w="30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40" w:type="dxa"/>
            <w:vAlign w:val="bottom"/>
          </w:tcPr>
          <w:p>
            <w:pPr>
              <w:spacing w:after="0"/>
              <w:rPr>
                <w:sz w:val="19"/>
                <w:szCs w:val="19"/>
                <w:color w:val="auto"/>
              </w:rPr>
            </w:pPr>
          </w:p>
        </w:tc>
      </w:tr>
      <w:tr>
        <w:trPr>
          <w:trHeight w:val="250"/>
        </w:trPr>
        <w:tc>
          <w:tcPr>
            <w:tcW w:w="4940" w:type="dxa"/>
            <w:vAlign w:val="bottom"/>
            <w:gridSpan w:val="2"/>
          </w:tcPr>
          <w:p>
            <w:pPr>
              <w:ind w:left="860"/>
              <w:spacing w:after="0"/>
              <w:rPr>
                <w:sz w:val="20"/>
                <w:szCs w:val="20"/>
                <w:color w:val="auto"/>
              </w:rPr>
            </w:pPr>
            <w:r>
              <w:rPr>
                <w:rFonts w:ascii="Arial" w:cs="Arial" w:eastAsia="Arial" w:hAnsi="Arial"/>
                <w:sz w:val="20"/>
                <w:szCs w:val="20"/>
                <w:color w:val="auto"/>
              </w:rPr>
              <w:t>Receive SGD/pay USD</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6,734</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17</w:t>
            </w:r>
          </w:p>
        </w:tc>
        <w:tc>
          <w:tcPr>
            <w:tcW w:w="300" w:type="dxa"/>
            <w:vAlign w:val="bottom"/>
          </w:tcPr>
          <w:p>
            <w:pPr>
              <w:spacing w:after="0"/>
              <w:rPr>
                <w:sz w:val="21"/>
                <w:szCs w:val="21"/>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40" w:type="dxa"/>
            <w:vAlign w:val="bottom"/>
          </w:tcPr>
          <w:p>
            <w:pPr>
              <w:spacing w:after="0"/>
              <w:rPr>
                <w:sz w:val="21"/>
                <w:szCs w:val="21"/>
                <w:color w:val="auto"/>
              </w:rPr>
            </w:pPr>
          </w:p>
        </w:tc>
      </w:tr>
      <w:tr>
        <w:trPr>
          <w:trHeight w:val="641"/>
        </w:trPr>
        <w:tc>
          <w:tcPr>
            <w:tcW w:w="4940" w:type="dxa"/>
            <w:vAlign w:val="bottom"/>
            <w:gridSpan w:val="2"/>
          </w:tcPr>
          <w:p>
            <w:pPr>
              <w:spacing w:after="0"/>
              <w:rPr>
                <w:sz w:val="20"/>
                <w:szCs w:val="20"/>
                <w:color w:val="auto"/>
              </w:rPr>
            </w:pPr>
            <w:r>
              <w:rPr>
                <w:rFonts w:ascii="Arial" w:cs="Arial" w:eastAsia="Arial" w:hAnsi="Arial"/>
                <w:sz w:val="20"/>
                <w:szCs w:val="20"/>
                <w:color w:val="auto"/>
              </w:rPr>
              <w:t>Liabilities:</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4940" w:type="dxa"/>
            <w:vAlign w:val="bottom"/>
            <w:gridSpan w:val="2"/>
          </w:tcPr>
          <w:p>
            <w:pPr>
              <w:ind w:left="360"/>
              <w:spacing w:after="0"/>
              <w:rPr>
                <w:sz w:val="20"/>
                <w:szCs w:val="20"/>
                <w:color w:val="auto"/>
              </w:rPr>
            </w:pPr>
            <w:r>
              <w:rPr>
                <w:rFonts w:ascii="Arial" w:cs="Arial" w:eastAsia="Arial" w:hAnsi="Arial"/>
                <w:sz w:val="20"/>
                <w:szCs w:val="20"/>
                <w:color w:val="auto"/>
              </w:rPr>
              <w:t>Foreign currency exchange contracts:</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940" w:type="dxa"/>
            <w:vAlign w:val="bottom"/>
            <w:gridSpan w:val="2"/>
          </w:tcPr>
          <w:p>
            <w:pPr>
              <w:ind w:left="860"/>
              <w:spacing w:after="0"/>
              <w:rPr>
                <w:sz w:val="20"/>
                <w:szCs w:val="20"/>
                <w:color w:val="auto"/>
              </w:rPr>
            </w:pPr>
            <w:r>
              <w:rPr>
                <w:rFonts w:ascii="Arial" w:cs="Arial" w:eastAsia="Arial" w:hAnsi="Arial"/>
                <w:sz w:val="20"/>
                <w:szCs w:val="20"/>
                <w:color w:val="auto"/>
              </w:rPr>
              <w:t>Receive USD/pay AUD</w:t>
            </w:r>
          </w:p>
        </w:tc>
        <w:tc>
          <w:tcPr>
            <w:tcW w:w="3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17,578</w:t>
            </w:r>
          </w:p>
        </w:tc>
        <w:tc>
          <w:tcPr>
            <w:tcW w:w="280" w:type="dxa"/>
            <w:vAlign w:val="bottom"/>
          </w:tcPr>
          <w:p>
            <w:pPr>
              <w:spacing w:after="0"/>
              <w:rPr>
                <w:sz w:val="19"/>
                <w:szCs w:val="19"/>
                <w:color w:val="auto"/>
              </w:rPr>
            </w:pP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(204)</w:t>
            </w:r>
          </w:p>
        </w:tc>
        <w:tc>
          <w:tcPr>
            <w:tcW w:w="30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c>
          <w:tcPr>
            <w:tcW w:w="40" w:type="dxa"/>
            <w:vAlign w:val="bottom"/>
          </w:tcPr>
          <w:p>
            <w:pPr>
              <w:spacing w:after="0"/>
              <w:rPr>
                <w:sz w:val="19"/>
                <w:szCs w:val="19"/>
                <w:color w:val="auto"/>
              </w:rPr>
            </w:pPr>
          </w:p>
        </w:tc>
      </w:tr>
      <w:tr>
        <w:trPr>
          <w:trHeight w:val="230"/>
        </w:trPr>
        <w:tc>
          <w:tcPr>
            <w:tcW w:w="4940" w:type="dxa"/>
            <w:vAlign w:val="bottom"/>
            <w:gridSpan w:val="2"/>
          </w:tcPr>
          <w:p>
            <w:pPr>
              <w:ind w:left="860"/>
              <w:spacing w:after="0"/>
              <w:rPr>
                <w:sz w:val="20"/>
                <w:szCs w:val="20"/>
                <w:color w:val="auto"/>
              </w:rPr>
            </w:pPr>
            <w:r>
              <w:rPr>
                <w:rFonts w:ascii="Arial" w:cs="Arial" w:eastAsia="Arial" w:hAnsi="Arial"/>
                <w:sz w:val="20"/>
                <w:szCs w:val="20"/>
                <w:color w:val="auto"/>
              </w:rPr>
              <w:t>Receive USD/pay MXN</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6,739</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(188)</w:t>
            </w:r>
          </w:p>
        </w:tc>
        <w:tc>
          <w:tcPr>
            <w:tcW w:w="30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c>
          <w:tcPr>
            <w:tcW w:w="40" w:type="dxa"/>
            <w:vAlign w:val="bottom"/>
          </w:tcPr>
          <w:p>
            <w:pPr>
              <w:spacing w:after="0"/>
              <w:rPr>
                <w:sz w:val="19"/>
                <w:szCs w:val="19"/>
                <w:color w:val="auto"/>
              </w:rPr>
            </w:pPr>
          </w:p>
        </w:tc>
      </w:tr>
      <w:tr>
        <w:trPr>
          <w:trHeight w:val="230"/>
        </w:trPr>
        <w:tc>
          <w:tcPr>
            <w:tcW w:w="4940" w:type="dxa"/>
            <w:vAlign w:val="bottom"/>
            <w:gridSpan w:val="2"/>
          </w:tcPr>
          <w:p>
            <w:pPr>
              <w:ind w:left="860"/>
              <w:spacing w:after="0"/>
              <w:rPr>
                <w:sz w:val="20"/>
                <w:szCs w:val="20"/>
                <w:color w:val="auto"/>
              </w:rPr>
            </w:pPr>
            <w:r>
              <w:rPr>
                <w:rFonts w:ascii="Arial" w:cs="Arial" w:eastAsia="Arial" w:hAnsi="Arial"/>
                <w:sz w:val="20"/>
                <w:szCs w:val="20"/>
                <w:color w:val="auto"/>
              </w:rPr>
              <w:t>Receive USD/pay ZAR</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13,385</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(347)</w:t>
            </w:r>
          </w:p>
        </w:tc>
        <w:tc>
          <w:tcPr>
            <w:tcW w:w="30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c>
          <w:tcPr>
            <w:tcW w:w="40" w:type="dxa"/>
            <w:vAlign w:val="bottom"/>
          </w:tcPr>
          <w:p>
            <w:pPr>
              <w:spacing w:after="0"/>
              <w:rPr>
                <w:sz w:val="19"/>
                <w:szCs w:val="19"/>
                <w:color w:val="auto"/>
              </w:rPr>
            </w:pPr>
          </w:p>
        </w:tc>
      </w:tr>
      <w:tr>
        <w:trPr>
          <w:trHeight w:val="230"/>
        </w:trPr>
        <w:tc>
          <w:tcPr>
            <w:tcW w:w="4940" w:type="dxa"/>
            <w:vAlign w:val="bottom"/>
            <w:gridSpan w:val="2"/>
          </w:tcPr>
          <w:p>
            <w:pPr>
              <w:ind w:left="860"/>
              <w:spacing w:after="0"/>
              <w:rPr>
                <w:sz w:val="20"/>
                <w:szCs w:val="20"/>
                <w:color w:val="auto"/>
              </w:rPr>
            </w:pPr>
            <w:r>
              <w:rPr>
                <w:rFonts w:ascii="Arial" w:cs="Arial" w:eastAsia="Arial" w:hAnsi="Arial"/>
                <w:sz w:val="20"/>
                <w:szCs w:val="20"/>
                <w:color w:val="auto"/>
              </w:rPr>
              <w:t>Receive USD/pay NZD</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2,314</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(36)</w:t>
            </w:r>
          </w:p>
        </w:tc>
        <w:tc>
          <w:tcPr>
            <w:tcW w:w="30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c>
          <w:tcPr>
            <w:tcW w:w="40" w:type="dxa"/>
            <w:vAlign w:val="bottom"/>
          </w:tcPr>
          <w:p>
            <w:pPr>
              <w:spacing w:after="0"/>
              <w:rPr>
                <w:sz w:val="19"/>
                <w:szCs w:val="19"/>
                <w:color w:val="auto"/>
              </w:rPr>
            </w:pPr>
          </w:p>
        </w:tc>
      </w:tr>
      <w:tr>
        <w:trPr>
          <w:trHeight w:val="230"/>
        </w:trPr>
        <w:tc>
          <w:tcPr>
            <w:tcW w:w="4940" w:type="dxa"/>
            <w:vAlign w:val="bottom"/>
            <w:gridSpan w:val="2"/>
          </w:tcPr>
          <w:p>
            <w:pPr>
              <w:ind w:left="860"/>
              <w:spacing w:after="0"/>
              <w:rPr>
                <w:sz w:val="20"/>
                <w:szCs w:val="20"/>
                <w:color w:val="auto"/>
              </w:rPr>
            </w:pPr>
            <w:r>
              <w:rPr>
                <w:rFonts w:ascii="Arial" w:cs="Arial" w:eastAsia="Arial" w:hAnsi="Arial"/>
                <w:sz w:val="20"/>
                <w:szCs w:val="20"/>
                <w:color w:val="auto"/>
              </w:rPr>
              <w:t>Receive USD/pay BRL</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3,121</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(91)</w:t>
            </w:r>
          </w:p>
        </w:tc>
        <w:tc>
          <w:tcPr>
            <w:tcW w:w="30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c>
          <w:tcPr>
            <w:tcW w:w="40" w:type="dxa"/>
            <w:vAlign w:val="bottom"/>
          </w:tcPr>
          <w:p>
            <w:pPr>
              <w:spacing w:after="0"/>
              <w:rPr>
                <w:sz w:val="19"/>
                <w:szCs w:val="19"/>
                <w:color w:val="auto"/>
              </w:rPr>
            </w:pPr>
          </w:p>
        </w:tc>
      </w:tr>
      <w:tr>
        <w:trPr>
          <w:trHeight w:val="250"/>
        </w:trPr>
        <w:tc>
          <w:tcPr>
            <w:tcW w:w="4940" w:type="dxa"/>
            <w:vAlign w:val="bottom"/>
            <w:gridSpan w:val="2"/>
          </w:tcPr>
          <w:p>
            <w:pPr>
              <w:ind w:left="860"/>
              <w:spacing w:after="0"/>
              <w:rPr>
                <w:sz w:val="20"/>
                <w:szCs w:val="20"/>
                <w:color w:val="auto"/>
              </w:rPr>
            </w:pPr>
            <w:r>
              <w:rPr>
                <w:rFonts w:ascii="Arial" w:cs="Arial" w:eastAsia="Arial" w:hAnsi="Arial"/>
                <w:sz w:val="20"/>
                <w:szCs w:val="20"/>
                <w:color w:val="auto"/>
              </w:rPr>
              <w:t>Receive USD/pay COP</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1,672</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(40)</w:t>
            </w:r>
          </w:p>
        </w:tc>
        <w:tc>
          <w:tcPr>
            <w:tcW w:w="300" w:type="dxa"/>
            <w:vAlign w:val="bottom"/>
          </w:tcPr>
          <w:p>
            <w:pPr>
              <w:spacing w:after="0"/>
              <w:rPr>
                <w:sz w:val="21"/>
                <w:szCs w:val="21"/>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c>
          <w:tcPr>
            <w:tcW w:w="40" w:type="dxa"/>
            <w:vAlign w:val="bottom"/>
          </w:tcPr>
          <w:p>
            <w:pPr>
              <w:spacing w:after="0"/>
              <w:rPr>
                <w:sz w:val="21"/>
                <w:szCs w:val="21"/>
                <w:color w:val="auto"/>
              </w:rPr>
            </w:pPr>
          </w:p>
        </w:tc>
      </w:tr>
      <w:tr>
        <w:trPr>
          <w:trHeight w:val="442"/>
        </w:trPr>
        <w:tc>
          <w:tcPr>
            <w:tcW w:w="4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jc w:val="right"/>
              <w:ind w:right="642"/>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6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2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center"/>
        <w:ind w:left="500"/>
        <w:spacing w:after="0"/>
        <w:rPr>
          <w:sz w:val="20"/>
          <w:szCs w:val="20"/>
          <w:color w:val="auto"/>
        </w:rPr>
      </w:pPr>
      <w:r>
        <w:rPr>
          <w:rFonts w:ascii="Arial" w:cs="Arial" w:eastAsia="Arial" w:hAnsi="Arial"/>
          <w:sz w:val="20"/>
          <w:szCs w:val="20"/>
          <w:color w:val="auto"/>
        </w:rPr>
        <w:t>December 31, 2015</w:t>
      </w:r>
    </w:p>
    <w:p>
      <w:pPr>
        <w:spacing w:after="0" w:line="16" w:lineRule="exact"/>
        <w:rPr>
          <w:sz w:val="20"/>
          <w:szCs w:val="20"/>
          <w:color w:val="auto"/>
        </w:rPr>
      </w:pPr>
    </w:p>
    <w:tbl>
      <w:tblPr>
        <w:tblLayout w:type="fixed"/>
        <w:tblInd w:w="660" w:type="dxa"/>
        <w:tblCellMar>
          <w:top w:w="0" w:type="dxa"/>
          <w:left w:w="0" w:type="dxa"/>
          <w:bottom w:w="0" w:type="dxa"/>
          <w:right w:w="0" w:type="dxa"/>
        </w:tblCellMar>
      </w:tblPr>
      <w:tr>
        <w:trPr>
          <w:trHeight w:val="206"/>
        </w:trPr>
        <w:tc>
          <w:tcPr>
            <w:tcW w:w="4140" w:type="dxa"/>
            <w:vAlign w:val="bottom"/>
            <w:tcBorders>
              <w:top w:val="single" w:sz="8" w:color="auto"/>
            </w:tcBorders>
            <w:gridSpan w:val="2"/>
          </w:tcPr>
          <w:p>
            <w:pPr>
              <w:ind w:left="760"/>
              <w:spacing w:after="0" w:line="207" w:lineRule="exact"/>
              <w:rPr>
                <w:sz w:val="20"/>
                <w:szCs w:val="20"/>
                <w:color w:val="auto"/>
              </w:rPr>
            </w:pPr>
            <w:r>
              <w:rPr>
                <w:rFonts w:ascii="Arial" w:cs="Arial" w:eastAsia="Arial" w:hAnsi="Arial"/>
                <w:sz w:val="20"/>
                <w:szCs w:val="20"/>
                <w:color w:val="auto"/>
              </w:rPr>
              <w:t>Derivatives not designated as</w:t>
            </w:r>
          </w:p>
        </w:tc>
        <w:tc>
          <w:tcPr>
            <w:tcW w:w="3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720" w:type="dxa"/>
            <w:vAlign w:val="bottom"/>
            <w:tcBorders>
              <w:top w:val="single" w:sz="8" w:color="auto"/>
            </w:tcBorders>
          </w:tcPr>
          <w:p>
            <w:pPr>
              <w:spacing w:after="0"/>
              <w:rPr>
                <w:sz w:val="17"/>
                <w:szCs w:val="17"/>
                <w:color w:val="auto"/>
              </w:rPr>
            </w:pPr>
          </w:p>
        </w:tc>
      </w:tr>
      <w:tr>
        <w:trPr>
          <w:trHeight w:val="230"/>
        </w:trPr>
        <w:tc>
          <w:tcPr>
            <w:tcW w:w="4140" w:type="dxa"/>
            <w:vAlign w:val="bottom"/>
            <w:gridSpan w:val="2"/>
          </w:tcPr>
          <w:p>
            <w:pPr>
              <w:ind w:left="860"/>
              <w:spacing w:after="0"/>
              <w:rPr>
                <w:sz w:val="20"/>
                <w:szCs w:val="20"/>
                <w:color w:val="auto"/>
              </w:rPr>
            </w:pPr>
            <w:r>
              <w:rPr>
                <w:rFonts w:ascii="Arial" w:cs="Arial" w:eastAsia="Arial" w:hAnsi="Arial"/>
                <w:sz w:val="20"/>
                <w:szCs w:val="20"/>
                <w:color w:val="auto"/>
              </w:rPr>
              <w:t>hedging instruments under</w:t>
            </w:r>
          </w:p>
        </w:tc>
        <w:tc>
          <w:tcPr>
            <w:tcW w:w="320" w:type="dxa"/>
            <w:vAlign w:val="bottom"/>
          </w:tcPr>
          <w:p>
            <w:pPr>
              <w:spacing w:after="0"/>
              <w:rPr>
                <w:sz w:val="19"/>
                <w:szCs w:val="19"/>
                <w:color w:val="auto"/>
              </w:rPr>
            </w:pPr>
          </w:p>
        </w:tc>
        <w:tc>
          <w:tcPr>
            <w:tcW w:w="1560" w:type="dxa"/>
            <w:vAlign w:val="bottom"/>
            <w:gridSpan w:val="2"/>
          </w:tcPr>
          <w:p>
            <w:pPr>
              <w:ind w:left="140"/>
              <w:spacing w:after="0"/>
              <w:rPr>
                <w:sz w:val="20"/>
                <w:szCs w:val="20"/>
                <w:color w:val="auto"/>
              </w:rPr>
            </w:pPr>
            <w:r>
              <w:rPr>
                <w:rFonts w:ascii="Arial" w:cs="Arial" w:eastAsia="Arial" w:hAnsi="Arial"/>
                <w:sz w:val="20"/>
                <w:szCs w:val="20"/>
                <w:color w:val="auto"/>
              </w:rPr>
              <w:t>Notional</w:t>
            </w:r>
          </w:p>
        </w:tc>
        <w:tc>
          <w:tcPr>
            <w:tcW w:w="380" w:type="dxa"/>
            <w:vAlign w:val="bottom"/>
          </w:tcPr>
          <w:p>
            <w:pPr>
              <w:spacing w:after="0"/>
              <w:rPr>
                <w:sz w:val="19"/>
                <w:szCs w:val="19"/>
                <w:color w:val="auto"/>
              </w:rPr>
            </w:pPr>
          </w:p>
        </w:tc>
        <w:tc>
          <w:tcPr>
            <w:tcW w:w="1480" w:type="dxa"/>
            <w:vAlign w:val="bottom"/>
            <w:gridSpan w:val="2"/>
          </w:tcPr>
          <w:p>
            <w:pPr>
              <w:ind w:left="260"/>
              <w:spacing w:after="0"/>
              <w:rPr>
                <w:sz w:val="20"/>
                <w:szCs w:val="20"/>
                <w:color w:val="auto"/>
              </w:rPr>
            </w:pPr>
            <w:r>
              <w:rPr>
                <w:rFonts w:ascii="Arial" w:cs="Arial" w:eastAsia="Arial" w:hAnsi="Arial"/>
                <w:sz w:val="20"/>
                <w:szCs w:val="20"/>
                <w:color w:val="auto"/>
              </w:rPr>
              <w:t>Fair</w:t>
            </w:r>
          </w:p>
        </w:tc>
        <w:tc>
          <w:tcPr>
            <w:tcW w:w="2720" w:type="dxa"/>
            <w:vAlign w:val="bottom"/>
          </w:tcPr>
          <w:p>
            <w:pPr>
              <w:spacing w:after="0"/>
              <w:rPr>
                <w:sz w:val="19"/>
                <w:szCs w:val="19"/>
                <w:color w:val="auto"/>
              </w:rPr>
            </w:pPr>
          </w:p>
        </w:tc>
      </w:tr>
      <w:tr>
        <w:trPr>
          <w:trHeight w:val="246"/>
        </w:trPr>
        <w:tc>
          <w:tcPr>
            <w:tcW w:w="3840" w:type="dxa"/>
            <w:vAlign w:val="bottom"/>
            <w:tcBorders>
              <w:bottom w:val="single" w:sz="8" w:color="auto"/>
            </w:tcBorders>
          </w:tcPr>
          <w:p>
            <w:pPr>
              <w:ind w:left="1160"/>
              <w:spacing w:after="0"/>
              <w:rPr>
                <w:sz w:val="20"/>
                <w:szCs w:val="20"/>
                <w:color w:val="auto"/>
              </w:rPr>
            </w:pPr>
            <w:r>
              <w:rPr>
                <w:rFonts w:ascii="Arial" w:cs="Arial" w:eastAsia="Arial" w:hAnsi="Arial"/>
                <w:sz w:val="20"/>
                <w:szCs w:val="20"/>
                <w:color w:val="auto"/>
              </w:rPr>
              <w:t>FASB ASC 815-20</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Amount</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Value</w:t>
            </w:r>
          </w:p>
        </w:tc>
        <w:tc>
          <w:tcPr>
            <w:tcW w:w="280" w:type="dxa"/>
            <w:vAlign w:val="bottom"/>
          </w:tcPr>
          <w:p>
            <w:pPr>
              <w:spacing w:after="0"/>
              <w:rPr>
                <w:sz w:val="21"/>
                <w:szCs w:val="21"/>
                <w:color w:val="auto"/>
              </w:rPr>
            </w:pPr>
          </w:p>
        </w:tc>
        <w:tc>
          <w:tcPr>
            <w:tcW w:w="2720" w:type="dxa"/>
            <w:vAlign w:val="bottom"/>
            <w:tcBorders>
              <w:bottom w:val="single" w:sz="8" w:color="auto"/>
            </w:tcBorders>
          </w:tcPr>
          <w:p>
            <w:pPr>
              <w:ind w:left="420"/>
              <w:spacing w:after="0"/>
              <w:rPr>
                <w:sz w:val="20"/>
                <w:szCs w:val="20"/>
                <w:color w:val="auto"/>
              </w:rPr>
            </w:pPr>
            <w:r>
              <w:rPr>
                <w:rFonts w:ascii="Arial" w:cs="Arial" w:eastAsia="Arial" w:hAnsi="Arial"/>
                <w:sz w:val="20"/>
                <w:szCs w:val="20"/>
                <w:color w:val="auto"/>
              </w:rPr>
              <w:t>Balance Sheet Location</w:t>
            </w:r>
          </w:p>
        </w:tc>
      </w:tr>
      <w:tr>
        <w:trPr>
          <w:trHeight w:val="314"/>
        </w:trPr>
        <w:tc>
          <w:tcPr>
            <w:tcW w:w="4140" w:type="dxa"/>
            <w:vAlign w:val="bottom"/>
            <w:gridSpan w:val="2"/>
          </w:tcPr>
          <w:p>
            <w:pPr>
              <w:spacing w:after="0"/>
              <w:rPr>
                <w:sz w:val="20"/>
                <w:szCs w:val="20"/>
                <w:color w:val="auto"/>
              </w:rPr>
            </w:pPr>
            <w:r>
              <w:rPr>
                <w:rFonts w:ascii="Arial" w:cs="Arial" w:eastAsia="Arial" w:hAnsi="Arial"/>
                <w:sz w:val="20"/>
                <w:szCs w:val="20"/>
                <w:color w:val="auto"/>
              </w:rPr>
              <w:t>Assets:</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30"/>
        </w:trPr>
        <w:tc>
          <w:tcPr>
            <w:tcW w:w="4140" w:type="dxa"/>
            <w:vAlign w:val="bottom"/>
            <w:gridSpan w:val="2"/>
          </w:tcPr>
          <w:p>
            <w:pPr>
              <w:ind w:left="360"/>
              <w:spacing w:after="0"/>
              <w:rPr>
                <w:sz w:val="20"/>
                <w:szCs w:val="20"/>
                <w:color w:val="auto"/>
              </w:rPr>
            </w:pPr>
            <w:r>
              <w:rPr>
                <w:rFonts w:ascii="Arial" w:cs="Arial" w:eastAsia="Arial" w:hAnsi="Arial"/>
                <w:sz w:val="20"/>
                <w:szCs w:val="20"/>
                <w:color w:val="auto"/>
              </w:rPr>
              <w:t>Foreign currency exchange contracts:</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230"/>
        </w:trPr>
        <w:tc>
          <w:tcPr>
            <w:tcW w:w="4140" w:type="dxa"/>
            <w:vAlign w:val="bottom"/>
            <w:gridSpan w:val="2"/>
          </w:tcPr>
          <w:p>
            <w:pPr>
              <w:ind w:left="840"/>
              <w:spacing w:after="0"/>
              <w:rPr>
                <w:sz w:val="20"/>
                <w:szCs w:val="20"/>
                <w:color w:val="auto"/>
              </w:rPr>
            </w:pPr>
            <w:r>
              <w:rPr>
                <w:rFonts w:ascii="Arial" w:cs="Arial" w:eastAsia="Arial" w:hAnsi="Arial"/>
                <w:sz w:val="20"/>
                <w:szCs w:val="20"/>
                <w:color w:val="auto"/>
              </w:rPr>
              <w:t>Receive USD/pay GBP</w:t>
            </w:r>
          </w:p>
        </w:tc>
        <w:tc>
          <w:tcPr>
            <w:tcW w:w="3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18,146</w:t>
            </w:r>
          </w:p>
        </w:tc>
        <w:tc>
          <w:tcPr>
            <w:tcW w:w="280" w:type="dxa"/>
            <w:vAlign w:val="bottom"/>
          </w:tcPr>
          <w:p>
            <w:pPr>
              <w:spacing w:after="0"/>
              <w:rPr>
                <w:sz w:val="19"/>
                <w:szCs w:val="19"/>
                <w:color w:val="auto"/>
              </w:rPr>
            </w:pP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168</w:t>
            </w:r>
          </w:p>
        </w:tc>
        <w:tc>
          <w:tcPr>
            <w:tcW w:w="28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Accounts receivable, net</w:t>
            </w:r>
          </w:p>
        </w:tc>
      </w:tr>
      <w:tr>
        <w:trPr>
          <w:trHeight w:val="230"/>
        </w:trPr>
        <w:tc>
          <w:tcPr>
            <w:tcW w:w="4140" w:type="dxa"/>
            <w:vAlign w:val="bottom"/>
            <w:gridSpan w:val="2"/>
          </w:tcPr>
          <w:p>
            <w:pPr>
              <w:ind w:left="840"/>
              <w:spacing w:after="0"/>
              <w:rPr>
                <w:sz w:val="20"/>
                <w:szCs w:val="20"/>
                <w:color w:val="auto"/>
              </w:rPr>
            </w:pPr>
            <w:r>
              <w:rPr>
                <w:rFonts w:ascii="Arial" w:cs="Arial" w:eastAsia="Arial" w:hAnsi="Arial"/>
                <w:sz w:val="20"/>
                <w:szCs w:val="20"/>
                <w:color w:val="auto"/>
              </w:rPr>
              <w:t>Receive USD/pay ZAR</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17,411</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144</w:t>
            </w:r>
          </w:p>
        </w:tc>
        <w:tc>
          <w:tcPr>
            <w:tcW w:w="28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Accounts receivable, net</w:t>
            </w:r>
          </w:p>
        </w:tc>
      </w:tr>
      <w:tr>
        <w:trPr>
          <w:trHeight w:val="230"/>
        </w:trPr>
        <w:tc>
          <w:tcPr>
            <w:tcW w:w="4140" w:type="dxa"/>
            <w:vAlign w:val="bottom"/>
            <w:gridSpan w:val="2"/>
          </w:tcPr>
          <w:p>
            <w:pPr>
              <w:ind w:left="840"/>
              <w:spacing w:after="0"/>
              <w:rPr>
                <w:sz w:val="20"/>
                <w:szCs w:val="20"/>
                <w:color w:val="auto"/>
              </w:rPr>
            </w:pPr>
            <w:r>
              <w:rPr>
                <w:rFonts w:ascii="Arial" w:cs="Arial" w:eastAsia="Arial" w:hAnsi="Arial"/>
                <w:sz w:val="20"/>
                <w:szCs w:val="20"/>
                <w:color w:val="auto"/>
              </w:rPr>
              <w:t>Receive USD/pay RUB</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2,173</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9</w:t>
            </w:r>
          </w:p>
        </w:tc>
        <w:tc>
          <w:tcPr>
            <w:tcW w:w="28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Accounts receivable, net</w:t>
            </w:r>
          </w:p>
        </w:tc>
      </w:tr>
      <w:tr>
        <w:trPr>
          <w:trHeight w:val="230"/>
        </w:trPr>
        <w:tc>
          <w:tcPr>
            <w:tcW w:w="4140" w:type="dxa"/>
            <w:vAlign w:val="bottom"/>
            <w:gridSpan w:val="2"/>
          </w:tcPr>
          <w:p>
            <w:pPr>
              <w:ind w:left="840"/>
              <w:spacing w:after="0"/>
              <w:rPr>
                <w:sz w:val="20"/>
                <w:szCs w:val="20"/>
                <w:color w:val="auto"/>
              </w:rPr>
            </w:pPr>
            <w:r>
              <w:rPr>
                <w:rFonts w:ascii="Arial" w:cs="Arial" w:eastAsia="Arial" w:hAnsi="Arial"/>
                <w:sz w:val="20"/>
                <w:szCs w:val="20"/>
                <w:color w:val="auto"/>
              </w:rPr>
              <w:t>Receive USD/pay BRL</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2,478</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49</w:t>
            </w:r>
          </w:p>
        </w:tc>
        <w:tc>
          <w:tcPr>
            <w:tcW w:w="28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Accounts receivable, net</w:t>
            </w:r>
          </w:p>
        </w:tc>
      </w:tr>
      <w:tr>
        <w:trPr>
          <w:trHeight w:val="250"/>
        </w:trPr>
        <w:tc>
          <w:tcPr>
            <w:tcW w:w="4140" w:type="dxa"/>
            <w:vAlign w:val="bottom"/>
            <w:gridSpan w:val="2"/>
          </w:tcPr>
          <w:p>
            <w:pPr>
              <w:ind w:left="840"/>
              <w:spacing w:after="0"/>
              <w:rPr>
                <w:sz w:val="20"/>
                <w:szCs w:val="20"/>
                <w:color w:val="auto"/>
              </w:rPr>
            </w:pPr>
            <w:r>
              <w:rPr>
                <w:rFonts w:ascii="Arial" w:cs="Arial" w:eastAsia="Arial" w:hAnsi="Arial"/>
                <w:sz w:val="20"/>
                <w:szCs w:val="20"/>
                <w:color w:val="auto"/>
              </w:rPr>
              <w:t>Receive USD/pay COP</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1,351</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w:t>
            </w:r>
          </w:p>
        </w:tc>
        <w:tc>
          <w:tcPr>
            <w:tcW w:w="280" w:type="dxa"/>
            <w:vAlign w:val="bottom"/>
          </w:tcPr>
          <w:p>
            <w:pPr>
              <w:spacing w:after="0"/>
              <w:rPr>
                <w:sz w:val="21"/>
                <w:szCs w:val="21"/>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Accounts receivable, net</w:t>
            </w:r>
          </w:p>
        </w:tc>
      </w:tr>
      <w:tr>
        <w:trPr>
          <w:trHeight w:val="641"/>
        </w:trPr>
        <w:tc>
          <w:tcPr>
            <w:tcW w:w="4140" w:type="dxa"/>
            <w:vAlign w:val="bottom"/>
            <w:gridSpan w:val="2"/>
          </w:tcPr>
          <w:p>
            <w:pPr>
              <w:spacing w:after="0"/>
              <w:rPr>
                <w:sz w:val="20"/>
                <w:szCs w:val="20"/>
                <w:color w:val="auto"/>
              </w:rPr>
            </w:pPr>
            <w:r>
              <w:rPr>
                <w:rFonts w:ascii="Arial" w:cs="Arial" w:eastAsia="Arial" w:hAnsi="Arial"/>
                <w:sz w:val="20"/>
                <w:szCs w:val="20"/>
                <w:color w:val="auto"/>
              </w:rPr>
              <w:t>Liabilities:</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30"/>
        </w:trPr>
        <w:tc>
          <w:tcPr>
            <w:tcW w:w="4140" w:type="dxa"/>
            <w:vAlign w:val="bottom"/>
            <w:gridSpan w:val="2"/>
          </w:tcPr>
          <w:p>
            <w:pPr>
              <w:ind w:left="360"/>
              <w:spacing w:after="0"/>
              <w:rPr>
                <w:sz w:val="20"/>
                <w:szCs w:val="20"/>
                <w:color w:val="auto"/>
              </w:rPr>
            </w:pPr>
            <w:r>
              <w:rPr>
                <w:rFonts w:ascii="Arial" w:cs="Arial" w:eastAsia="Arial" w:hAnsi="Arial"/>
                <w:sz w:val="20"/>
                <w:szCs w:val="20"/>
                <w:color w:val="auto"/>
              </w:rPr>
              <w:t>Foreign currency exchange contracts:</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230"/>
        </w:trPr>
        <w:tc>
          <w:tcPr>
            <w:tcW w:w="4140" w:type="dxa"/>
            <w:vAlign w:val="bottom"/>
            <w:gridSpan w:val="2"/>
          </w:tcPr>
          <w:p>
            <w:pPr>
              <w:ind w:left="840"/>
              <w:spacing w:after="0"/>
              <w:rPr>
                <w:sz w:val="20"/>
                <w:szCs w:val="20"/>
                <w:color w:val="auto"/>
              </w:rPr>
            </w:pPr>
            <w:r>
              <w:rPr>
                <w:rFonts w:ascii="Arial" w:cs="Arial" w:eastAsia="Arial" w:hAnsi="Arial"/>
                <w:sz w:val="20"/>
                <w:szCs w:val="20"/>
                <w:color w:val="auto"/>
              </w:rPr>
              <w:t>Receive EUR/pay USD</w:t>
            </w:r>
          </w:p>
        </w:tc>
        <w:tc>
          <w:tcPr>
            <w:tcW w:w="3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39,578</w:t>
            </w:r>
          </w:p>
        </w:tc>
        <w:tc>
          <w:tcPr>
            <w:tcW w:w="280" w:type="dxa"/>
            <w:vAlign w:val="bottom"/>
          </w:tcPr>
          <w:p>
            <w:pPr>
              <w:spacing w:after="0"/>
              <w:rPr>
                <w:sz w:val="19"/>
                <w:szCs w:val="19"/>
                <w:color w:val="auto"/>
              </w:rPr>
            </w:pP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(429)</w:t>
            </w:r>
          </w:p>
        </w:tc>
        <w:tc>
          <w:tcPr>
            <w:tcW w:w="28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r>
      <w:tr>
        <w:trPr>
          <w:trHeight w:val="230"/>
        </w:trPr>
        <w:tc>
          <w:tcPr>
            <w:tcW w:w="4140" w:type="dxa"/>
            <w:vAlign w:val="bottom"/>
            <w:gridSpan w:val="2"/>
          </w:tcPr>
          <w:p>
            <w:pPr>
              <w:ind w:left="840"/>
              <w:spacing w:after="0"/>
              <w:rPr>
                <w:sz w:val="20"/>
                <w:szCs w:val="20"/>
                <w:color w:val="auto"/>
              </w:rPr>
            </w:pPr>
            <w:r>
              <w:rPr>
                <w:rFonts w:ascii="Arial" w:cs="Arial" w:eastAsia="Arial" w:hAnsi="Arial"/>
                <w:sz w:val="20"/>
                <w:szCs w:val="20"/>
                <w:color w:val="auto"/>
              </w:rPr>
              <w:t>Receive USD/pay AUD</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14,040</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(82)</w:t>
            </w:r>
          </w:p>
        </w:tc>
        <w:tc>
          <w:tcPr>
            <w:tcW w:w="28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r>
      <w:tr>
        <w:trPr>
          <w:trHeight w:val="230"/>
        </w:trPr>
        <w:tc>
          <w:tcPr>
            <w:tcW w:w="4140" w:type="dxa"/>
            <w:vAlign w:val="bottom"/>
            <w:gridSpan w:val="2"/>
          </w:tcPr>
          <w:p>
            <w:pPr>
              <w:ind w:left="840"/>
              <w:spacing w:after="0"/>
              <w:rPr>
                <w:sz w:val="20"/>
                <w:szCs w:val="20"/>
                <w:color w:val="auto"/>
              </w:rPr>
            </w:pPr>
            <w:r>
              <w:rPr>
                <w:rFonts w:ascii="Arial" w:cs="Arial" w:eastAsia="Arial" w:hAnsi="Arial"/>
                <w:sz w:val="20"/>
                <w:szCs w:val="20"/>
                <w:color w:val="auto"/>
              </w:rPr>
              <w:t>Receive USD/pay CAD</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2,804</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(15)</w:t>
            </w:r>
          </w:p>
        </w:tc>
        <w:tc>
          <w:tcPr>
            <w:tcW w:w="28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r>
      <w:tr>
        <w:trPr>
          <w:trHeight w:val="230"/>
        </w:trPr>
        <w:tc>
          <w:tcPr>
            <w:tcW w:w="4140" w:type="dxa"/>
            <w:vAlign w:val="bottom"/>
            <w:gridSpan w:val="2"/>
          </w:tcPr>
          <w:p>
            <w:pPr>
              <w:ind w:left="840"/>
              <w:spacing w:after="0"/>
              <w:rPr>
                <w:sz w:val="20"/>
                <w:szCs w:val="20"/>
                <w:color w:val="auto"/>
              </w:rPr>
            </w:pPr>
            <w:r>
              <w:rPr>
                <w:rFonts w:ascii="Arial" w:cs="Arial" w:eastAsia="Arial" w:hAnsi="Arial"/>
                <w:sz w:val="20"/>
                <w:szCs w:val="20"/>
                <w:color w:val="auto"/>
              </w:rPr>
              <w:t>Receive USD/pay JPY</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2,495</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w:t>
            </w:r>
          </w:p>
        </w:tc>
        <w:tc>
          <w:tcPr>
            <w:tcW w:w="28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r>
      <w:tr>
        <w:trPr>
          <w:trHeight w:val="230"/>
        </w:trPr>
        <w:tc>
          <w:tcPr>
            <w:tcW w:w="4140" w:type="dxa"/>
            <w:vAlign w:val="bottom"/>
            <w:gridSpan w:val="2"/>
          </w:tcPr>
          <w:p>
            <w:pPr>
              <w:ind w:left="840"/>
              <w:spacing w:after="0"/>
              <w:rPr>
                <w:sz w:val="20"/>
                <w:szCs w:val="20"/>
                <w:color w:val="auto"/>
              </w:rPr>
            </w:pPr>
            <w:r>
              <w:rPr>
                <w:rFonts w:ascii="Arial" w:cs="Arial" w:eastAsia="Arial" w:hAnsi="Arial"/>
                <w:sz w:val="20"/>
                <w:szCs w:val="20"/>
                <w:color w:val="auto"/>
              </w:rPr>
              <w:t>Receive USD/pay MXN</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8,122</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(15)</w:t>
            </w:r>
          </w:p>
        </w:tc>
        <w:tc>
          <w:tcPr>
            <w:tcW w:w="28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r>
      <w:tr>
        <w:trPr>
          <w:trHeight w:val="230"/>
        </w:trPr>
        <w:tc>
          <w:tcPr>
            <w:tcW w:w="4140" w:type="dxa"/>
            <w:vAlign w:val="bottom"/>
            <w:gridSpan w:val="2"/>
          </w:tcPr>
          <w:p>
            <w:pPr>
              <w:ind w:left="840"/>
              <w:spacing w:after="0"/>
              <w:rPr>
                <w:sz w:val="20"/>
                <w:szCs w:val="20"/>
                <w:color w:val="auto"/>
              </w:rPr>
            </w:pPr>
            <w:r>
              <w:rPr>
                <w:rFonts w:ascii="Arial" w:cs="Arial" w:eastAsia="Arial" w:hAnsi="Arial"/>
                <w:sz w:val="20"/>
                <w:szCs w:val="20"/>
                <w:color w:val="auto"/>
              </w:rPr>
              <w:t>Receive SGD/pay USD</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3,837</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(30)</w:t>
            </w:r>
          </w:p>
        </w:tc>
        <w:tc>
          <w:tcPr>
            <w:tcW w:w="28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r>
      <w:tr>
        <w:trPr>
          <w:trHeight w:val="230"/>
        </w:trPr>
        <w:tc>
          <w:tcPr>
            <w:tcW w:w="4140" w:type="dxa"/>
            <w:vAlign w:val="bottom"/>
            <w:gridSpan w:val="2"/>
          </w:tcPr>
          <w:p>
            <w:pPr>
              <w:ind w:left="840"/>
              <w:spacing w:after="0"/>
              <w:rPr>
                <w:sz w:val="20"/>
                <w:szCs w:val="20"/>
                <w:color w:val="auto"/>
              </w:rPr>
            </w:pPr>
            <w:r>
              <w:rPr>
                <w:rFonts w:ascii="Arial" w:cs="Arial" w:eastAsia="Arial" w:hAnsi="Arial"/>
                <w:sz w:val="20"/>
                <w:szCs w:val="20"/>
                <w:color w:val="auto"/>
              </w:rPr>
              <w:t>Receive USD/pay NZD</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1,978</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w:t>
            </w:r>
          </w:p>
        </w:tc>
        <w:tc>
          <w:tcPr>
            <w:tcW w:w="28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r>
      <w:tr>
        <w:trPr>
          <w:trHeight w:val="250"/>
        </w:trPr>
        <w:tc>
          <w:tcPr>
            <w:tcW w:w="4140" w:type="dxa"/>
            <w:vAlign w:val="bottom"/>
            <w:gridSpan w:val="2"/>
          </w:tcPr>
          <w:p>
            <w:pPr>
              <w:ind w:left="840"/>
              <w:spacing w:after="0"/>
              <w:rPr>
                <w:sz w:val="20"/>
                <w:szCs w:val="20"/>
                <w:color w:val="auto"/>
              </w:rPr>
            </w:pPr>
            <w:r>
              <w:rPr>
                <w:rFonts w:ascii="Arial" w:cs="Arial" w:eastAsia="Arial" w:hAnsi="Arial"/>
                <w:sz w:val="20"/>
                <w:szCs w:val="20"/>
                <w:color w:val="auto"/>
              </w:rPr>
              <w:t>Receive USD/pay CLP</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3,519</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(12)</w:t>
            </w:r>
          </w:p>
        </w:tc>
        <w:tc>
          <w:tcPr>
            <w:tcW w:w="280" w:type="dxa"/>
            <w:vAlign w:val="bottom"/>
          </w:tcPr>
          <w:p>
            <w:pPr>
              <w:spacing w:after="0"/>
              <w:rPr>
                <w:sz w:val="21"/>
                <w:szCs w:val="21"/>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r>
    </w:tbl>
    <w:p>
      <w:pPr>
        <w:spacing w:after="0" w:line="200" w:lineRule="exact"/>
        <w:rPr>
          <w:sz w:val="20"/>
          <w:szCs w:val="20"/>
          <w:color w:val="auto"/>
        </w:rPr>
      </w:pPr>
    </w:p>
    <w:p>
      <w:pPr>
        <w:spacing w:after="0" w:line="23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net gains (losses) on derivative instruments in the condensed consolidated statements of income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0" w:type="dxa"/>
            <w:vAlign w:val="bottom"/>
            <w:gridSpan w:val="3"/>
          </w:tcPr>
          <w:p>
            <w:pPr>
              <w:jc w:val="center"/>
              <w:spacing w:after="0"/>
              <w:rPr>
                <w:sz w:val="20"/>
                <w:szCs w:val="20"/>
                <w:color w:val="auto"/>
              </w:rPr>
            </w:pPr>
            <w:r>
              <w:rPr>
                <w:rFonts w:ascii="Arial" w:cs="Arial" w:eastAsia="Arial" w:hAnsi="Arial"/>
                <w:sz w:val="20"/>
                <w:szCs w:val="20"/>
                <w:color w:val="auto"/>
                <w:w w:val="93"/>
              </w:rPr>
              <w:t>Amount of gain (loss)</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0" w:type="dxa"/>
            <w:vAlign w:val="bottom"/>
            <w:gridSpan w:val="3"/>
          </w:tcPr>
          <w:p>
            <w:pPr>
              <w:jc w:val="center"/>
              <w:spacing w:after="0"/>
              <w:rPr>
                <w:sz w:val="20"/>
                <w:szCs w:val="20"/>
                <w:color w:val="auto"/>
              </w:rPr>
            </w:pPr>
            <w:r>
              <w:rPr>
                <w:rFonts w:ascii="Arial" w:cs="Arial" w:eastAsia="Arial" w:hAnsi="Arial"/>
                <w:sz w:val="20"/>
                <w:szCs w:val="20"/>
                <w:color w:val="auto"/>
                <w:w w:val="90"/>
              </w:rPr>
              <w:t>recognized in income on</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color w:val="auto"/>
                <w:w w:val="92"/>
              </w:rPr>
              <w:t>derivatives</w:t>
            </w:r>
          </w:p>
        </w:tc>
        <w:tc>
          <w:tcPr>
            <w:tcW w:w="4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60" w:type="dxa"/>
            <w:vAlign w:val="bottom"/>
            <w:gridSpan w:val="2"/>
            <w:vMerge w:val="restart"/>
          </w:tcPr>
          <w:p>
            <w:pPr>
              <w:ind w:left="880"/>
              <w:spacing w:after="0"/>
              <w:rPr>
                <w:sz w:val="20"/>
                <w:szCs w:val="20"/>
                <w:color w:val="auto"/>
              </w:rPr>
            </w:pPr>
            <w:r>
              <w:rPr>
                <w:rFonts w:ascii="Arial" w:cs="Arial" w:eastAsia="Arial" w:hAnsi="Arial"/>
                <w:sz w:val="20"/>
                <w:szCs w:val="20"/>
                <w:color w:val="auto"/>
              </w:rPr>
              <w:t>Derivatives not designated as</w:t>
            </w:r>
          </w:p>
        </w:tc>
        <w:tc>
          <w:tcPr>
            <w:tcW w:w="4060" w:type="dxa"/>
            <w:vAlign w:val="bottom"/>
            <w:gridSpan w:val="2"/>
            <w:vMerge w:val="restart"/>
          </w:tcPr>
          <w:p>
            <w:pPr>
              <w:jc w:val="center"/>
              <w:ind w:right="300"/>
              <w:spacing w:after="0"/>
              <w:rPr>
                <w:sz w:val="20"/>
                <w:szCs w:val="20"/>
                <w:color w:val="auto"/>
              </w:rPr>
            </w:pPr>
            <w:r>
              <w:rPr>
                <w:rFonts w:ascii="Arial" w:cs="Arial" w:eastAsia="Arial" w:hAnsi="Arial"/>
                <w:sz w:val="20"/>
                <w:szCs w:val="20"/>
                <w:color w:val="auto"/>
                <w:w w:val="91"/>
              </w:rPr>
              <w:t>Location of gain (loss)</w:t>
            </w:r>
          </w:p>
        </w:tc>
        <w:tc>
          <w:tcPr>
            <w:tcW w:w="3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center"/>
              <w:spacing w:after="0" w:line="223" w:lineRule="exact"/>
              <w:rPr>
                <w:sz w:val="20"/>
                <w:szCs w:val="20"/>
                <w:color w:val="auto"/>
              </w:rPr>
            </w:pPr>
            <w:r>
              <w:rPr>
                <w:rFonts w:ascii="Arial" w:cs="Arial" w:eastAsia="Arial" w:hAnsi="Arial"/>
                <w:sz w:val="20"/>
                <w:szCs w:val="20"/>
                <w:color w:val="auto"/>
                <w:w w:val="88"/>
              </w:rPr>
              <w:t>Three-months ended</w:t>
            </w:r>
          </w:p>
        </w:tc>
        <w:tc>
          <w:tcPr>
            <w:tcW w:w="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360" w:type="dxa"/>
            <w:vAlign w:val="bottom"/>
            <w:gridSpan w:val="2"/>
            <w:vMerge w:val="continue"/>
          </w:tcPr>
          <w:p>
            <w:pPr>
              <w:spacing w:after="0"/>
              <w:rPr>
                <w:sz w:val="16"/>
                <w:szCs w:val="16"/>
                <w:color w:val="auto"/>
              </w:rPr>
            </w:pPr>
          </w:p>
        </w:tc>
        <w:tc>
          <w:tcPr>
            <w:tcW w:w="40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60" w:type="dxa"/>
            <w:vAlign w:val="bottom"/>
            <w:gridSpan w:val="2"/>
          </w:tcPr>
          <w:p>
            <w:pPr>
              <w:jc w:val="center"/>
              <w:ind w:right="120"/>
              <w:spacing w:after="0"/>
              <w:rPr>
                <w:sz w:val="20"/>
                <w:szCs w:val="20"/>
                <w:color w:val="auto"/>
              </w:rPr>
            </w:pPr>
            <w:r>
              <w:rPr>
                <w:rFonts w:ascii="Arial" w:cs="Arial" w:eastAsia="Arial" w:hAnsi="Arial"/>
                <w:sz w:val="20"/>
                <w:szCs w:val="20"/>
                <w:color w:val="auto"/>
                <w:w w:val="89"/>
              </w:rPr>
              <w:t>hedging instruments under</w:t>
            </w:r>
          </w:p>
        </w:tc>
        <w:tc>
          <w:tcPr>
            <w:tcW w:w="4060" w:type="dxa"/>
            <w:vAlign w:val="bottom"/>
            <w:gridSpan w:val="2"/>
          </w:tcPr>
          <w:p>
            <w:pPr>
              <w:jc w:val="center"/>
              <w:ind w:right="300"/>
              <w:spacing w:after="0"/>
              <w:rPr>
                <w:sz w:val="20"/>
                <w:szCs w:val="20"/>
                <w:color w:val="auto"/>
              </w:rPr>
            </w:pPr>
            <w:r>
              <w:rPr>
                <w:rFonts w:ascii="Arial" w:cs="Arial" w:eastAsia="Arial" w:hAnsi="Arial"/>
                <w:sz w:val="20"/>
                <w:szCs w:val="20"/>
                <w:color w:val="auto"/>
                <w:w w:val="90"/>
              </w:rPr>
              <w:t>recognized in income on</w:t>
            </w: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6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91"/>
              </w:rPr>
              <w:t>FASB ASC 815-20</w:t>
            </w:r>
          </w:p>
        </w:tc>
        <w:tc>
          <w:tcPr>
            <w:tcW w:w="300" w:type="dxa"/>
            <w:vAlign w:val="bottom"/>
          </w:tcPr>
          <w:p>
            <w:pPr>
              <w:spacing w:after="0"/>
              <w:rPr>
                <w:sz w:val="21"/>
                <w:szCs w:val="21"/>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derivatives</w:t>
            </w:r>
          </w:p>
        </w:tc>
        <w:tc>
          <w:tcPr>
            <w:tcW w:w="300" w:type="dxa"/>
            <w:vAlign w:val="bottom"/>
          </w:tcPr>
          <w:p>
            <w:pPr>
              <w:spacing w:after="0"/>
              <w:rPr>
                <w:sz w:val="21"/>
                <w:szCs w:val="21"/>
                <w:color w:val="auto"/>
              </w:rPr>
            </w:pPr>
          </w:p>
        </w:tc>
        <w:tc>
          <w:tcPr>
            <w:tcW w:w="1360" w:type="dxa"/>
            <w:vAlign w:val="bottom"/>
            <w:tcBorders>
              <w:bottom w:val="single" w:sz="8" w:color="auto"/>
            </w:tcBorders>
            <w:gridSpan w:val="2"/>
          </w:tcPr>
          <w:p>
            <w:pPr>
              <w:ind w:left="140"/>
              <w:spacing w:after="0"/>
              <w:rPr>
                <w:sz w:val="20"/>
                <w:szCs w:val="20"/>
                <w:color w:val="auto"/>
              </w:rPr>
            </w:pPr>
            <w:r>
              <w:rPr>
                <w:rFonts w:ascii="Arial" w:cs="Arial" w:eastAsia="Arial" w:hAnsi="Arial"/>
                <w:sz w:val="20"/>
                <w:szCs w:val="20"/>
                <w:color w:val="auto"/>
                <w:w w:val="94"/>
              </w:rPr>
              <w:t>June 30, 2016</w:t>
            </w:r>
          </w:p>
        </w:tc>
        <w:tc>
          <w:tcPr>
            <w:tcW w:w="280" w:type="dxa"/>
            <w:vAlign w:val="bottom"/>
          </w:tcPr>
          <w:p>
            <w:pPr>
              <w:spacing w:after="0"/>
              <w:rPr>
                <w:sz w:val="21"/>
                <w:szCs w:val="21"/>
                <w:color w:val="auto"/>
              </w:rPr>
            </w:pPr>
          </w:p>
        </w:tc>
        <w:tc>
          <w:tcPr>
            <w:tcW w:w="1360" w:type="dxa"/>
            <w:vAlign w:val="bottom"/>
            <w:tcBorders>
              <w:bottom w:val="single" w:sz="8" w:color="auto"/>
            </w:tcBorders>
            <w:gridSpan w:val="2"/>
          </w:tcPr>
          <w:p>
            <w:pPr>
              <w:ind w:left="140"/>
              <w:spacing w:after="0"/>
              <w:rPr>
                <w:sz w:val="20"/>
                <w:szCs w:val="20"/>
                <w:color w:val="auto"/>
              </w:rPr>
            </w:pPr>
            <w:r>
              <w:rPr>
                <w:rFonts w:ascii="Arial" w:cs="Arial" w:eastAsia="Arial" w:hAnsi="Arial"/>
                <w:sz w:val="20"/>
                <w:szCs w:val="20"/>
                <w:color w:val="auto"/>
                <w:w w:val="94"/>
              </w:rPr>
              <w:t>June 30, 2015</w:t>
            </w:r>
          </w:p>
        </w:tc>
        <w:tc>
          <w:tcPr>
            <w:tcW w:w="0" w:type="dxa"/>
            <w:vAlign w:val="bottom"/>
          </w:tcPr>
          <w:p>
            <w:pPr>
              <w:spacing w:after="0"/>
              <w:rPr>
                <w:sz w:val="1"/>
                <w:szCs w:val="1"/>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20"/>
                <w:szCs w:val="20"/>
                <w:color w:val="auto"/>
              </w:rPr>
              <w:t>Foreign currency exchange contracts</w:t>
            </w:r>
          </w:p>
        </w:tc>
        <w:tc>
          <w:tcPr>
            <w:tcW w:w="4060" w:type="dxa"/>
            <w:vAlign w:val="bottom"/>
            <w:gridSpan w:val="2"/>
          </w:tcPr>
          <w:p>
            <w:pPr>
              <w:jc w:val="center"/>
              <w:ind w:right="300"/>
              <w:spacing w:after="0"/>
              <w:rPr>
                <w:sz w:val="20"/>
                <w:szCs w:val="20"/>
                <w:color w:val="auto"/>
              </w:rPr>
            </w:pPr>
            <w:r>
              <w:rPr>
                <w:rFonts w:ascii="Arial" w:cs="Arial" w:eastAsia="Arial" w:hAnsi="Arial"/>
                <w:sz w:val="20"/>
                <w:szCs w:val="20"/>
                <w:color w:val="auto"/>
                <w:w w:val="87"/>
              </w:rPr>
              <w:t>Interest and other (expense) income, net</w:t>
            </w:r>
          </w:p>
        </w:tc>
        <w:tc>
          <w:tcPr>
            <w:tcW w:w="3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141</w:t>
            </w:r>
          </w:p>
        </w:tc>
        <w:tc>
          <w:tcPr>
            <w:tcW w:w="280" w:type="dxa"/>
            <w:vAlign w:val="bottom"/>
          </w:tcPr>
          <w:p>
            <w:pPr>
              <w:spacing w:after="0"/>
              <w:rPr>
                <w:sz w:val="24"/>
                <w:szCs w:val="24"/>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4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0" w:type="dxa"/>
            <w:vAlign w:val="bottom"/>
            <w:gridSpan w:val="3"/>
          </w:tcPr>
          <w:p>
            <w:pPr>
              <w:jc w:val="center"/>
              <w:spacing w:after="0"/>
              <w:rPr>
                <w:sz w:val="20"/>
                <w:szCs w:val="20"/>
                <w:color w:val="auto"/>
              </w:rPr>
            </w:pPr>
            <w:r>
              <w:rPr>
                <w:rFonts w:ascii="Arial" w:cs="Arial" w:eastAsia="Arial" w:hAnsi="Arial"/>
                <w:sz w:val="20"/>
                <w:szCs w:val="20"/>
                <w:color w:val="auto"/>
                <w:w w:val="93"/>
              </w:rPr>
              <w:t>Amount of gain (loss)</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0" w:type="dxa"/>
            <w:vAlign w:val="bottom"/>
            <w:gridSpan w:val="3"/>
          </w:tcPr>
          <w:p>
            <w:pPr>
              <w:jc w:val="center"/>
              <w:spacing w:after="0"/>
              <w:rPr>
                <w:sz w:val="20"/>
                <w:szCs w:val="20"/>
                <w:color w:val="auto"/>
              </w:rPr>
            </w:pPr>
            <w:r>
              <w:rPr>
                <w:rFonts w:ascii="Arial" w:cs="Arial" w:eastAsia="Arial" w:hAnsi="Arial"/>
                <w:sz w:val="20"/>
                <w:szCs w:val="20"/>
                <w:color w:val="auto"/>
                <w:w w:val="90"/>
              </w:rPr>
              <w:t>recognized in income on</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color w:val="auto"/>
                <w:w w:val="92"/>
              </w:rPr>
              <w:t>derivatives</w:t>
            </w:r>
          </w:p>
        </w:tc>
        <w:tc>
          <w:tcPr>
            <w:tcW w:w="4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60" w:type="dxa"/>
            <w:vAlign w:val="bottom"/>
            <w:gridSpan w:val="2"/>
            <w:vMerge w:val="restart"/>
          </w:tcPr>
          <w:p>
            <w:pPr>
              <w:ind w:left="880"/>
              <w:spacing w:after="0"/>
              <w:rPr>
                <w:sz w:val="20"/>
                <w:szCs w:val="20"/>
                <w:color w:val="auto"/>
              </w:rPr>
            </w:pPr>
            <w:r>
              <w:rPr>
                <w:rFonts w:ascii="Arial" w:cs="Arial" w:eastAsia="Arial" w:hAnsi="Arial"/>
                <w:sz w:val="20"/>
                <w:szCs w:val="20"/>
                <w:color w:val="auto"/>
              </w:rPr>
              <w:t>Derivatives not designated as</w:t>
            </w:r>
          </w:p>
        </w:tc>
        <w:tc>
          <w:tcPr>
            <w:tcW w:w="4060" w:type="dxa"/>
            <w:vAlign w:val="bottom"/>
            <w:gridSpan w:val="2"/>
            <w:vMerge w:val="restart"/>
          </w:tcPr>
          <w:p>
            <w:pPr>
              <w:jc w:val="center"/>
              <w:ind w:right="300"/>
              <w:spacing w:after="0"/>
              <w:rPr>
                <w:sz w:val="20"/>
                <w:szCs w:val="20"/>
                <w:color w:val="auto"/>
              </w:rPr>
            </w:pPr>
            <w:r>
              <w:rPr>
                <w:rFonts w:ascii="Arial" w:cs="Arial" w:eastAsia="Arial" w:hAnsi="Arial"/>
                <w:sz w:val="20"/>
                <w:szCs w:val="20"/>
                <w:color w:val="auto"/>
                <w:w w:val="91"/>
              </w:rPr>
              <w:t>Location of gain (loss)</w:t>
            </w:r>
          </w:p>
        </w:tc>
        <w:tc>
          <w:tcPr>
            <w:tcW w:w="3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center"/>
              <w:spacing w:after="0" w:line="223" w:lineRule="exact"/>
              <w:rPr>
                <w:sz w:val="20"/>
                <w:szCs w:val="20"/>
                <w:color w:val="auto"/>
              </w:rPr>
            </w:pPr>
            <w:r>
              <w:rPr>
                <w:rFonts w:ascii="Arial" w:cs="Arial" w:eastAsia="Arial" w:hAnsi="Arial"/>
                <w:sz w:val="20"/>
                <w:szCs w:val="20"/>
                <w:color w:val="auto"/>
                <w:w w:val="89"/>
              </w:rPr>
              <w:t>Six-months ended</w:t>
            </w:r>
          </w:p>
        </w:tc>
        <w:tc>
          <w:tcPr>
            <w:tcW w:w="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360" w:type="dxa"/>
            <w:vAlign w:val="bottom"/>
            <w:gridSpan w:val="2"/>
            <w:vMerge w:val="continue"/>
          </w:tcPr>
          <w:p>
            <w:pPr>
              <w:spacing w:after="0"/>
              <w:rPr>
                <w:sz w:val="16"/>
                <w:szCs w:val="16"/>
                <w:color w:val="auto"/>
              </w:rPr>
            </w:pPr>
          </w:p>
        </w:tc>
        <w:tc>
          <w:tcPr>
            <w:tcW w:w="4060" w:type="dxa"/>
            <w:vAlign w:val="bottom"/>
            <w:gridSpan w:val="2"/>
            <w:vMerge w:val="continue"/>
          </w:tcPr>
          <w:p>
            <w:pPr>
              <w:spacing w:after="0"/>
              <w:rPr>
                <w:sz w:val="16"/>
                <w:szCs w:val="16"/>
                <w:color w:val="auto"/>
              </w:rPr>
            </w:pPr>
          </w:p>
        </w:tc>
        <w:tc>
          <w:tcPr>
            <w:tcW w:w="1640" w:type="dxa"/>
            <w:vAlign w:val="bottom"/>
            <w:gridSpan w:val="3"/>
          </w:tcPr>
          <w:p>
            <w:pPr>
              <w:ind w:left="140"/>
              <w:spacing w:after="0" w:line="193" w:lineRule="exact"/>
              <w:rPr>
                <w:sz w:val="20"/>
                <w:szCs w:val="20"/>
                <w:color w:val="auto"/>
              </w:rPr>
            </w:pPr>
            <w:r>
              <w:rPr>
                <w:rFonts w:ascii="Arial" w:cs="Arial" w:eastAsia="Arial" w:hAnsi="Arial"/>
                <w:sz w:val="20"/>
                <w:szCs w:val="20"/>
                <w:color w:val="auto"/>
              </w:rPr>
              <w:t>June 30, 2016</w:t>
            </w:r>
          </w:p>
        </w:tc>
        <w:tc>
          <w:tcPr>
            <w:tcW w:w="1360" w:type="dxa"/>
            <w:vAlign w:val="bottom"/>
            <w:gridSpan w:val="2"/>
          </w:tcPr>
          <w:p>
            <w:pPr>
              <w:ind w:left="140"/>
              <w:spacing w:after="0" w:line="193" w:lineRule="exact"/>
              <w:rPr>
                <w:sz w:val="20"/>
                <w:szCs w:val="20"/>
                <w:color w:val="auto"/>
              </w:rPr>
            </w:pPr>
            <w:r>
              <w:rPr>
                <w:rFonts w:ascii="Arial" w:cs="Arial" w:eastAsia="Arial" w:hAnsi="Arial"/>
                <w:sz w:val="20"/>
                <w:szCs w:val="20"/>
                <w:color w:val="auto"/>
                <w:w w:val="94"/>
              </w:rPr>
              <w:t>June 30, 2015</w:t>
            </w:r>
          </w:p>
        </w:tc>
        <w:tc>
          <w:tcPr>
            <w:tcW w:w="0" w:type="dxa"/>
            <w:vAlign w:val="bottom"/>
          </w:tcPr>
          <w:p>
            <w:pPr>
              <w:spacing w:after="0"/>
              <w:rPr>
                <w:sz w:val="1"/>
                <w:szCs w:val="1"/>
                <w:color w:val="auto"/>
              </w:rPr>
            </w:pPr>
          </w:p>
        </w:tc>
      </w:tr>
      <w:tr>
        <w:trPr>
          <w:trHeight w:val="250"/>
        </w:trPr>
        <w:tc>
          <w:tcPr>
            <w:tcW w:w="4360" w:type="dxa"/>
            <w:vAlign w:val="bottom"/>
            <w:gridSpan w:val="2"/>
          </w:tcPr>
          <w:p>
            <w:pPr>
              <w:jc w:val="center"/>
              <w:ind w:right="120"/>
              <w:spacing w:after="0"/>
              <w:rPr>
                <w:sz w:val="20"/>
                <w:szCs w:val="20"/>
                <w:color w:val="auto"/>
              </w:rPr>
            </w:pPr>
            <w:r>
              <w:rPr>
                <w:rFonts w:ascii="Arial" w:cs="Arial" w:eastAsia="Arial" w:hAnsi="Arial"/>
                <w:sz w:val="20"/>
                <w:szCs w:val="20"/>
                <w:color w:val="auto"/>
                <w:w w:val="89"/>
              </w:rPr>
              <w:t>hedging instruments under</w:t>
            </w:r>
          </w:p>
        </w:tc>
        <w:tc>
          <w:tcPr>
            <w:tcW w:w="4060" w:type="dxa"/>
            <w:vAlign w:val="bottom"/>
            <w:gridSpan w:val="2"/>
          </w:tcPr>
          <w:p>
            <w:pPr>
              <w:jc w:val="center"/>
              <w:ind w:right="300"/>
              <w:spacing w:after="0"/>
              <w:rPr>
                <w:sz w:val="20"/>
                <w:szCs w:val="20"/>
                <w:color w:val="auto"/>
              </w:rPr>
            </w:pPr>
            <w:r>
              <w:rPr>
                <w:rFonts w:ascii="Arial" w:cs="Arial" w:eastAsia="Arial" w:hAnsi="Arial"/>
                <w:sz w:val="20"/>
                <w:szCs w:val="20"/>
                <w:color w:val="auto"/>
                <w:w w:val="90"/>
              </w:rPr>
              <w:t>recognized in income on</w:t>
            </w: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61" w:orient="portrait"/>
          <w:cols w:equalWidth="0" w:num="1">
            <w:col w:w="11460"/>
          </w:cols>
          <w:pgMar w:left="240" w:top="121" w:right="199" w:bottom="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48"/>
        </w:trPr>
        <w:tc>
          <w:tcPr>
            <w:tcW w:w="4060" w:type="dxa"/>
            <w:vAlign w:val="bottom"/>
            <w:tcBorders>
              <w:bottom w:val="single" w:sz="8" w:color="auto"/>
            </w:tcBorders>
          </w:tcPr>
          <w:p>
            <w:pPr>
              <w:ind w:left="1360"/>
              <w:spacing w:after="0"/>
              <w:rPr>
                <w:sz w:val="20"/>
                <w:szCs w:val="20"/>
                <w:color w:val="auto"/>
              </w:rPr>
            </w:pPr>
            <w:r>
              <w:rPr>
                <w:rFonts w:ascii="Arial" w:cs="Arial" w:eastAsia="Arial" w:hAnsi="Arial"/>
                <w:sz w:val="20"/>
                <w:szCs w:val="20"/>
                <w:color w:val="auto"/>
              </w:rPr>
              <w:t>FASB ASC 815-20</w:t>
            </w:r>
          </w:p>
        </w:tc>
        <w:tc>
          <w:tcPr>
            <w:tcW w:w="300" w:type="dxa"/>
            <w:vAlign w:val="bottom"/>
          </w:tcPr>
          <w:p>
            <w:pPr>
              <w:spacing w:after="0"/>
              <w:rPr>
                <w:sz w:val="21"/>
                <w:szCs w:val="21"/>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derivatives</w:t>
            </w:r>
          </w:p>
        </w:tc>
        <w:tc>
          <w:tcPr>
            <w:tcW w:w="30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20"/>
                <w:szCs w:val="20"/>
                <w:color w:val="auto"/>
              </w:rPr>
              <w:t>Foreign currency exchange contracts</w:t>
            </w:r>
          </w:p>
        </w:tc>
        <w:tc>
          <w:tcPr>
            <w:tcW w:w="4060" w:type="dxa"/>
            <w:vAlign w:val="bottom"/>
            <w:gridSpan w:val="2"/>
          </w:tcPr>
          <w:p>
            <w:pPr>
              <w:jc w:val="center"/>
              <w:ind w:right="300"/>
              <w:spacing w:after="0"/>
              <w:rPr>
                <w:sz w:val="20"/>
                <w:szCs w:val="20"/>
                <w:color w:val="auto"/>
              </w:rPr>
            </w:pPr>
            <w:r>
              <w:rPr>
                <w:rFonts w:ascii="Arial" w:cs="Arial" w:eastAsia="Arial" w:hAnsi="Arial"/>
                <w:sz w:val="20"/>
                <w:szCs w:val="20"/>
                <w:color w:val="auto"/>
                <w:w w:val="87"/>
              </w:rPr>
              <w:t>Interest and other (expense) income, net</w:t>
            </w:r>
          </w:p>
        </w:tc>
        <w:tc>
          <w:tcPr>
            <w:tcW w:w="60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458</w:t>
            </w:r>
          </w:p>
        </w:tc>
        <w:tc>
          <w:tcPr>
            <w:tcW w:w="280" w:type="dxa"/>
            <w:vAlign w:val="bottom"/>
          </w:tcPr>
          <w:p>
            <w:pPr>
              <w:spacing w:after="0"/>
              <w:rPr>
                <w:sz w:val="24"/>
                <w:szCs w:val="24"/>
                <w:color w:val="auto"/>
              </w:rPr>
            </w:pPr>
          </w:p>
        </w:tc>
        <w:tc>
          <w:tcPr>
            <w:tcW w:w="48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(1,919)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60" w:type="dxa"/>
            <w:vAlign w:val="bottom"/>
            <w:vMerge w:val="restart"/>
          </w:tcPr>
          <w:p>
            <w:pPr>
              <w:jc w:val="right"/>
              <w:ind w:right="2224"/>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0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7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INVENTORIES</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Inventories consist of the following at:</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2"/>
          </w:tcPr>
          <w:p>
            <w:pPr>
              <w:ind w:left="100"/>
              <w:spacing w:after="0"/>
              <w:rPr>
                <w:sz w:val="20"/>
                <w:szCs w:val="20"/>
                <w:color w:val="auto"/>
              </w:rPr>
            </w:pPr>
            <w:r>
              <w:rPr>
                <w:rFonts w:ascii="Arial" w:cs="Arial" w:eastAsia="Arial" w:hAnsi="Arial"/>
                <w:sz w:val="20"/>
                <w:szCs w:val="20"/>
                <w:color w:val="auto"/>
              </w:rPr>
              <w:t>June 30,</w:t>
            </w:r>
          </w:p>
        </w:tc>
        <w:tc>
          <w:tcPr>
            <w:tcW w:w="1480" w:type="dxa"/>
            <w:vAlign w:val="bottom"/>
            <w:gridSpan w:val="2"/>
          </w:tcPr>
          <w:p>
            <w:pPr>
              <w:jc w:val="right"/>
              <w:ind w:right="81"/>
              <w:spacing w:after="0"/>
              <w:rPr>
                <w:sz w:val="20"/>
                <w:szCs w:val="20"/>
                <w:color w:val="auto"/>
              </w:rPr>
            </w:pPr>
            <w:r>
              <w:rPr>
                <w:rFonts w:ascii="Arial" w:cs="Arial" w:eastAsia="Arial" w:hAnsi="Arial"/>
                <w:sz w:val="20"/>
                <w:szCs w:val="20"/>
                <w:color w:val="auto"/>
              </w:rPr>
              <w:t>December 31,</w:t>
            </w:r>
          </w:p>
        </w:tc>
        <w:tc>
          <w:tcPr>
            <w:tcW w:w="0" w:type="dxa"/>
            <w:vAlign w:val="bottom"/>
          </w:tcPr>
          <w:p>
            <w:pPr>
              <w:spacing w:after="0"/>
              <w:rPr>
                <w:sz w:val="1"/>
                <w:szCs w:val="1"/>
                <w:color w:val="auto"/>
              </w:rPr>
            </w:pPr>
          </w:p>
        </w:tc>
      </w:tr>
      <w:tr>
        <w:trPr>
          <w:trHeight w:val="246"/>
        </w:trPr>
        <w:tc>
          <w:tcPr>
            <w:tcW w:w="7260" w:type="dxa"/>
            <w:vAlign w:val="bottom"/>
            <w:vMerge w:val="restart"/>
          </w:tcPr>
          <w:p>
            <w:pPr>
              <w:spacing w:after="0"/>
              <w:rPr>
                <w:sz w:val="20"/>
                <w:szCs w:val="20"/>
                <w:color w:val="auto"/>
              </w:rPr>
            </w:pPr>
            <w:r>
              <w:rPr>
                <w:rFonts w:ascii="Arial" w:cs="Arial" w:eastAsia="Arial" w:hAnsi="Arial"/>
                <w:sz w:val="20"/>
                <w:szCs w:val="20"/>
                <w:color w:val="auto"/>
              </w:rPr>
              <w:t>Raw materials</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2016</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2015</w:t>
            </w:r>
          </w:p>
        </w:tc>
        <w:tc>
          <w:tcPr>
            <w:tcW w:w="0" w:type="dxa"/>
            <w:vAlign w:val="bottom"/>
          </w:tcPr>
          <w:p>
            <w:pPr>
              <w:spacing w:after="0"/>
              <w:rPr>
                <w:sz w:val="1"/>
                <w:szCs w:val="1"/>
                <w:color w:val="auto"/>
              </w:rPr>
            </w:pPr>
          </w:p>
        </w:tc>
      </w:tr>
      <w:tr>
        <w:trPr>
          <w:trHeight w:val="206"/>
        </w:trPr>
        <w:tc>
          <w:tcPr>
            <w:tcW w:w="7260" w:type="dxa"/>
            <w:vAlign w:val="bottom"/>
            <w:vMerge w:val="continue"/>
          </w:tcPr>
          <w:p>
            <w:pPr>
              <w:spacing w:after="0"/>
              <w:rPr>
                <w:sz w:val="17"/>
                <w:szCs w:val="17"/>
                <w:color w:val="auto"/>
              </w:rPr>
            </w:pPr>
          </w:p>
        </w:tc>
        <w:tc>
          <w:tcPr>
            <w:tcW w:w="300" w:type="dxa"/>
            <w:vAlign w:val="bottom"/>
          </w:tcPr>
          <w:p>
            <w:pPr>
              <w:jc w:val="right"/>
              <w:ind w:right="1"/>
              <w:spacing w:after="0" w:line="207" w:lineRule="exact"/>
              <w:rPr>
                <w:sz w:val="20"/>
                <w:szCs w:val="20"/>
                <w:color w:val="auto"/>
              </w:rPr>
            </w:pPr>
            <w:r>
              <w:rPr>
                <w:rFonts w:ascii="Arial" w:cs="Arial" w:eastAsia="Arial" w:hAnsi="Arial"/>
                <w:sz w:val="20"/>
                <w:szCs w:val="20"/>
                <w:color w:val="auto"/>
              </w:rPr>
              <w:t>$</w:t>
            </w:r>
          </w:p>
        </w:tc>
        <w:tc>
          <w:tcPr>
            <w:tcW w:w="1160" w:type="dxa"/>
            <w:vAlign w:val="bottom"/>
          </w:tcPr>
          <w:p>
            <w:pPr>
              <w:jc w:val="right"/>
              <w:ind w:right="1"/>
              <w:spacing w:after="0" w:line="207" w:lineRule="exact"/>
              <w:rPr>
                <w:sz w:val="20"/>
                <w:szCs w:val="20"/>
                <w:color w:val="auto"/>
              </w:rPr>
            </w:pPr>
            <w:r>
              <w:rPr>
                <w:rFonts w:ascii="Arial" w:cs="Arial" w:eastAsia="Arial" w:hAnsi="Arial"/>
                <w:sz w:val="20"/>
                <w:szCs w:val="20"/>
                <w:color w:val="auto"/>
              </w:rPr>
              <w:t>69,811</w:t>
            </w:r>
          </w:p>
        </w:tc>
        <w:tc>
          <w:tcPr>
            <w:tcW w:w="280" w:type="dxa"/>
            <w:vAlign w:val="bottom"/>
          </w:tcPr>
          <w:p>
            <w:pPr>
              <w:spacing w:after="0"/>
              <w:rPr>
                <w:sz w:val="17"/>
                <w:szCs w:val="17"/>
                <w:color w:val="auto"/>
              </w:rPr>
            </w:pPr>
          </w:p>
        </w:tc>
        <w:tc>
          <w:tcPr>
            <w:tcW w:w="38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100" w:type="dxa"/>
            <w:vAlign w:val="bottom"/>
          </w:tcPr>
          <w:p>
            <w:pPr>
              <w:jc w:val="right"/>
              <w:ind w:right="1"/>
              <w:spacing w:after="0" w:line="207" w:lineRule="exact"/>
              <w:rPr>
                <w:sz w:val="20"/>
                <w:szCs w:val="20"/>
                <w:color w:val="auto"/>
              </w:rPr>
            </w:pPr>
            <w:r>
              <w:rPr>
                <w:rFonts w:ascii="Arial" w:cs="Arial" w:eastAsia="Arial" w:hAnsi="Arial"/>
                <w:sz w:val="20"/>
                <w:szCs w:val="20"/>
                <w:color w:val="auto"/>
              </w:rPr>
              <w:t>52,043</w:t>
            </w:r>
          </w:p>
        </w:tc>
        <w:tc>
          <w:tcPr>
            <w:tcW w:w="0" w:type="dxa"/>
            <w:vAlign w:val="bottom"/>
          </w:tcPr>
          <w:p>
            <w:pPr>
              <w:spacing w:after="0"/>
              <w:rPr>
                <w:sz w:val="1"/>
                <w:szCs w:val="1"/>
                <w:color w:val="auto"/>
              </w:rPr>
            </w:pPr>
          </w:p>
        </w:tc>
      </w:tr>
      <w:tr>
        <w:trPr>
          <w:trHeight w:val="246"/>
        </w:trPr>
        <w:tc>
          <w:tcPr>
            <w:tcW w:w="7260" w:type="dxa"/>
            <w:vAlign w:val="bottom"/>
          </w:tcPr>
          <w:p>
            <w:pPr>
              <w:spacing w:after="0"/>
              <w:rPr>
                <w:sz w:val="20"/>
                <w:szCs w:val="20"/>
                <w:color w:val="auto"/>
              </w:rPr>
            </w:pPr>
            <w:r>
              <w:rPr>
                <w:rFonts w:ascii="Arial" w:cs="Arial" w:eastAsia="Arial" w:hAnsi="Arial"/>
                <w:sz w:val="20"/>
                <w:szCs w:val="20"/>
                <w:color w:val="auto"/>
              </w:rPr>
              <w:t>Finished goods</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104,590</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104,078</w:t>
            </w:r>
          </w:p>
        </w:tc>
        <w:tc>
          <w:tcPr>
            <w:tcW w:w="0" w:type="dxa"/>
            <w:vAlign w:val="bottom"/>
          </w:tcPr>
          <w:p>
            <w:pPr>
              <w:spacing w:after="0"/>
              <w:rPr>
                <w:sz w:val="1"/>
                <w:szCs w:val="1"/>
                <w:color w:val="auto"/>
              </w:rPr>
            </w:pPr>
          </w:p>
        </w:tc>
      </w:tr>
      <w:tr>
        <w:trPr>
          <w:trHeight w:val="223"/>
        </w:trPr>
        <w:tc>
          <w:tcPr>
            <w:tcW w:w="7260" w:type="dxa"/>
            <w:vAlign w:val="bottom"/>
          </w:tcPr>
          <w:p>
            <w:pPr>
              <w:spacing w:after="0"/>
              <w:rPr>
                <w:sz w:val="19"/>
                <w:szCs w:val="19"/>
                <w:color w:val="auto"/>
              </w:rPr>
            </w:pPr>
          </w:p>
        </w:tc>
        <w:tc>
          <w:tcPr>
            <w:tcW w:w="3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174,401</w:t>
            </w:r>
          </w:p>
        </w:tc>
        <w:tc>
          <w:tcPr>
            <w:tcW w:w="280" w:type="dxa"/>
            <w:vAlign w:val="bottom"/>
          </w:tcPr>
          <w:p>
            <w:pPr>
              <w:spacing w:after="0"/>
              <w:rPr>
                <w:sz w:val="19"/>
                <w:szCs w:val="19"/>
                <w:color w:val="auto"/>
              </w:rPr>
            </w:pPr>
          </w:p>
        </w:tc>
        <w:tc>
          <w:tcPr>
            <w:tcW w:w="38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156,121</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PROPERTY AND EQUIPMENT, NET</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Property and equipment consist of the following at:</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2"/>
          </w:tcPr>
          <w:p>
            <w:pPr>
              <w:ind w:left="100"/>
              <w:spacing w:after="0"/>
              <w:rPr>
                <w:sz w:val="20"/>
                <w:szCs w:val="20"/>
                <w:color w:val="auto"/>
              </w:rPr>
            </w:pPr>
            <w:r>
              <w:rPr>
                <w:rFonts w:ascii="Arial" w:cs="Arial" w:eastAsia="Arial" w:hAnsi="Arial"/>
                <w:sz w:val="20"/>
                <w:szCs w:val="20"/>
                <w:color w:val="auto"/>
              </w:rPr>
              <w:t>June 30,</w:t>
            </w:r>
          </w:p>
        </w:tc>
        <w:tc>
          <w:tcPr>
            <w:tcW w:w="1460" w:type="dxa"/>
            <w:vAlign w:val="bottom"/>
            <w:gridSpan w:val="2"/>
          </w:tcPr>
          <w:p>
            <w:pPr>
              <w:jc w:val="right"/>
              <w:ind w:right="81"/>
              <w:spacing w:after="0"/>
              <w:rPr>
                <w:sz w:val="20"/>
                <w:szCs w:val="20"/>
                <w:color w:val="auto"/>
              </w:rPr>
            </w:pPr>
            <w:r>
              <w:rPr>
                <w:rFonts w:ascii="Arial" w:cs="Arial" w:eastAsia="Arial" w:hAnsi="Arial"/>
                <w:sz w:val="20"/>
                <w:szCs w:val="20"/>
                <w:color w:val="auto"/>
              </w:rPr>
              <w:t>December 31,</w:t>
            </w:r>
          </w:p>
        </w:tc>
        <w:tc>
          <w:tcPr>
            <w:tcW w:w="0" w:type="dxa"/>
            <w:vAlign w:val="bottom"/>
          </w:tcPr>
          <w:p>
            <w:pPr>
              <w:spacing w:after="0"/>
              <w:rPr>
                <w:sz w:val="1"/>
                <w:szCs w:val="1"/>
                <w:color w:val="auto"/>
              </w:rPr>
            </w:pPr>
          </w:p>
        </w:tc>
      </w:tr>
      <w:tr>
        <w:trPr>
          <w:trHeight w:val="246"/>
        </w:trPr>
        <w:tc>
          <w:tcPr>
            <w:tcW w:w="7240" w:type="dxa"/>
            <w:vAlign w:val="bottom"/>
            <w:vMerge w:val="restart"/>
          </w:tcPr>
          <w:p>
            <w:pPr>
              <w:spacing w:after="0"/>
              <w:rPr>
                <w:sz w:val="20"/>
                <w:szCs w:val="20"/>
                <w:color w:val="auto"/>
              </w:rPr>
            </w:pPr>
            <w:r>
              <w:rPr>
                <w:rFonts w:ascii="Arial" w:cs="Arial" w:eastAsia="Arial" w:hAnsi="Arial"/>
                <w:sz w:val="20"/>
                <w:szCs w:val="20"/>
                <w:color w:val="auto"/>
              </w:rPr>
              <w:t>Land</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2016</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color w:val="auto"/>
              </w:rPr>
              <w:t>2015</w:t>
            </w:r>
          </w:p>
        </w:tc>
        <w:tc>
          <w:tcPr>
            <w:tcW w:w="0" w:type="dxa"/>
            <w:vAlign w:val="bottom"/>
          </w:tcPr>
          <w:p>
            <w:pPr>
              <w:spacing w:after="0"/>
              <w:rPr>
                <w:sz w:val="1"/>
                <w:szCs w:val="1"/>
                <w:color w:val="auto"/>
              </w:rPr>
            </w:pPr>
          </w:p>
        </w:tc>
      </w:tr>
      <w:tr>
        <w:trPr>
          <w:trHeight w:val="206"/>
        </w:trPr>
        <w:tc>
          <w:tcPr>
            <w:tcW w:w="7240" w:type="dxa"/>
            <w:vAlign w:val="bottom"/>
            <w:vMerge w:val="continue"/>
          </w:tcPr>
          <w:p>
            <w:pPr>
              <w:spacing w:after="0"/>
              <w:rPr>
                <w:sz w:val="17"/>
                <w:szCs w:val="17"/>
                <w:color w:val="auto"/>
              </w:rPr>
            </w:pPr>
          </w:p>
        </w:tc>
        <w:tc>
          <w:tcPr>
            <w:tcW w:w="320" w:type="dxa"/>
            <w:vAlign w:val="bottom"/>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1180" w:type="dxa"/>
            <w:vAlign w:val="bottom"/>
          </w:tcPr>
          <w:p>
            <w:pPr>
              <w:jc w:val="right"/>
              <w:ind w:right="1"/>
              <w:spacing w:after="0" w:line="207" w:lineRule="exact"/>
              <w:rPr>
                <w:sz w:val="20"/>
                <w:szCs w:val="20"/>
                <w:color w:val="auto"/>
              </w:rPr>
            </w:pPr>
            <w:r>
              <w:rPr>
                <w:rFonts w:ascii="Arial" w:cs="Arial" w:eastAsia="Arial" w:hAnsi="Arial"/>
                <w:sz w:val="20"/>
                <w:szCs w:val="20"/>
                <w:color w:val="auto"/>
              </w:rPr>
              <w:t>6,792</w:t>
            </w:r>
          </w:p>
        </w:tc>
        <w:tc>
          <w:tcPr>
            <w:tcW w:w="280" w:type="dxa"/>
            <w:vAlign w:val="bottom"/>
          </w:tcPr>
          <w:p>
            <w:pPr>
              <w:spacing w:after="0"/>
              <w:rPr>
                <w:sz w:val="17"/>
                <w:szCs w:val="17"/>
                <w:color w:val="auto"/>
              </w:rPr>
            </w:pPr>
          </w:p>
        </w:tc>
        <w:tc>
          <w:tcPr>
            <w:tcW w:w="36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100" w:type="dxa"/>
            <w:vAlign w:val="bottom"/>
          </w:tcPr>
          <w:p>
            <w:pPr>
              <w:jc w:val="right"/>
              <w:ind w:right="1"/>
              <w:spacing w:after="0" w:line="207" w:lineRule="exact"/>
              <w:rPr>
                <w:sz w:val="20"/>
                <w:szCs w:val="20"/>
                <w:color w:val="auto"/>
              </w:rPr>
            </w:pPr>
            <w:r>
              <w:rPr>
                <w:rFonts w:ascii="Arial" w:cs="Arial" w:eastAsia="Arial" w:hAnsi="Arial"/>
                <w:sz w:val="20"/>
                <w:szCs w:val="20"/>
                <w:color w:val="auto"/>
              </w:rPr>
              <w:t>6,792</w:t>
            </w:r>
          </w:p>
        </w:tc>
        <w:tc>
          <w:tcPr>
            <w:tcW w:w="0" w:type="dxa"/>
            <w:vAlign w:val="bottom"/>
          </w:tcPr>
          <w:p>
            <w:pPr>
              <w:spacing w:after="0"/>
              <w:rPr>
                <w:sz w:val="1"/>
                <w:szCs w:val="1"/>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20"/>
                <w:szCs w:val="20"/>
                <w:color w:val="auto"/>
              </w:rPr>
              <w:t>Leasehold improvements</w:t>
            </w:r>
          </w:p>
        </w:tc>
        <w:tc>
          <w:tcPr>
            <w:tcW w:w="3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2,756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2,804</w:t>
            </w:r>
          </w:p>
        </w:tc>
        <w:tc>
          <w:tcPr>
            <w:tcW w:w="0" w:type="dxa"/>
            <w:vAlign w:val="bottom"/>
          </w:tcPr>
          <w:p>
            <w:pPr>
              <w:spacing w:after="0"/>
              <w:rPr>
                <w:sz w:val="1"/>
                <w:szCs w:val="1"/>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20"/>
                <w:szCs w:val="20"/>
                <w:color w:val="auto"/>
              </w:rPr>
              <w:t>Furniture and fixtures</w:t>
            </w:r>
          </w:p>
        </w:tc>
        <w:tc>
          <w:tcPr>
            <w:tcW w:w="3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3,602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3,551</w:t>
            </w:r>
          </w:p>
        </w:tc>
        <w:tc>
          <w:tcPr>
            <w:tcW w:w="0" w:type="dxa"/>
            <w:vAlign w:val="bottom"/>
          </w:tcPr>
          <w:p>
            <w:pPr>
              <w:spacing w:after="0"/>
              <w:rPr>
                <w:sz w:val="1"/>
                <w:szCs w:val="1"/>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20"/>
                <w:szCs w:val="20"/>
                <w:color w:val="auto"/>
              </w:rPr>
              <w:t>Office and computer equipment</w:t>
            </w:r>
          </w:p>
        </w:tc>
        <w:tc>
          <w:tcPr>
            <w:tcW w:w="3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10,764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11,080</w:t>
            </w:r>
          </w:p>
        </w:tc>
        <w:tc>
          <w:tcPr>
            <w:tcW w:w="0" w:type="dxa"/>
            <w:vAlign w:val="bottom"/>
          </w:tcPr>
          <w:p>
            <w:pPr>
              <w:spacing w:after="0"/>
              <w:rPr>
                <w:sz w:val="1"/>
                <w:szCs w:val="1"/>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20"/>
                <w:szCs w:val="20"/>
                <w:color w:val="auto"/>
              </w:rPr>
              <w:t>Computer software</w:t>
            </w:r>
          </w:p>
        </w:tc>
        <w:tc>
          <w:tcPr>
            <w:tcW w:w="3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2,768</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2,530</w:t>
            </w:r>
          </w:p>
        </w:tc>
        <w:tc>
          <w:tcPr>
            <w:tcW w:w="0" w:type="dxa"/>
            <w:vAlign w:val="bottom"/>
          </w:tcPr>
          <w:p>
            <w:pPr>
              <w:spacing w:after="0"/>
              <w:rPr>
                <w:sz w:val="1"/>
                <w:szCs w:val="1"/>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20"/>
                <w:szCs w:val="20"/>
                <w:color w:val="auto"/>
              </w:rPr>
              <w:t>Equipment</w:t>
            </w:r>
          </w:p>
        </w:tc>
        <w:tc>
          <w:tcPr>
            <w:tcW w:w="3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102,225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93,465</w:t>
            </w:r>
          </w:p>
        </w:tc>
        <w:tc>
          <w:tcPr>
            <w:tcW w:w="0" w:type="dxa"/>
            <w:vAlign w:val="bottom"/>
          </w:tcPr>
          <w:p>
            <w:pPr>
              <w:spacing w:after="0"/>
              <w:rPr>
                <w:sz w:val="1"/>
                <w:szCs w:val="1"/>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20"/>
                <w:szCs w:val="20"/>
                <w:color w:val="auto"/>
              </w:rPr>
              <w:t>Buildings</w:t>
            </w:r>
          </w:p>
        </w:tc>
        <w:tc>
          <w:tcPr>
            <w:tcW w:w="3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40,983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39,848</w:t>
            </w:r>
          </w:p>
        </w:tc>
        <w:tc>
          <w:tcPr>
            <w:tcW w:w="0" w:type="dxa"/>
            <w:vAlign w:val="bottom"/>
          </w:tcPr>
          <w:p>
            <w:pPr>
              <w:spacing w:after="0"/>
              <w:rPr>
                <w:sz w:val="1"/>
                <w:szCs w:val="1"/>
                <w:color w:val="auto"/>
              </w:rPr>
            </w:pPr>
          </w:p>
        </w:tc>
      </w:tr>
      <w:tr>
        <w:trPr>
          <w:trHeight w:val="246"/>
        </w:trPr>
        <w:tc>
          <w:tcPr>
            <w:tcW w:w="7240" w:type="dxa"/>
            <w:vAlign w:val="bottom"/>
          </w:tcPr>
          <w:p>
            <w:pPr>
              <w:spacing w:after="0"/>
              <w:rPr>
                <w:sz w:val="20"/>
                <w:szCs w:val="20"/>
                <w:color w:val="auto"/>
              </w:rPr>
            </w:pPr>
            <w:r>
              <w:rPr>
                <w:rFonts w:ascii="Arial" w:cs="Arial" w:eastAsia="Arial" w:hAnsi="Arial"/>
                <w:sz w:val="20"/>
                <w:szCs w:val="20"/>
                <w:color w:val="auto"/>
              </w:rPr>
              <w:t>Vehicles</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30,738</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29,804</w:t>
            </w:r>
          </w:p>
        </w:tc>
        <w:tc>
          <w:tcPr>
            <w:tcW w:w="0" w:type="dxa"/>
            <w:vAlign w:val="bottom"/>
          </w:tcPr>
          <w:p>
            <w:pPr>
              <w:spacing w:after="0"/>
              <w:rPr>
                <w:sz w:val="1"/>
                <w:szCs w:val="1"/>
                <w:color w:val="auto"/>
              </w:rPr>
            </w:pPr>
          </w:p>
        </w:tc>
      </w:tr>
      <w:tr>
        <w:trPr>
          <w:trHeight w:val="206"/>
        </w:trPr>
        <w:tc>
          <w:tcPr>
            <w:tcW w:w="7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ind w:right="1"/>
              <w:spacing w:after="0" w:line="207" w:lineRule="exact"/>
              <w:rPr>
                <w:sz w:val="20"/>
                <w:szCs w:val="20"/>
                <w:color w:val="auto"/>
              </w:rPr>
            </w:pPr>
            <w:r>
              <w:rPr>
                <w:rFonts w:ascii="Arial" w:cs="Arial" w:eastAsia="Arial" w:hAnsi="Arial"/>
                <w:sz w:val="20"/>
                <w:szCs w:val="20"/>
                <w:color w:val="auto"/>
              </w:rPr>
              <w:t>200,628</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ind w:right="1"/>
              <w:spacing w:after="0" w:line="207" w:lineRule="exact"/>
              <w:rPr>
                <w:sz w:val="20"/>
                <w:szCs w:val="20"/>
                <w:color w:val="auto"/>
              </w:rPr>
            </w:pPr>
            <w:r>
              <w:rPr>
                <w:rFonts w:ascii="Arial" w:cs="Arial" w:eastAsia="Arial" w:hAnsi="Arial"/>
                <w:sz w:val="20"/>
                <w:szCs w:val="20"/>
                <w:color w:val="auto"/>
              </w:rPr>
              <w:t>189,874</w:t>
            </w:r>
          </w:p>
        </w:tc>
        <w:tc>
          <w:tcPr>
            <w:tcW w:w="0" w:type="dxa"/>
            <w:vAlign w:val="bottom"/>
          </w:tcPr>
          <w:p>
            <w:pPr>
              <w:spacing w:after="0"/>
              <w:rPr>
                <w:sz w:val="1"/>
                <w:szCs w:val="1"/>
                <w:color w:val="auto"/>
              </w:rPr>
            </w:pPr>
          </w:p>
        </w:tc>
      </w:tr>
      <w:tr>
        <w:trPr>
          <w:trHeight w:val="246"/>
        </w:trPr>
        <w:tc>
          <w:tcPr>
            <w:tcW w:w="7240" w:type="dxa"/>
            <w:vAlign w:val="bottom"/>
          </w:tcPr>
          <w:p>
            <w:pPr>
              <w:spacing w:after="0"/>
              <w:rPr>
                <w:sz w:val="20"/>
                <w:szCs w:val="20"/>
                <w:color w:val="auto"/>
              </w:rPr>
            </w:pPr>
            <w:r>
              <w:rPr>
                <w:rFonts w:ascii="Arial" w:cs="Arial" w:eastAsia="Arial" w:hAnsi="Arial"/>
                <w:sz w:val="20"/>
                <w:szCs w:val="20"/>
                <w:color w:val="auto"/>
              </w:rPr>
              <w:t>Less: accumulated depreciation and amortization</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(98,066)</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(92,520)</w:t>
            </w:r>
          </w:p>
        </w:tc>
        <w:tc>
          <w:tcPr>
            <w:tcW w:w="0" w:type="dxa"/>
            <w:vAlign w:val="bottom"/>
          </w:tcPr>
          <w:p>
            <w:pPr>
              <w:spacing w:after="0"/>
              <w:rPr>
                <w:sz w:val="1"/>
                <w:szCs w:val="1"/>
                <w:color w:val="auto"/>
              </w:rPr>
            </w:pPr>
          </w:p>
        </w:tc>
      </w:tr>
      <w:tr>
        <w:trPr>
          <w:trHeight w:val="223"/>
        </w:trPr>
        <w:tc>
          <w:tcPr>
            <w:tcW w:w="7240" w:type="dxa"/>
            <w:vAlign w:val="bottom"/>
          </w:tcPr>
          <w:p>
            <w:pPr>
              <w:spacing w:after="0"/>
              <w:rPr>
                <w:sz w:val="19"/>
                <w:szCs w:val="19"/>
                <w:color w:val="auto"/>
              </w:rPr>
            </w:pPr>
          </w:p>
        </w:tc>
        <w:tc>
          <w:tcPr>
            <w:tcW w:w="32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102,562</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97,354</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GOODWILL AND OTHER INTANGIBLE ASSETS</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The following is a roll-forward of goodwill for the six-months ended June 30, 2016 by reportable segment:</w:t>
      </w: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60"/>
          </w:cols>
          <w:pgMar w:left="240" w:top="122" w:right="1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Balance at December 31, 2015</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Acquisitions</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Balance at June 30, 2016</w:t>
      </w:r>
    </w:p>
    <w:p>
      <w:pPr>
        <w:spacing w:after="0" w:line="200" w:lineRule="exact"/>
        <w:rPr>
          <w:sz w:val="20"/>
          <w:szCs w:val="20"/>
          <w:color w:val="auto"/>
        </w:rPr>
      </w:pP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 of the following at: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Amortizing intangibles</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Accumulated amortization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spacing w:after="0"/>
              <w:rPr>
                <w:sz w:val="19"/>
                <w:szCs w:val="19"/>
                <w:color w:val="auto"/>
              </w:rPr>
            </w:pPr>
          </w:p>
        </w:tc>
        <w:tc>
          <w:tcPr>
            <w:tcW w:w="1460" w:type="dxa"/>
            <w:vAlign w:val="bottom"/>
            <w:gridSpan w:val="2"/>
          </w:tcPr>
          <w:p>
            <w:pPr>
              <w:jc w:val="center"/>
              <w:ind w:right="560"/>
              <w:spacing w:after="0"/>
              <w:rPr>
                <w:sz w:val="20"/>
                <w:szCs w:val="20"/>
                <w:color w:val="auto"/>
              </w:rPr>
            </w:pPr>
            <w:r>
              <w:rPr>
                <w:rFonts w:ascii="Arial" w:cs="Arial" w:eastAsia="Arial" w:hAnsi="Arial"/>
                <w:sz w:val="20"/>
                <w:szCs w:val="20"/>
                <w:color w:val="auto"/>
                <w:w w:val="91"/>
              </w:rPr>
              <w:t>Monster</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280" w:type="dxa"/>
            <w:vAlign w:val="bottom"/>
          </w:tcPr>
          <w:p>
            <w:pPr>
              <w:spacing w:after="0"/>
              <w:rPr>
                <w:sz w:val="19"/>
                <w:szCs w:val="19"/>
                <w:color w:val="auto"/>
              </w:rPr>
            </w:pPr>
          </w:p>
        </w:tc>
        <w:tc>
          <w:tcPr>
            <w:tcW w:w="1460" w:type="dxa"/>
            <w:vAlign w:val="bottom"/>
            <w:gridSpan w:val="2"/>
          </w:tcPr>
          <w:p>
            <w:pPr>
              <w:jc w:val="center"/>
              <w:ind w:right="540"/>
              <w:spacing w:after="0"/>
              <w:rPr>
                <w:sz w:val="20"/>
                <w:szCs w:val="20"/>
                <w:color w:val="auto"/>
              </w:rPr>
            </w:pPr>
            <w:r>
              <w:rPr>
                <w:rFonts w:ascii="Arial" w:cs="Arial" w:eastAsia="Arial" w:hAnsi="Arial"/>
                <w:sz w:val="20"/>
                <w:szCs w:val="20"/>
                <w:color w:val="auto"/>
                <w:w w:val="92"/>
              </w:rPr>
              <w:t>Energy®</w:t>
            </w:r>
          </w:p>
        </w:tc>
        <w:tc>
          <w:tcPr>
            <w:tcW w:w="300" w:type="dxa"/>
            <w:vAlign w:val="bottom"/>
          </w:tcPr>
          <w:p>
            <w:pPr>
              <w:spacing w:after="0"/>
              <w:rPr>
                <w:sz w:val="19"/>
                <w:szCs w:val="19"/>
                <w:color w:val="auto"/>
              </w:rPr>
            </w:pPr>
          </w:p>
        </w:tc>
        <w:tc>
          <w:tcPr>
            <w:tcW w:w="1460" w:type="dxa"/>
            <w:vAlign w:val="bottom"/>
            <w:gridSpan w:val="2"/>
          </w:tcPr>
          <w:p>
            <w:pPr>
              <w:jc w:val="center"/>
              <w:ind w:right="580"/>
              <w:spacing w:after="0"/>
              <w:rPr>
                <w:sz w:val="20"/>
                <w:szCs w:val="20"/>
                <w:color w:val="auto"/>
              </w:rPr>
            </w:pPr>
            <w:r>
              <w:rPr>
                <w:rFonts w:ascii="Arial" w:cs="Arial" w:eastAsia="Arial" w:hAnsi="Arial"/>
                <w:sz w:val="20"/>
                <w:szCs w:val="20"/>
                <w:color w:val="auto"/>
                <w:w w:val="91"/>
              </w:rPr>
              <w:t>Strategic</w:t>
            </w: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6"/>
        </w:trPr>
        <w:tc>
          <w:tcPr>
            <w:tcW w:w="280" w:type="dxa"/>
            <w:vAlign w:val="bottom"/>
          </w:tcPr>
          <w:p>
            <w:pPr>
              <w:spacing w:after="0"/>
              <w:rPr>
                <w:sz w:val="21"/>
                <w:szCs w:val="21"/>
                <w:color w:val="auto"/>
              </w:rPr>
            </w:pPr>
          </w:p>
        </w:tc>
        <w:tc>
          <w:tcPr>
            <w:tcW w:w="1460" w:type="dxa"/>
            <w:vAlign w:val="bottom"/>
            <w:gridSpan w:val="2"/>
          </w:tcPr>
          <w:p>
            <w:pPr>
              <w:jc w:val="center"/>
              <w:ind w:right="560"/>
              <w:spacing w:after="0"/>
              <w:rPr>
                <w:sz w:val="20"/>
                <w:szCs w:val="20"/>
                <w:color w:val="auto"/>
              </w:rPr>
            </w:pPr>
            <w:r>
              <w:rPr>
                <w:rFonts w:ascii="Arial" w:cs="Arial" w:eastAsia="Arial" w:hAnsi="Arial"/>
                <w:sz w:val="20"/>
                <w:szCs w:val="20"/>
                <w:color w:val="auto"/>
                <w:w w:val="95"/>
              </w:rPr>
              <w:t>Drinks</w:t>
            </w:r>
          </w:p>
        </w:tc>
        <w:tc>
          <w:tcPr>
            <w:tcW w:w="300" w:type="dxa"/>
            <w:vAlign w:val="bottom"/>
          </w:tcPr>
          <w:p>
            <w:pPr>
              <w:spacing w:after="0"/>
              <w:rPr>
                <w:sz w:val="21"/>
                <w:szCs w:val="21"/>
                <w:color w:val="auto"/>
              </w:rPr>
            </w:pPr>
          </w:p>
        </w:tc>
        <w:tc>
          <w:tcPr>
            <w:tcW w:w="1460" w:type="dxa"/>
            <w:vAlign w:val="bottom"/>
            <w:gridSpan w:val="2"/>
          </w:tcPr>
          <w:p>
            <w:pPr>
              <w:jc w:val="center"/>
              <w:ind w:right="580"/>
              <w:spacing w:after="0"/>
              <w:rPr>
                <w:sz w:val="20"/>
                <w:szCs w:val="20"/>
                <w:color w:val="auto"/>
              </w:rPr>
            </w:pPr>
            <w:r>
              <w:rPr>
                <w:rFonts w:ascii="Arial" w:cs="Arial" w:eastAsia="Arial" w:hAnsi="Arial"/>
                <w:sz w:val="20"/>
                <w:szCs w:val="20"/>
                <w:color w:val="auto"/>
                <w:w w:val="88"/>
              </w:rPr>
              <w:t>Brands</w:t>
            </w:r>
          </w:p>
        </w:tc>
        <w:tc>
          <w:tcPr>
            <w:tcW w:w="1140" w:type="dxa"/>
            <w:vAlign w:val="bottom"/>
          </w:tcPr>
          <w:p>
            <w:pPr>
              <w:jc w:val="right"/>
              <w:ind w:right="81"/>
              <w:spacing w:after="0"/>
              <w:rPr>
                <w:sz w:val="20"/>
                <w:szCs w:val="20"/>
                <w:color w:val="auto"/>
              </w:rPr>
            </w:pPr>
            <w:r>
              <w:rPr>
                <w:rFonts w:ascii="Arial" w:cs="Arial" w:eastAsia="Arial" w:hAnsi="Arial"/>
                <w:sz w:val="20"/>
                <w:szCs w:val="20"/>
                <w:color w:val="auto"/>
              </w:rPr>
              <w:t>Other</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gridSpan w:val="2"/>
          </w:tcPr>
          <w:p>
            <w:pPr>
              <w:ind w:left="200"/>
              <w:spacing w:after="0"/>
              <w:rPr>
                <w:sz w:val="20"/>
                <w:szCs w:val="20"/>
                <w:color w:val="auto"/>
              </w:rPr>
            </w:pPr>
            <w:r>
              <w:rPr>
                <w:rFonts w:ascii="Arial" w:cs="Arial" w:eastAsia="Arial" w:hAnsi="Arial"/>
                <w:sz w:val="20"/>
                <w:szCs w:val="20"/>
                <w:color w:val="auto"/>
              </w:rPr>
              <w:t>Total</w:t>
            </w:r>
          </w:p>
        </w:tc>
      </w:tr>
      <w:tr>
        <w:trPr>
          <w:trHeight w:val="206"/>
        </w:trPr>
        <w:tc>
          <w:tcPr>
            <w:tcW w:w="28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18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641,716</w:t>
            </w:r>
          </w:p>
        </w:tc>
        <w:tc>
          <w:tcPr>
            <w:tcW w:w="280" w:type="dxa"/>
            <w:vAlign w:val="bottom"/>
          </w:tcPr>
          <w:p>
            <w:pPr>
              <w:spacing w:after="0"/>
              <w:rPr>
                <w:sz w:val="17"/>
                <w:szCs w:val="17"/>
                <w:color w:val="auto"/>
              </w:rPr>
            </w:pPr>
          </w:p>
        </w:tc>
        <w:tc>
          <w:tcPr>
            <w:tcW w:w="30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w:t>
            </w:r>
          </w:p>
        </w:tc>
        <w:tc>
          <w:tcPr>
            <w:tcW w:w="118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637,999</w:t>
            </w:r>
          </w:p>
        </w:tc>
        <w:tc>
          <w:tcPr>
            <w:tcW w:w="280" w:type="dxa"/>
            <w:vAlign w:val="bottom"/>
          </w:tcPr>
          <w:p>
            <w:pPr>
              <w:spacing w:after="0"/>
              <w:rPr>
                <w:sz w:val="17"/>
                <w:szCs w:val="17"/>
                <w:color w:val="auto"/>
              </w:rPr>
            </w:pPr>
          </w:p>
        </w:tc>
        <w:tc>
          <w:tcPr>
            <w:tcW w:w="1140" w:type="dxa"/>
            <w:vAlign w:val="bottom"/>
            <w:tcBorders>
              <w:top w:val="single" w:sz="8" w:color="auto"/>
            </w:tcBorders>
          </w:tcPr>
          <w:p>
            <w:pPr>
              <w:jc w:val="right"/>
              <w:ind w:right="841"/>
              <w:spacing w:after="0" w:line="207" w:lineRule="exact"/>
              <w:rPr>
                <w:sz w:val="20"/>
                <w:szCs w:val="20"/>
                <w:color w:val="auto"/>
              </w:rPr>
            </w:pPr>
            <w:r>
              <w:rPr>
                <w:rFonts w:ascii="Arial" w:cs="Arial" w:eastAsia="Arial" w:hAnsi="Arial"/>
                <w:sz w:val="20"/>
                <w:szCs w:val="20"/>
                <w:color w:val="auto"/>
              </w:rPr>
              <w:t>$</w:t>
            </w:r>
          </w:p>
        </w:tc>
        <w:tc>
          <w:tcPr>
            <w:tcW w:w="34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280" w:type="dxa"/>
            <w:vAlign w:val="bottom"/>
          </w:tcPr>
          <w:p>
            <w:pPr>
              <w:spacing w:after="0"/>
              <w:rPr>
                <w:sz w:val="17"/>
                <w:szCs w:val="17"/>
                <w:color w:val="auto"/>
              </w:rPr>
            </w:pPr>
          </w:p>
        </w:tc>
        <w:tc>
          <w:tcPr>
            <w:tcW w:w="380" w:type="dxa"/>
            <w:vAlign w:val="bottom"/>
            <w:tcBorders>
              <w:top w:val="single" w:sz="8" w:color="auto"/>
            </w:tcBorders>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16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1,279,715</w:t>
            </w:r>
          </w:p>
        </w:tc>
        <w:tc>
          <w:tcPr>
            <w:tcW w:w="120" w:type="dxa"/>
            <w:vAlign w:val="bottom"/>
          </w:tcPr>
          <w:p>
            <w:pPr>
              <w:spacing w:after="0"/>
              <w:rPr>
                <w:sz w:val="17"/>
                <w:szCs w:val="17"/>
                <w:color w:val="auto"/>
              </w:rPr>
            </w:pPr>
          </w:p>
        </w:tc>
      </w:tr>
      <w:tr>
        <w:trPr>
          <w:trHeight w:val="246"/>
        </w:trPr>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3,928</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3,928</w:t>
            </w:r>
          </w:p>
        </w:tc>
        <w:tc>
          <w:tcPr>
            <w:tcW w:w="120" w:type="dxa"/>
            <w:vAlign w:val="bottom"/>
            <w:tcBorders>
              <w:bottom w:val="single" w:sz="8" w:color="auto"/>
            </w:tcBorders>
          </w:tcPr>
          <w:p>
            <w:pPr>
              <w:spacing w:after="0"/>
              <w:rPr>
                <w:sz w:val="21"/>
                <w:szCs w:val="21"/>
                <w:color w:val="auto"/>
              </w:rPr>
            </w:pPr>
          </w:p>
        </w:tc>
      </w:tr>
      <w:tr>
        <w:trPr>
          <w:trHeight w:val="223"/>
        </w:trPr>
        <w:tc>
          <w:tcPr>
            <w:tcW w:w="2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645,644</w:t>
            </w:r>
          </w:p>
        </w:tc>
        <w:tc>
          <w:tcPr>
            <w:tcW w:w="280" w:type="dxa"/>
            <w:vAlign w:val="bottom"/>
          </w:tcPr>
          <w:p>
            <w:pPr>
              <w:spacing w:after="0"/>
              <w:rPr>
                <w:sz w:val="19"/>
                <w:szCs w:val="19"/>
                <w:color w:val="auto"/>
              </w:rPr>
            </w:pPr>
          </w:p>
        </w:tc>
        <w:tc>
          <w:tcPr>
            <w:tcW w:w="3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637,999</w:t>
            </w:r>
          </w:p>
        </w:tc>
        <w:tc>
          <w:tcPr>
            <w:tcW w:w="280" w:type="dxa"/>
            <w:vAlign w:val="bottom"/>
          </w:tcPr>
          <w:p>
            <w:pPr>
              <w:spacing w:after="0"/>
              <w:rPr>
                <w:sz w:val="19"/>
                <w:szCs w:val="19"/>
                <w:color w:val="auto"/>
              </w:rPr>
            </w:pPr>
          </w:p>
        </w:tc>
        <w:tc>
          <w:tcPr>
            <w:tcW w:w="1140" w:type="dxa"/>
            <w:vAlign w:val="bottom"/>
            <w:tcBorders>
              <w:bottom w:val="single" w:sz="8" w:color="auto"/>
            </w:tcBorders>
          </w:tcPr>
          <w:p>
            <w:pPr>
              <w:jc w:val="right"/>
              <w:ind w:right="841"/>
              <w:spacing w:after="0" w:line="223" w:lineRule="exact"/>
              <w:rPr>
                <w:sz w:val="20"/>
                <w:szCs w:val="20"/>
                <w:color w:val="auto"/>
              </w:rPr>
            </w:pPr>
            <w:r>
              <w:rPr>
                <w:rFonts w:ascii="Arial" w:cs="Arial" w:eastAsia="Arial" w:hAnsi="Arial"/>
                <w:sz w:val="20"/>
                <w:szCs w:val="20"/>
                <w:color w:val="auto"/>
              </w:rPr>
              <w:t>$</w:t>
            </w:r>
          </w:p>
        </w:tc>
        <w:tc>
          <w:tcPr>
            <w:tcW w:w="34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38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1,283,643</w:t>
            </w:r>
          </w:p>
        </w:tc>
        <w:tc>
          <w:tcPr>
            <w:tcW w:w="120" w:type="dxa"/>
            <w:vAlign w:val="bottom"/>
            <w:tcBorders>
              <w:bottom w:val="single" w:sz="8" w:color="auto"/>
            </w:tcBorders>
          </w:tcPr>
          <w:p>
            <w:pPr>
              <w:spacing w:after="0"/>
              <w:rPr>
                <w:sz w:val="19"/>
                <w:szCs w:val="19"/>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3180" w:type="dxa"/>
        <w:tblCellMar>
          <w:top w:w="0" w:type="dxa"/>
          <w:left w:w="0" w:type="dxa"/>
          <w:bottom w:w="0" w:type="dxa"/>
          <w:right w:w="0" w:type="dxa"/>
        </w:tblCellMar>
      </w:tblPr>
      <w:tr>
        <w:trPr>
          <w:trHeight w:val="230"/>
        </w:trPr>
        <w:tc>
          <w:tcPr>
            <w:tcW w:w="300" w:type="dxa"/>
            <w:vAlign w:val="bottom"/>
          </w:tcPr>
          <w:p>
            <w:pPr>
              <w:spacing w:after="0"/>
              <w:rPr>
                <w:sz w:val="19"/>
                <w:szCs w:val="19"/>
                <w:color w:val="auto"/>
              </w:rPr>
            </w:pPr>
          </w:p>
        </w:tc>
        <w:tc>
          <w:tcPr>
            <w:tcW w:w="1620" w:type="dxa"/>
            <w:vAlign w:val="bottom"/>
            <w:gridSpan w:val="2"/>
          </w:tcPr>
          <w:p>
            <w:pPr>
              <w:jc w:val="center"/>
              <w:ind w:right="720"/>
              <w:spacing w:after="0"/>
              <w:rPr>
                <w:sz w:val="20"/>
                <w:szCs w:val="20"/>
                <w:color w:val="auto"/>
              </w:rPr>
            </w:pPr>
            <w:r>
              <w:rPr>
                <w:rFonts w:ascii="Arial" w:cs="Arial" w:eastAsia="Arial" w:hAnsi="Arial"/>
                <w:sz w:val="20"/>
                <w:szCs w:val="20"/>
                <w:color w:val="auto"/>
                <w:w w:val="85"/>
              </w:rPr>
              <w:t>June 30,</w:t>
            </w:r>
          </w:p>
        </w:tc>
        <w:tc>
          <w:tcPr>
            <w:tcW w:w="1460" w:type="dxa"/>
            <w:vAlign w:val="bottom"/>
            <w:gridSpan w:val="2"/>
          </w:tcPr>
          <w:p>
            <w:pPr>
              <w:jc w:val="center"/>
              <w:spacing w:after="0"/>
              <w:rPr>
                <w:sz w:val="20"/>
                <w:szCs w:val="20"/>
                <w:color w:val="auto"/>
              </w:rPr>
            </w:pPr>
            <w:r>
              <w:rPr>
                <w:rFonts w:ascii="Arial" w:cs="Arial" w:eastAsia="Arial" w:hAnsi="Arial"/>
                <w:sz w:val="20"/>
                <w:szCs w:val="20"/>
                <w:color w:val="auto"/>
                <w:w w:val="89"/>
              </w:rPr>
              <w:t>December 31,</w:t>
            </w:r>
          </w:p>
        </w:tc>
      </w:tr>
      <w:tr>
        <w:trPr>
          <w:trHeight w:val="246"/>
        </w:trPr>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2016</w:t>
            </w:r>
          </w:p>
        </w:tc>
        <w:tc>
          <w:tcPr>
            <w:tcW w:w="4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2015</w:t>
            </w:r>
          </w:p>
        </w:tc>
      </w:tr>
      <w:tr>
        <w:trPr>
          <w:trHeight w:val="206"/>
        </w:trPr>
        <w:tc>
          <w:tcPr>
            <w:tcW w:w="300" w:type="dxa"/>
            <w:vAlign w:val="bottom"/>
          </w:tcPr>
          <w:p>
            <w:pPr>
              <w:jc w:val="right"/>
              <w:ind w:right="1"/>
              <w:spacing w:after="0" w:line="207" w:lineRule="exact"/>
              <w:rPr>
                <w:sz w:val="20"/>
                <w:szCs w:val="20"/>
                <w:color w:val="auto"/>
              </w:rPr>
            </w:pPr>
            <w:r>
              <w:rPr>
                <w:rFonts w:ascii="Arial" w:cs="Arial" w:eastAsia="Arial" w:hAnsi="Arial"/>
                <w:sz w:val="20"/>
                <w:szCs w:val="20"/>
                <w:color w:val="auto"/>
              </w:rPr>
              <w:t>$</w:t>
            </w:r>
          </w:p>
        </w:tc>
        <w:tc>
          <w:tcPr>
            <w:tcW w:w="1200" w:type="dxa"/>
            <w:vAlign w:val="bottom"/>
          </w:tcPr>
          <w:p>
            <w:pPr>
              <w:ind w:left="540"/>
              <w:spacing w:after="0" w:line="207" w:lineRule="exact"/>
              <w:rPr>
                <w:sz w:val="20"/>
                <w:szCs w:val="20"/>
                <w:color w:val="auto"/>
              </w:rPr>
            </w:pPr>
            <w:r>
              <w:rPr>
                <w:rFonts w:ascii="Arial" w:cs="Arial" w:eastAsia="Arial" w:hAnsi="Arial"/>
                <w:sz w:val="20"/>
                <w:szCs w:val="20"/>
                <w:color w:val="auto"/>
              </w:rPr>
              <w:t>71,213</w:t>
            </w:r>
          </w:p>
        </w:tc>
        <w:tc>
          <w:tcPr>
            <w:tcW w:w="420" w:type="dxa"/>
            <w:vAlign w:val="bottom"/>
          </w:tcPr>
          <w:p>
            <w:pPr>
              <w:spacing w:after="0"/>
              <w:rPr>
                <w:sz w:val="17"/>
                <w:szCs w:val="17"/>
                <w:color w:val="auto"/>
              </w:rPr>
            </w:pPr>
          </w:p>
        </w:tc>
        <w:tc>
          <w:tcPr>
            <w:tcW w:w="36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100" w:type="dxa"/>
            <w:vAlign w:val="bottom"/>
          </w:tcPr>
          <w:p>
            <w:pPr>
              <w:ind w:left="440"/>
              <w:spacing w:after="0" w:line="207" w:lineRule="exact"/>
              <w:rPr>
                <w:sz w:val="20"/>
                <w:szCs w:val="20"/>
                <w:color w:val="auto"/>
              </w:rPr>
            </w:pPr>
            <w:r>
              <w:rPr>
                <w:rFonts w:ascii="Arial" w:cs="Arial" w:eastAsia="Arial" w:hAnsi="Arial"/>
                <w:sz w:val="20"/>
                <w:szCs w:val="20"/>
                <w:color w:val="auto"/>
              </w:rPr>
              <w:t>35,263</w:t>
            </w:r>
          </w:p>
        </w:tc>
      </w:tr>
      <w:tr>
        <w:trPr>
          <w:trHeight w:val="246"/>
        </w:trPr>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ind w:left="560"/>
              <w:spacing w:after="0"/>
              <w:rPr>
                <w:sz w:val="20"/>
                <w:szCs w:val="20"/>
                <w:color w:val="auto"/>
              </w:rPr>
            </w:pPr>
            <w:r>
              <w:rPr>
                <w:rFonts w:ascii="Arial" w:cs="Arial" w:eastAsia="Arial" w:hAnsi="Arial"/>
                <w:sz w:val="20"/>
                <w:szCs w:val="20"/>
                <w:color w:val="auto"/>
                <w:w w:val="97"/>
              </w:rPr>
              <w:t>(8,612)</w:t>
            </w:r>
          </w:p>
        </w:tc>
        <w:tc>
          <w:tcPr>
            <w:tcW w:w="4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ind w:left="460"/>
              <w:spacing w:after="0"/>
              <w:rPr>
                <w:sz w:val="20"/>
                <w:szCs w:val="20"/>
                <w:color w:val="auto"/>
              </w:rPr>
            </w:pPr>
            <w:r>
              <w:rPr>
                <w:rFonts w:ascii="Arial" w:cs="Arial" w:eastAsia="Arial" w:hAnsi="Arial"/>
                <w:sz w:val="20"/>
                <w:szCs w:val="20"/>
                <w:color w:val="auto"/>
                <w:w w:val="97"/>
              </w:rPr>
              <w:t>(3,899)</w:t>
            </w:r>
          </w:p>
        </w:tc>
      </w:tr>
    </w:tbl>
    <w:p>
      <w:pPr>
        <w:sectPr>
          <w:pgSz w:w="11900" w:h="16838" w:orient="portrait"/>
          <w:cols w:equalWidth="0" w:num="2">
            <w:col w:w="4140" w:space="200"/>
            <w:col w:w="7120"/>
          </w:cols>
          <w:pgMar w:left="240" w:top="122" w:right="199" w:bottom="0" w:gutter="0" w:footer="0" w:header="0"/>
          <w:type w:val="continuous"/>
        </w:sectPr>
      </w:pPr>
    </w:p>
    <w:bookmarkStart w:id="13" w:name="page14"/>
    <w:bookmarkEnd w:id="13"/>
    <w:p>
      <w:pPr>
        <w:ind w:left="8360"/>
        <w:spacing w:after="0"/>
        <w:tabs>
          <w:tab w:leader="none" w:pos="10220" w:val="left"/>
        </w:tabs>
        <w:rPr>
          <w:sz w:val="20"/>
          <w:szCs w:val="20"/>
          <w:color w:val="auto"/>
        </w:rPr>
      </w:pPr>
      <w:r>
        <w:rPr>
          <w:rFonts w:ascii="Arial" w:cs="Arial" w:eastAsia="Arial" w:hAnsi="Arial"/>
          <w:sz w:val="20"/>
          <w:szCs w:val="20"/>
          <w:color w:val="auto"/>
        </w:rPr>
        <w:t>62,601</w:t>
      </w:r>
      <w:r>
        <w:rPr>
          <w:sz w:val="20"/>
          <w:szCs w:val="20"/>
          <w:color w:val="auto"/>
        </w:rPr>
        <w:tab/>
      </w:r>
      <w:r>
        <w:rPr>
          <w:rFonts w:ascii="Arial" w:cs="Arial" w:eastAsia="Arial" w:hAnsi="Arial"/>
          <w:sz w:val="20"/>
          <w:szCs w:val="20"/>
          <w:color w:val="auto"/>
        </w:rPr>
        <w:t>31,364</w:t>
      </w:r>
    </w:p>
    <w:p>
      <w:pPr>
        <w:spacing w:after="0" w:line="17" w:lineRule="exact"/>
        <w:rPr>
          <w:sz w:val="20"/>
          <w:szCs w:val="20"/>
          <w:color w:val="auto"/>
        </w:rPr>
      </w:pPr>
    </w:p>
    <w:p>
      <w:pPr>
        <w:ind w:left="660"/>
        <w:spacing w:after="0"/>
        <w:tabs>
          <w:tab w:leader="none" w:pos="8100" w:val="left"/>
          <w:tab w:leader="none" w:pos="10120" w:val="left"/>
        </w:tabs>
        <w:rPr>
          <w:sz w:val="20"/>
          <w:szCs w:val="20"/>
          <w:color w:val="auto"/>
        </w:rPr>
      </w:pPr>
      <w:r>
        <w:rPr>
          <w:rFonts w:ascii="Arial" w:cs="Arial" w:eastAsia="Arial" w:hAnsi="Arial"/>
          <w:sz w:val="20"/>
          <w:szCs w:val="20"/>
          <w:color w:val="auto"/>
        </w:rPr>
        <w:t>Non-amortizing intangibles</w:t>
      </w:r>
      <w:r>
        <w:rPr>
          <w:sz w:val="20"/>
          <w:szCs w:val="20"/>
          <w:color w:val="auto"/>
        </w:rPr>
        <w:tab/>
      </w:r>
      <w:r>
        <w:rPr>
          <w:rFonts w:ascii="Arial" w:cs="Arial" w:eastAsia="Arial" w:hAnsi="Arial"/>
          <w:sz w:val="20"/>
          <w:szCs w:val="20"/>
          <w:color w:val="auto"/>
        </w:rPr>
        <w:t>1,019,550</w:t>
      </w:r>
      <w:r>
        <w:rPr>
          <w:sz w:val="20"/>
          <w:szCs w:val="20"/>
          <w:color w:val="auto"/>
        </w:rPr>
        <w:tab/>
      </w:r>
      <w:r>
        <w:rPr>
          <w:rFonts w:ascii="Arial" w:cs="Arial" w:eastAsia="Arial" w:hAnsi="Arial"/>
          <w:sz w:val="18"/>
          <w:szCs w:val="18"/>
          <w:color w:val="auto"/>
        </w:rPr>
        <w:t>396,622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4773295</wp:posOffset>
            </wp:positionH>
            <wp:positionV relativeFrom="paragraph">
              <wp:posOffset>0</wp:posOffset>
            </wp:positionV>
            <wp:extent cx="21437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ind w:left="7620"/>
        <w:spacing w:after="0"/>
        <w:tabs>
          <w:tab w:leader="none" w:pos="8100" w:val="left"/>
          <w:tab w:leader="none" w:pos="9520" w:val="left"/>
          <w:tab w:leader="none" w:pos="1012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1,082,151</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427,986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4773295</wp:posOffset>
            </wp:positionH>
            <wp:positionV relativeFrom="paragraph">
              <wp:posOffset>5715</wp:posOffset>
            </wp:positionV>
            <wp:extent cx="214376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43760" cy="26035"/>
                    </a:xfrm>
                    <a:prstGeom prst="rect">
                      <a:avLst/>
                    </a:prstGeom>
                    <a:noFill/>
                  </pic:spPr>
                </pic:pic>
              </a:graphicData>
            </a:graphic>
          </wp:anchor>
        </w:drawing>
      </w:r>
    </w:p>
    <w:p>
      <w:pPr>
        <w:spacing w:after="0" w:line="24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Amortizing intangibles primarily consist of customer relationships. All amortizing intangibles have been assigned an estimated finite useful life and such intangibles are amortized on a straight-line basis over the number of years that approximate their respective useful lives, generally five to seven years. Total amortization expense recorded was $2.9 million and $0.3 million for the three-months ended June 30, 2016 and 2015, respectively. Total amortization expense recorded was $4.6 million and $0.3 million for the six-months ended June 30, 2016 and 2015, respectively.</w:t>
      </w:r>
    </w:p>
    <w:p>
      <w:pPr>
        <w:spacing w:after="0" w:line="208"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DISTRIBUTION AGREEMENTS</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accordance with ASC No. 420 “Exit or Disposal Cost Obligations”, the Company expenses distributor termination costs in the period in which the written notification of termination occurs. The Company incurred termination costs of $25.3 million and $12.2 million for the three-months ended June 30, 2016 and 2015, respectively. The Company incurred termination costs of $28.7 million and $218.2 million for the six-months ended June 30, 2016 and 2015, respectively. Such termination costs have been expensed in full and are included in operating expenses for the three- and six-months ended June 30, 2016 and 2015.</w:t>
      </w:r>
    </w:p>
    <w:p>
      <w:pPr>
        <w:spacing w:after="0" w:line="20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 the normal course of business, amounts received pursuant to new and/or amended distribution agreements entered into with certain distributors, relating to the costs associated with terminating agreements with the Company’s prior distributors, are accounted for as deferred revenue and are recognized as revenue ratably over the anticipated life of the respective distribution agreement, generally 20 years. Revenue recognized was $12.1 million and $3.2 million for the three-months ended June 30, 2016 and 2015, respectively. Revenue recognized was $20.2 million and $46.5 million for the six-months ended June 30, 2016 and 2015, respectively. Included in the $12.1 million and $20.2 million of revenue recognized for the three- and six-months ended June 30, 2016 was $5.0 million related to the accelerated amortization of the deferred revenue balances associated with certain of the Company’s prior distributors who were sent notices of termination during the second quarter of 2016. There was no acceleration of deferred revenue in the three-months ended June 30, 2015. Included in the $46.5 million of revenue recognized for the six-months ended June 30, 2015 was $39.8 million related to the accelerated amortization of the deferred revenue balances associated with certain of the Company’s prior distributors who were sent notices of termination during the first quarter of 2015.</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20" w:hanging="612"/>
        <w:spacing w:after="0"/>
        <w:tabs>
          <w:tab w:leader="none" w:pos="6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COMMITMENTS AND CONTINGENCIES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had purchase commitments aggregating approximately $29.0 million at June 30, 2016, which represented commitments made by the Company and its subsidiaries to various suppliers of raw materials for the production of its products. These obligations vary in terms, but are generally satisfied within one year.</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had contractual obligations aggregating approximately $136.7 million at June 30, 2016, which related primarily to sponsorships and other marketing activities.</w:t>
      </w:r>
    </w:p>
    <w:p>
      <w:pPr>
        <w:spacing w:after="0" w:line="19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Company had operating lease commitments aggregating approximately $20.3 million at June 30, 2016, which related primarily to warehouse and office space.</w:t>
      </w:r>
    </w:p>
    <w:p>
      <w:pPr>
        <w:spacing w:after="0" w:line="19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July 2016, we entered into an agreement to acquire an approximately 75,425 square foot, free standing, three-story office building, including the real property thereunder and improvements thereon, located in Corona, CA adjacent to our current corporate headquarters, for a purchase price of approximately $12.6 million. The purchase is subject to various conditions precedent that must be satisfied prior to the closing. If we ultimately acquire the building, we intend to complete any necessary improvements and occupy the building as an extension of our existing corporate headquarters at some time in the future.</w:t>
      </w:r>
    </w:p>
    <w:p>
      <w:pPr>
        <w:spacing w:after="0" w:line="2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February 2016, the Company entered into an agreement to acquire approximately 49 acres of land, located in Rialto, CA, for a purchase price of approximately $39.0 million. The purchase is subject to various conditions precedent that must be satisfied prior to the closing. If the Company ultimately acquires the land, it intends to build an approximately 1,000,000 square-foot building to replace its current leased warehouse and distribution space located in Corona, CA.</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Legal Proceedings</w:t>
      </w:r>
    </w:p>
    <w:p>
      <w:pPr>
        <w:spacing w:after="0" w:line="229" w:lineRule="exact"/>
        <w:rPr>
          <w:sz w:val="20"/>
          <w:szCs w:val="20"/>
          <w:color w:val="auto"/>
        </w:rPr>
      </w:pPr>
    </w:p>
    <w:p>
      <w:pPr>
        <w:jc w:val="both"/>
        <w:ind w:firstLine="689"/>
        <w:spacing w:after="0" w:line="244" w:lineRule="auto"/>
        <w:rPr>
          <w:sz w:val="20"/>
          <w:szCs w:val="20"/>
          <w:color w:val="auto"/>
        </w:rPr>
      </w:pPr>
      <w:r>
        <w:rPr>
          <w:rFonts w:ascii="Arial" w:cs="Arial" w:eastAsia="Arial" w:hAnsi="Arial"/>
          <w:sz w:val="20"/>
          <w:szCs w:val="20"/>
          <w:i w:val="1"/>
          <w:iCs w:val="1"/>
          <w:color w:val="auto"/>
        </w:rPr>
        <w:t xml:space="preserve">Litigation - </w:t>
      </w:r>
      <w:r>
        <w:rPr>
          <w:rFonts w:ascii="Arial" w:cs="Arial" w:eastAsia="Arial" w:hAnsi="Arial"/>
          <w:sz w:val="20"/>
          <w:szCs w:val="20"/>
          <w:color w:val="auto"/>
        </w:rPr>
        <w:t>The Company has been named a defendant in numerous personal injury lawsuits, claiming that the death or other serious</w:t>
      </w:r>
      <w:r>
        <w:rPr>
          <w:rFonts w:ascii="Arial" w:cs="Arial" w:eastAsia="Arial" w:hAnsi="Arial"/>
          <w:sz w:val="20"/>
          <w:szCs w:val="20"/>
          <w:i w:val="1"/>
          <w:iCs w:val="1"/>
          <w:color w:val="auto"/>
        </w:rPr>
        <w:t xml:space="preserve"> </w:t>
      </w:r>
      <w:r>
        <w:rPr>
          <w:rFonts w:ascii="Arial" w:cs="Arial" w:eastAsia="Arial" w:hAnsi="Arial"/>
          <w:sz w:val="20"/>
          <w:szCs w:val="20"/>
          <w:color w:val="auto"/>
        </w:rPr>
        <w:t>injury of the plaintiffs was caused by consumption of Monster Energy® brand energy drinks. The plaintiffs in these lawsuits allege strict product liability, negligence, fraudulent concealment, breach of implied warranties and wrongful death. The Company believes that each complaint is without merit and plans a vigorous defense. The Company also believes that any damages, if awarded, would not have a material adverse effect on the Company’s financial position or results of operations.</w:t>
      </w:r>
    </w:p>
    <w:p>
      <w:pPr>
        <w:spacing w:after="0" w:line="208"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i w:val="1"/>
          <w:iCs w:val="1"/>
          <w:color w:val="auto"/>
        </w:rPr>
        <w:t xml:space="preserve">State Attorney General Inquiry </w:t>
      </w:r>
      <w:r>
        <w:rPr>
          <w:rFonts w:ascii="Arial" w:cs="Arial" w:eastAsia="Arial" w:hAnsi="Arial"/>
          <w:sz w:val="18"/>
          <w:szCs w:val="18"/>
          <w:color w:val="auto"/>
        </w:rPr>
        <w:t>– In July 2012, the Company received a subpoena from the Attorney General for the State of New York</w:t>
      </w:r>
      <w:r>
        <w:rPr>
          <w:rFonts w:ascii="Arial" w:cs="Arial" w:eastAsia="Arial" w:hAnsi="Arial"/>
          <w:sz w:val="18"/>
          <w:szCs w:val="18"/>
          <w:i w:val="1"/>
          <w:iCs w:val="1"/>
          <w:color w:val="auto"/>
        </w:rPr>
        <w:t xml:space="preserve"> </w:t>
      </w:r>
      <w:r>
        <w:rPr>
          <w:rFonts w:ascii="Arial" w:cs="Arial" w:eastAsia="Arial" w:hAnsi="Arial"/>
          <w:sz w:val="18"/>
          <w:szCs w:val="18"/>
          <w:color w:val="auto"/>
        </w:rPr>
        <w:t>in connection with its investigation concerning the Company’s advertising, marketing, promotion, ingredients, usage and sale of its Monster</w:t>
      </w:r>
    </w:p>
    <w:p>
      <w:pPr>
        <w:sectPr>
          <w:pgSz w:w="11900" w:h="16838" w:orient="portrait"/>
          <w:cols w:equalWidth="0" w:num="1">
            <w:col w:w="11420"/>
          </w:cols>
          <w:pgMar w:left="240" w:top="122" w:right="239" w:bottom="0" w:gutter="0" w:footer="0" w:header="0"/>
        </w:sectPr>
      </w:pPr>
    </w:p>
    <w:bookmarkStart w:id="14" w:name="page15"/>
    <w:bookmarkEnd w:id="14"/>
    <w:p>
      <w:pPr>
        <w:spacing w:after="0"/>
        <w:rPr>
          <w:sz w:val="20"/>
          <w:szCs w:val="20"/>
          <w:color w:val="auto"/>
        </w:rPr>
      </w:pPr>
      <w:r>
        <w:rPr>
          <w:rFonts w:ascii="Arial" w:cs="Arial" w:eastAsia="Arial" w:hAnsi="Arial"/>
          <w:sz w:val="20"/>
          <w:szCs w:val="20"/>
          <w:color w:val="auto"/>
        </w:rPr>
        <w:t>Energy® brand energy drinks. Production of documents pursuant to that subpoena was completed in approximately May 2014.</w:t>
      </w:r>
    </w:p>
    <w:p>
      <w:pPr>
        <w:spacing w:after="0" w:line="23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On August 6, 2014, the Attorney General for the State of New York issued a second subpoena seeking additional documents and the deposition of a Company employee. On September 8, 2014, the Company moved to quash the second subpoena in the Supreme Court, New York County. The motion was fully briefed and was argued on March 17, 2015. No decision has been rendered. It is unknown what, if any, action the state attorney general may take against the Company, the relief which may be sought in the event of any such proceeding or whether such proceeding could have a material adverse effect on the Company’s business, financial condition or results of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i w:val="1"/>
          <w:iCs w:val="1"/>
          <w:color w:val="auto"/>
        </w:rPr>
        <w:t xml:space="preserve">San Francisco City Attorney Litigation </w:t>
      </w:r>
      <w:r>
        <w:rPr>
          <w:rFonts w:ascii="Arial" w:cs="Arial" w:eastAsia="Arial" w:hAnsi="Arial"/>
          <w:sz w:val="18"/>
          <w:szCs w:val="18"/>
          <w:color w:val="auto"/>
        </w:rPr>
        <w:t>– On October 31, 2012, the Company received a written request for information from the City</w:t>
      </w:r>
      <w:r>
        <w:rPr>
          <w:rFonts w:ascii="Arial" w:cs="Arial" w:eastAsia="Arial" w:hAnsi="Arial"/>
          <w:sz w:val="18"/>
          <w:szCs w:val="18"/>
          <w:i w:val="1"/>
          <w:iCs w:val="1"/>
          <w:color w:val="auto"/>
        </w:rPr>
        <w:t xml:space="preserve"> </w:t>
      </w:r>
      <w:r>
        <w:rPr>
          <w:rFonts w:ascii="Arial" w:cs="Arial" w:eastAsia="Arial" w:hAnsi="Arial"/>
          <w:sz w:val="18"/>
          <w:szCs w:val="18"/>
          <w:color w:val="auto"/>
        </w:rPr>
        <w:t>Attorney for the City and County of San Francisco concerning the Company’s advertising and marketing of its Monster Energy® brand energy drinks and specifically concerning the safety of its products for consumption by adolescents. In a letter dated March 29, 2013, the San Francisco City Attorney threatened to bring suit against the Company if it did not agree to take the following five steps immediately:</w:t>
      </w:r>
    </w:p>
    <w:p>
      <w:pPr>
        <w:spacing w:after="0" w:line="3" w:lineRule="exact"/>
        <w:rPr>
          <w:sz w:val="20"/>
          <w:szCs w:val="20"/>
          <w:color w:val="auto"/>
        </w:rPr>
      </w:pPr>
    </w:p>
    <w:p>
      <w:pPr>
        <w:ind w:firstLine="8"/>
        <w:spacing w:after="0" w:line="269" w:lineRule="auto"/>
        <w:tabs>
          <w:tab w:leader="none" w:pos="241" w:val="left"/>
        </w:tabs>
        <w:numPr>
          <w:ilvl w:val="0"/>
          <w:numId w:val="19"/>
        </w:numPr>
        <w:rPr>
          <w:rFonts w:ascii="Arial" w:cs="Arial" w:eastAsia="Arial" w:hAnsi="Arial"/>
          <w:sz w:val="19"/>
          <w:szCs w:val="19"/>
          <w:color w:val="auto"/>
        </w:rPr>
      </w:pPr>
      <w:r>
        <w:rPr>
          <w:rFonts w:ascii="Arial" w:cs="Arial" w:eastAsia="Arial" w:hAnsi="Arial"/>
          <w:sz w:val="19"/>
          <w:szCs w:val="19"/>
          <w:color w:val="auto"/>
        </w:rPr>
        <w:t>“Reformulate its products to lower the caffeine content to safe levels”; (ii) “Provide adequate warning labels”; (iii) “Cease promoting over-consumption in marketing”; (iv) “Cease use of alcohol and drug references in marketing” and (v) “Cease targeting minors.”</w:t>
      </w:r>
    </w:p>
    <w:p>
      <w:pPr>
        <w:spacing w:after="0" w:line="182" w:lineRule="exact"/>
        <w:rPr>
          <w:rFonts w:ascii="Arial" w:cs="Arial" w:eastAsia="Arial" w:hAnsi="Arial"/>
          <w:sz w:val="19"/>
          <w:szCs w:val="19"/>
          <w:color w:val="auto"/>
        </w:rPr>
      </w:pPr>
    </w:p>
    <w:p>
      <w:pPr>
        <w:jc w:val="both"/>
        <w:ind w:firstLine="656"/>
        <w:spacing w:after="0" w:line="255" w:lineRule="auto"/>
        <w:tabs>
          <w:tab w:leader="none" w:pos="913" w:val="left"/>
        </w:tabs>
        <w:numPr>
          <w:ilvl w:val="1"/>
          <w:numId w:val="19"/>
        </w:numPr>
        <w:rPr>
          <w:rFonts w:ascii="Arial" w:cs="Arial" w:eastAsia="Arial" w:hAnsi="Arial"/>
          <w:sz w:val="19"/>
          <w:szCs w:val="19"/>
          <w:color w:val="auto"/>
        </w:rPr>
      </w:pPr>
      <w:r>
        <w:rPr>
          <w:rFonts w:ascii="Arial" w:cs="Arial" w:eastAsia="Arial" w:hAnsi="Arial"/>
          <w:sz w:val="19"/>
          <w:szCs w:val="19"/>
          <w:color w:val="auto"/>
        </w:rPr>
        <w:t xml:space="preserve">The Company Action – On April 29, 2013, the Company and its wholly-owned subsidiary, Monster Energy Company, filed a complaint for declaratory and injunctive relief against the San Francisco City Attorney (the “Company Action”) in United States District Court for the Central District of California (the “Central District Court”), styled </w:t>
      </w:r>
      <w:r>
        <w:rPr>
          <w:rFonts w:ascii="Arial" w:cs="Arial" w:eastAsia="Arial" w:hAnsi="Arial"/>
          <w:sz w:val="19"/>
          <w:szCs w:val="19"/>
          <w:i w:val="1"/>
          <w:iCs w:val="1"/>
          <w:color w:val="auto"/>
        </w:rPr>
        <w:t>Monster Beverage Corp., et al. v. Dennis Herrera</w:t>
      </w:r>
      <w:r>
        <w:rPr>
          <w:rFonts w:ascii="Arial" w:cs="Arial" w:eastAsia="Arial" w:hAnsi="Arial"/>
          <w:sz w:val="19"/>
          <w:szCs w:val="19"/>
          <w:color w:val="auto"/>
        </w:rPr>
        <w:t>. The Company sought a declaration from the Central District Court that the San Francisco City Attorney’s investigation and demands are impermissible and preempted, subject to the doctrine of primary jurisdiction, are unconstitutional in that they violate the First and Fourteenth Amendments’ prohibitions against compelled speech, content-based speech and commercial speech, are impermissibly void-for-vagueness and/or violate the Commerce Clause. On June 3, 2013, the City Attorney filed a motion to dismiss the Company Action, arguing in part that the complaint should be dismissed in light of the San Francisco Action (described below) filed on May 6, 2013. On August 22, 2013, the Central District Court granted in part and denied in part the City Attorney’s motion. On October 17, 2013, the City Attorney filed a renewed motion to dismiss the Company Action and on December 16, 2013, the Central District Court granted the City Attorney’s renewed motion, dismissing the Company Action. The Company filed a Notice of Appeal to the Ninth Circuit on December 18, 2013 and on May 17, 2016, the Ninth Circuit affirmed the Central District Court’s order.</w:t>
      </w:r>
    </w:p>
    <w:p>
      <w:pPr>
        <w:spacing w:after="0" w:line="198" w:lineRule="exact"/>
        <w:rPr>
          <w:rFonts w:ascii="Arial" w:cs="Arial" w:eastAsia="Arial" w:hAnsi="Arial"/>
          <w:sz w:val="19"/>
          <w:szCs w:val="19"/>
          <w:color w:val="auto"/>
        </w:rPr>
      </w:pPr>
    </w:p>
    <w:p>
      <w:pPr>
        <w:jc w:val="both"/>
        <w:ind w:firstLine="656"/>
        <w:spacing w:after="0" w:line="269" w:lineRule="auto"/>
        <w:tabs>
          <w:tab w:leader="none" w:pos="959" w:val="left"/>
        </w:tabs>
        <w:numPr>
          <w:ilvl w:val="1"/>
          <w:numId w:val="19"/>
        </w:numPr>
        <w:rPr>
          <w:rFonts w:ascii="Arial" w:cs="Arial" w:eastAsia="Arial" w:hAnsi="Arial"/>
          <w:sz w:val="18"/>
          <w:szCs w:val="18"/>
          <w:color w:val="auto"/>
        </w:rPr>
      </w:pPr>
      <w:r>
        <w:rPr>
          <w:rFonts w:ascii="Arial" w:cs="Arial" w:eastAsia="Arial" w:hAnsi="Arial"/>
          <w:sz w:val="18"/>
          <w:szCs w:val="18"/>
          <w:color w:val="auto"/>
        </w:rPr>
        <w:t xml:space="preserve">The San Francisco Action – On May 6, 2013, the San Francisco City Attorney filed a complaint for declaratory and injunctive relief, civil penalties and restitution for alleged violation of California’s Unfair Competition Law, Business &amp; Professions Code sections 17200, </w:t>
      </w:r>
      <w:r>
        <w:rPr>
          <w:rFonts w:ascii="Arial" w:cs="Arial" w:eastAsia="Arial" w:hAnsi="Arial"/>
          <w:sz w:val="18"/>
          <w:szCs w:val="18"/>
          <w:i w:val="1"/>
          <w:iCs w:val="1"/>
          <w:color w:val="auto"/>
        </w:rPr>
        <w:t>et seq., styled People Of The State Of California ex rel. Dennis Herrera, San Francisco City Attorney v. Monster Beverage Corporation</w:t>
      </w:r>
      <w:r>
        <w:rPr>
          <w:rFonts w:ascii="Arial" w:cs="Arial" w:eastAsia="Arial" w:hAnsi="Arial"/>
          <w:sz w:val="18"/>
          <w:szCs w:val="18"/>
          <w:color w:val="auto"/>
        </w:rPr>
        <w:t>, in San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Francisco Superior Court (the “San Francisco Action”). The City Attorney alleges that the Company (1) mislabeled its products as a dietary supplement, in violation of California’s Sherman Food, Drug and Cosmetic Law, California Health &amp; Safety Code sections 109875, </w:t>
      </w:r>
      <w:r>
        <w:rPr>
          <w:rFonts w:ascii="Arial" w:cs="Arial" w:eastAsia="Arial" w:hAnsi="Arial"/>
          <w:sz w:val="18"/>
          <w:szCs w:val="18"/>
          <w:i w:val="1"/>
          <w:iCs w:val="1"/>
          <w:color w:val="auto"/>
        </w:rPr>
        <w:t>et. seq</w:t>
      </w:r>
      <w:r>
        <w:rPr>
          <w:rFonts w:ascii="Arial" w:cs="Arial" w:eastAsia="Arial" w:hAnsi="Arial"/>
          <w:sz w:val="18"/>
          <w:szCs w:val="18"/>
          <w:color w:val="auto"/>
        </w:rPr>
        <w:t>.;</w:t>
      </w:r>
    </w:p>
    <w:p>
      <w:pPr>
        <w:spacing w:after="0" w:line="3" w:lineRule="exact"/>
        <w:rPr>
          <w:rFonts w:ascii="Arial" w:cs="Arial" w:eastAsia="Arial" w:hAnsi="Arial"/>
          <w:sz w:val="18"/>
          <w:szCs w:val="18"/>
          <w:color w:val="auto"/>
        </w:rPr>
      </w:pPr>
    </w:p>
    <w:p>
      <w:pPr>
        <w:jc w:val="both"/>
        <w:spacing w:after="0" w:line="271" w:lineRule="auto"/>
        <w:rPr>
          <w:rFonts w:ascii="Arial" w:cs="Arial" w:eastAsia="Arial" w:hAnsi="Arial"/>
          <w:sz w:val="18"/>
          <w:szCs w:val="18"/>
          <w:color w:val="auto"/>
        </w:rPr>
      </w:pPr>
      <w:r>
        <w:rPr>
          <w:rFonts w:ascii="Arial" w:cs="Arial" w:eastAsia="Arial" w:hAnsi="Arial"/>
          <w:sz w:val="18"/>
          <w:szCs w:val="18"/>
          <w:color w:val="auto"/>
        </w:rPr>
        <w:t>(2) is selling an “adulterated” product because caffeine is not generally recognized as safe due to the alleged lack of scientific consensus concerning the safety of the levels of caffeine in the Company’s products and (3) is engaged in unfair and misleading business practices because its marketing (a) does not disclose the health risks that energy drinks pose for children and teens, (b) fails to warn against and promotes unsafe consumption, (c) implicitly promotes mixing of energy drinks with alcohol or drugs and (d) is deceptive because it includes unsubstantiated claims about the purported special benefits of its “killer” ingredients and “energy blend.” The City Attorney sought a declaration that the Company has engaged in unfair and unlawful business acts and practices in violation of the Unfair Competition Law, an injunction from performing or proposing to perform any acts in violation of the Unfair Competition Law, restitution and civil penalties.</w:t>
      </w:r>
    </w:p>
    <w:p>
      <w:pPr>
        <w:spacing w:after="0" w:line="18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After a motion to strike filed by the Company was granted in part, on March 20, 2014, the City Attorney filed an amended complaint, adding allegations supporting the theory for relief as to which the Court had granted the motion to strike. On April 18, 2014, the Company filed a renewed motion to strike, as well as a motion asking the Court to bifurcate and/or stay claims relating to the safety of Monster Energy® brand energy drinks, pending resolution of the ongoing U.S. Food and Drug Administration (“FDA”) investigation of the safety and labeling of food products to which caffeine is added. On May 22, 2014, the Court denied the Company’s motion to strike and motion to bifurcate and/or stay claims relating to safety.</w:t>
      </w:r>
    </w:p>
    <w:p>
      <w:pPr>
        <w:spacing w:after="0" w:line="21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On September 5, 2014, the City Attorney filed a second amended complaint, adding Monster Energy Company as a defendant. The Company and Monster Energy Company filed answers to the second amended complaint on October 4, 2014 and November 10, 2014, respectively. Discovery is ongoing.</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Court has set the case for a bench trial which is scheduled to take place April 10-17, 2017.</w:t>
      </w:r>
    </w:p>
    <w:p>
      <w:pPr>
        <w:sectPr>
          <w:pgSz w:w="11900" w:h="16838" w:orient="portrait"/>
          <w:cols w:equalWidth="0" w:num="1">
            <w:col w:w="11420"/>
          </w:cols>
          <w:pgMar w:left="240" w:top="122" w:right="239" w:bottom="0" w:gutter="0" w:footer="0" w:header="0"/>
        </w:sectPr>
      </w:pPr>
    </w:p>
    <w:bookmarkStart w:id="15" w:name="page16"/>
    <w:bookmarkEnd w:id="15"/>
    <w:p>
      <w:pPr>
        <w:jc w:val="both"/>
        <w:ind w:firstLine="648"/>
        <w:spacing w:after="0" w:line="246" w:lineRule="auto"/>
        <w:rPr>
          <w:sz w:val="20"/>
          <w:szCs w:val="20"/>
          <w:color w:val="auto"/>
        </w:rPr>
      </w:pPr>
      <w:r>
        <w:rPr>
          <w:rFonts w:ascii="Arial" w:cs="Arial" w:eastAsia="Arial" w:hAnsi="Arial"/>
          <w:sz w:val="20"/>
          <w:szCs w:val="20"/>
          <w:color w:val="auto"/>
        </w:rPr>
        <w:t>The Company denies that it has violated the Unfair Competition Law or any other law and believes that the City Attorney’s claims and demands are preempted and unconstitutional, as alleged in the action the Company filed in the Central District Court. The Company intends to vigorously defend against this lawsuit. At this time, no evaluation of the likelihood of an unfavorable outcome or range of potential loss can be expressed.</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actions or investigations described above have not progressed to a point where a reasonably possible range of losses associated with their ultimate outcome can be estimated at this time. If the final resolution of any such litigation or proceedings is unfavorable, the Company’s financial condition, operating results and cash flows could be materially affected.</w:t>
      </w:r>
    </w:p>
    <w:p>
      <w:pPr>
        <w:spacing w:after="0" w:line="20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In addition to the above matters, the Company has been named as a defendant in various false advertising putative class actions and in a private attorney general action. In these actions, plaintiffs allege that defendants misleadingly labeled and advertised Monster Energy® brand products that allegedly were ineffective for the advertised benefits (including, but not limited to, an allegation that the products do not hydrate as advertised because they contain caffeine). The plaintiffs further allege that the Monster Energy® brand products at issue are unsafe because they contain one or more ingredients that allegedly could result in illness, injury or death. In connection with these product safety allegations, the plaintiffs claim that the product labels did not provide adequate warnings and/or that the Company did not include sufficiently specific statements with respect to contra-indications and/or adverse reactions associated with the consumption of its energy drink products (including, but not limited to, claims that certain ingredients, when consumed individually or in combination with other ingredients, could result in high blood pressure, palpitations, liver damage or other negative health effects and/or that the products themselves are unsafe). Based on these allegations, the plaintiffs assert claims for violation of state consumer protection statutes, including unfair competition and false advertising statutes, and for breach of warranty and unjust enrichment. In their prayers for relief, the plaintiffs seek, inter alia, compensatory and punitive damages, restitution, attorneys’ fees and, in some cases, injunctive relief. The Company regards these cases and allegations as having no merit. Furthermore, the Company is subject to litigation from time to time in the normal course of business, including intellectual property litigation and claims from terminated distributors.</w:t>
      </w:r>
    </w:p>
    <w:p>
      <w:pPr>
        <w:spacing w:after="0" w:line="18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Although it is not possible to predict the ultimate outcome of such litigation, based on the facts known to the Company, management believes that such litigation in the aggregate will likely not have a material adverse effect on the Company’s financial position or results of operations.</w:t>
      </w:r>
    </w:p>
    <w:p>
      <w:pPr>
        <w:spacing w:after="0" w:line="20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Company evaluates, on a quarterly basis, developments in legal proceedings and other matters that could cause an increase or decrease in the amount of the liability that is accrued, if any, or in the amount of any related insurance reimbursements recorded. As of June 30, 2016, the Company’s condensed consolidated balance sheet includes accrued loss contingencies of approximately $0.3 million.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40" w:hanging="632"/>
        <w:spacing w:after="0"/>
        <w:tabs>
          <w:tab w:leader="none" w:pos="6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ACCUMULATED OTHER COMPREHENSIVE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accumulated other comprehensive loss by component, after tax, for the six-months ended June 30, 2016 are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center"/>
              <w:ind w:right="201"/>
              <w:spacing w:after="0"/>
              <w:rPr>
                <w:sz w:val="20"/>
                <w:szCs w:val="20"/>
                <w:color w:val="auto"/>
              </w:rPr>
            </w:pPr>
            <w:r>
              <w:rPr>
                <w:rFonts w:ascii="Arial" w:cs="Arial" w:eastAsia="Arial" w:hAnsi="Arial"/>
                <w:sz w:val="20"/>
                <w:szCs w:val="20"/>
                <w:color w:val="auto"/>
                <w:w w:val="91"/>
              </w:rPr>
              <w:t>Currency</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center"/>
              <w:ind w:right="201"/>
              <w:spacing w:after="0"/>
              <w:rPr>
                <w:sz w:val="20"/>
                <w:szCs w:val="20"/>
                <w:color w:val="auto"/>
              </w:rPr>
            </w:pPr>
            <w:r>
              <w:rPr>
                <w:rFonts w:ascii="Arial" w:cs="Arial" w:eastAsia="Arial" w:hAnsi="Arial"/>
                <w:sz w:val="20"/>
                <w:szCs w:val="20"/>
                <w:color w:val="auto"/>
                <w:w w:val="90"/>
              </w:rPr>
              <w:t>Translation</w:t>
            </w:r>
          </w:p>
        </w:tc>
        <w:tc>
          <w:tcPr>
            <w:tcW w:w="0" w:type="dxa"/>
            <w:vAlign w:val="bottom"/>
          </w:tcPr>
          <w:p>
            <w:pPr>
              <w:spacing w:after="0"/>
              <w:rPr>
                <w:sz w:val="1"/>
                <w:szCs w:val="1"/>
                <w:color w:val="auto"/>
              </w:rPr>
            </w:pPr>
          </w:p>
        </w:tc>
      </w:tr>
      <w:tr>
        <w:trPr>
          <w:trHeight w:val="246"/>
        </w:trPr>
        <w:tc>
          <w:tcPr>
            <w:tcW w:w="440" w:type="dxa"/>
            <w:vAlign w:val="bottom"/>
          </w:tcPr>
          <w:p>
            <w:pPr>
              <w:spacing w:after="0"/>
              <w:rPr>
                <w:sz w:val="21"/>
                <w:szCs w:val="21"/>
                <w:color w:val="auto"/>
              </w:rPr>
            </w:pPr>
          </w:p>
        </w:tc>
        <w:tc>
          <w:tcPr>
            <w:tcW w:w="73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201"/>
              <w:spacing w:after="0"/>
              <w:rPr>
                <w:sz w:val="20"/>
                <w:szCs w:val="20"/>
                <w:color w:val="auto"/>
              </w:rPr>
            </w:pPr>
            <w:r>
              <w:rPr>
                <w:rFonts w:ascii="Arial" w:cs="Arial" w:eastAsia="Arial" w:hAnsi="Arial"/>
                <w:sz w:val="20"/>
                <w:szCs w:val="20"/>
                <w:color w:val="auto"/>
                <w:w w:val="85"/>
              </w:rPr>
              <w:t>Losses</w:t>
            </w:r>
          </w:p>
        </w:tc>
        <w:tc>
          <w:tcPr>
            <w:tcW w:w="0" w:type="dxa"/>
            <w:vAlign w:val="bottom"/>
          </w:tcPr>
          <w:p>
            <w:pPr>
              <w:spacing w:after="0"/>
              <w:rPr>
                <w:sz w:val="1"/>
                <w:szCs w:val="1"/>
                <w:color w:val="auto"/>
              </w:rPr>
            </w:pPr>
          </w:p>
        </w:tc>
      </w:tr>
      <w:tr>
        <w:trPr>
          <w:trHeight w:val="287"/>
        </w:trPr>
        <w:tc>
          <w:tcPr>
            <w:tcW w:w="440" w:type="dxa"/>
            <w:vAlign w:val="bottom"/>
          </w:tcPr>
          <w:p>
            <w:pPr>
              <w:spacing w:after="0"/>
              <w:rPr>
                <w:sz w:val="24"/>
                <w:szCs w:val="24"/>
                <w:color w:val="auto"/>
              </w:rPr>
            </w:pPr>
          </w:p>
        </w:tc>
        <w:tc>
          <w:tcPr>
            <w:tcW w:w="7380" w:type="dxa"/>
            <w:vAlign w:val="bottom"/>
          </w:tcPr>
          <w:p>
            <w:pPr>
              <w:ind w:left="860"/>
              <w:spacing w:after="0"/>
              <w:rPr>
                <w:sz w:val="20"/>
                <w:szCs w:val="20"/>
                <w:color w:val="auto"/>
              </w:rPr>
            </w:pPr>
            <w:r>
              <w:rPr>
                <w:rFonts w:ascii="Arial" w:cs="Arial" w:eastAsia="Arial" w:hAnsi="Arial"/>
                <w:sz w:val="20"/>
                <w:szCs w:val="20"/>
                <w:color w:val="auto"/>
              </w:rPr>
              <w:t>Balance at December 31, 2015</w:t>
            </w:r>
          </w:p>
        </w:tc>
        <w:tc>
          <w:tcPr>
            <w:tcW w:w="3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21,878</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7380" w:type="dxa"/>
            <w:vAlign w:val="bottom"/>
          </w:tcPr>
          <w:p>
            <w:pPr>
              <w:ind w:left="1120"/>
              <w:spacing w:after="0"/>
              <w:rPr>
                <w:sz w:val="20"/>
                <w:szCs w:val="20"/>
                <w:color w:val="auto"/>
              </w:rPr>
            </w:pPr>
            <w:r>
              <w:rPr>
                <w:rFonts w:ascii="Arial" w:cs="Arial" w:eastAsia="Arial" w:hAnsi="Arial"/>
                <w:sz w:val="20"/>
                <w:szCs w:val="20"/>
                <w:color w:val="auto"/>
              </w:rPr>
              <w:t>Other comprehensive (gain) before reclassifications</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7380" w:type="dxa"/>
            <w:vAlign w:val="bottom"/>
          </w:tcPr>
          <w:p>
            <w:pPr>
              <w:ind w:left="1120"/>
              <w:spacing w:after="0"/>
              <w:rPr>
                <w:sz w:val="20"/>
                <w:szCs w:val="20"/>
                <w:color w:val="auto"/>
              </w:rPr>
            </w:pPr>
            <w:r>
              <w:rPr>
                <w:rFonts w:ascii="Arial" w:cs="Arial" w:eastAsia="Arial" w:hAnsi="Arial"/>
                <w:sz w:val="20"/>
                <w:szCs w:val="20"/>
                <w:color w:val="auto"/>
              </w:rPr>
              <w:t>Amounts reclassified from accumulated other comprehensive loss</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440" w:type="dxa"/>
            <w:vAlign w:val="bottom"/>
          </w:tcPr>
          <w:p>
            <w:pPr>
              <w:spacing w:after="0"/>
              <w:rPr>
                <w:sz w:val="20"/>
                <w:szCs w:val="20"/>
                <w:color w:val="auto"/>
              </w:rPr>
            </w:pPr>
          </w:p>
        </w:tc>
        <w:tc>
          <w:tcPr>
            <w:tcW w:w="7380" w:type="dxa"/>
            <w:vAlign w:val="bottom"/>
          </w:tcPr>
          <w:p>
            <w:pPr>
              <w:ind w:left="1120"/>
              <w:spacing w:after="0"/>
              <w:rPr>
                <w:sz w:val="20"/>
                <w:szCs w:val="20"/>
                <w:color w:val="auto"/>
              </w:rPr>
            </w:pPr>
            <w:r>
              <w:rPr>
                <w:rFonts w:ascii="Arial" w:cs="Arial" w:eastAsia="Arial" w:hAnsi="Arial"/>
                <w:sz w:val="20"/>
                <w:szCs w:val="20"/>
                <w:color w:val="auto"/>
              </w:rPr>
              <w:t>Net current-period other comprehensive (gain)</w:t>
            </w: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(7,401)</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7380" w:type="dxa"/>
            <w:vAlign w:val="bottom"/>
          </w:tcPr>
          <w:p>
            <w:pPr>
              <w:ind w:left="860"/>
              <w:spacing w:after="0" w:line="220" w:lineRule="exact"/>
              <w:rPr>
                <w:sz w:val="20"/>
                <w:szCs w:val="20"/>
                <w:color w:val="auto"/>
              </w:rPr>
            </w:pPr>
            <w:r>
              <w:rPr>
                <w:rFonts w:ascii="Arial" w:cs="Arial" w:eastAsia="Arial" w:hAnsi="Arial"/>
                <w:sz w:val="20"/>
                <w:szCs w:val="20"/>
                <w:color w:val="auto"/>
              </w:rPr>
              <w:t>Balance at June 30, 2016</w:t>
            </w:r>
          </w:p>
        </w:tc>
        <w:tc>
          <w:tcPr>
            <w:tcW w:w="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14,477</w:t>
            </w:r>
          </w:p>
        </w:tc>
        <w:tc>
          <w:tcPr>
            <w:tcW w:w="0" w:type="dxa"/>
            <w:vAlign w:val="bottom"/>
          </w:tcPr>
          <w:p>
            <w:pPr>
              <w:spacing w:after="0"/>
              <w:rPr>
                <w:sz w:val="1"/>
                <w:szCs w:val="1"/>
                <w:color w:val="auto"/>
              </w:rPr>
            </w:pPr>
          </w:p>
        </w:tc>
      </w:tr>
      <w:tr>
        <w:trPr>
          <w:trHeight w:val="20"/>
        </w:trPr>
        <w:tc>
          <w:tcPr>
            <w:tcW w:w="440" w:type="dxa"/>
            <w:vAlign w:val="bottom"/>
            <w:vMerge w:val="restart"/>
          </w:tcPr>
          <w:p>
            <w:pPr>
              <w:jc w:val="right"/>
              <w:ind w:right="81"/>
              <w:spacing w:after="0"/>
              <w:rPr>
                <w:sz w:val="20"/>
                <w:szCs w:val="20"/>
                <w:color w:val="auto"/>
              </w:rPr>
            </w:pPr>
            <w:r>
              <w:rPr>
                <w:rFonts w:ascii="Arial" w:cs="Arial" w:eastAsia="Arial" w:hAnsi="Arial"/>
                <w:sz w:val="20"/>
                <w:szCs w:val="20"/>
                <w:color w:val="auto"/>
                <w:w w:val="86"/>
              </w:rPr>
              <w:t>13.</w:t>
            </w:r>
          </w:p>
        </w:tc>
        <w:tc>
          <w:tcPr>
            <w:tcW w:w="7380" w:type="dxa"/>
            <w:vAlign w:val="bottom"/>
            <w:vMerge w:val="restart"/>
          </w:tcPr>
          <w:p>
            <w:pPr>
              <w:ind w:left="200"/>
              <w:spacing w:after="0"/>
              <w:rPr>
                <w:sz w:val="20"/>
                <w:szCs w:val="20"/>
                <w:color w:val="auto"/>
              </w:rPr>
            </w:pPr>
            <w:r>
              <w:rPr>
                <w:rFonts w:ascii="Arial" w:cs="Arial" w:eastAsia="Arial" w:hAnsi="Arial"/>
                <w:sz w:val="20"/>
                <w:szCs w:val="20"/>
                <w:color w:val="auto"/>
              </w:rPr>
              <w:t>TREASURY STOCK</w:t>
            </w: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440" w:type="dxa"/>
            <w:vAlign w:val="bottom"/>
            <w:vMerge w:val="continue"/>
          </w:tcPr>
          <w:p>
            <w:pPr>
              <w:spacing w:after="0"/>
              <w:rPr>
                <w:sz w:val="24"/>
                <w:szCs w:val="24"/>
                <w:color w:val="auto"/>
              </w:rPr>
            </w:pPr>
          </w:p>
        </w:tc>
        <w:tc>
          <w:tcPr>
            <w:tcW w:w="73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On April 28, 2016, the Board of Directors authorized the Company to commence a “modified Dutch auction” tender offer to repurchase up to $2.0 billion of its outstanding shares of common stock. The repurchase was authorized under the Company’s existing share repurchase authority and was funded with cash on hand. The Company commenced the tender offer in May 2016. On June 15, 2016, the Company accepted for payment an aggregate of 12,820,512 shares of common stock at a purchase price of $156.00 per share, for a total amount of $2.0 billion (excluding commissions), which exhausted the availability under all share repurchase plans. Such shares of common stock are included in common stock in treasury in the accompanying condensed consolidated balance sheet at June 30, 2016.</w:t>
      </w:r>
    </w:p>
    <w:p>
      <w:pPr>
        <w:spacing w:after="0" w:line="1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During the three-months ended June 30, 2016, 1,585 shares of common stock were purchased from employees in lieu of cash payments for options exercised or withholding taxes due for a total amount of $0.2 million. While such purchases are considered common stock repurchases, they are not counted as purchases against the Company’s authorized share repurchase programs. Such shares are included in common stock in treasury in the accompanying condensed consolidated balance sheet at June 30, 2016.</w:t>
      </w:r>
    </w:p>
    <w:p>
      <w:pPr>
        <w:spacing w:after="0" w:line="190" w:lineRule="exact"/>
        <w:rPr>
          <w:sz w:val="20"/>
          <w:szCs w:val="20"/>
          <w:color w:val="auto"/>
        </w:rPr>
      </w:pPr>
    </w:p>
    <w:p>
      <w:pPr>
        <w:ind w:left="640" w:hanging="632"/>
        <w:spacing w:after="0"/>
        <w:tabs>
          <w:tab w:leader="none" w:pos="6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STOCK-BASED COMPENSATION</w:t>
      </w:r>
    </w:p>
    <w:p>
      <w:pPr>
        <w:sectPr>
          <w:pgSz w:w="11900" w:h="16838" w:orient="portrait"/>
          <w:cols w:equalWidth="0" w:num="1">
            <w:col w:w="11420"/>
          </w:cols>
          <w:pgMar w:left="240" w:top="352" w:right="239" w:bottom="0" w:gutter="0" w:footer="0" w:header="0"/>
        </w:sectPr>
      </w:pPr>
    </w:p>
    <w:bookmarkStart w:id="16" w:name="page17"/>
    <w:bookmarkEnd w:id="16"/>
    <w:p>
      <w:pPr>
        <w:jc w:val="both"/>
        <w:ind w:firstLine="648"/>
        <w:spacing w:after="0" w:line="250" w:lineRule="auto"/>
        <w:rPr>
          <w:sz w:val="20"/>
          <w:szCs w:val="20"/>
          <w:color w:val="auto"/>
        </w:rPr>
      </w:pPr>
      <w:r>
        <w:rPr>
          <w:rFonts w:ascii="Arial" w:cs="Arial" w:eastAsia="Arial" w:hAnsi="Arial"/>
          <w:sz w:val="20"/>
          <w:szCs w:val="20"/>
          <w:color w:val="auto"/>
        </w:rPr>
        <w:t>The Company has two stock-based compensation plans under which shares were available for grant at June 30, 2016: the Monster Beverage Corporation 2011 Omnibus Incentive Plan and the 2009 Monster Beverage Corporation Stock Incentive Plan for Non-Employee Directors.</w:t>
      </w:r>
    </w:p>
    <w:p>
      <w:pPr>
        <w:spacing w:after="0" w:line="20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The Company recorded $11.5 million and $8.5 million of compensation expense relating to outstanding options, restricted stock awards, stock appreciation rights and restricted stock units during the three-months ended June 30, 2016 and 2015, respectively. The Company recorded $21.6 million and $14.8 million of compensation expense relating to outstanding options, restricted stock awards, stock appreciation rights and restricted stock units during the six-months ended June 30, 2016 and 2015, respectively.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excess tax benefit for tax deductions from non-qualified stock option exercises, disqualifying dispositions of incentive stock options, vesting of restricted stock units and restricted stock awards for the three-months ended June 30, 2016 and 2015 was $2.0 million and $115.6 million, respectively. The excess tax benefit for tax deductions from non-qualified stock option exercises, disqualifying dispositions of incentive stock options, vesting of restricted stock units and restricted stock awards for the six-months ended June 30, 2016 and 2015 was $3.6 million and $300.3 million, respectively. As a result of the Company’s early adoption of ASU No. 2016-09 effective January 1, 2016, the Company recorded excess tax benefits of $2.0 million and $3.6 million in net income for the three- and six-months ended June 30, 2016. The excess tax benefits for the three- and six-months ended June 30, 2015 of $115.6 million and $300.3 million, respectively, were recorded in additional paid-in-capital.</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Stock Options</w:t>
      </w:r>
    </w:p>
    <w:p>
      <w:pPr>
        <w:spacing w:after="0" w:line="22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Under the Company’s stock-based compensation plans, all stock options granted as of June 30, 2016 were granted at prices based on the fair value of the Company’s common stock on the date of grant. The Company records compensation expense for employee stock options based on the estimated fair value of the options on the date of grant using the Black-Scholes-Merton option pricing formula with the assumptions included in the table below. The Company records compensation expense for non-employee stock options based on the estimated fair value of the options as of the earlier of (1) the date at which a commitment for performance by the non-employee to earn the stock option is reached or (2) the date at which the non-employee’s performance is complete, using the Black-Scholes-Merton option pricing formula with the assumptions included in the table below. The Company uses historical data to determine the exercise behavior, volatility and forfeiture rate of the options.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weighted-average assumptions were used to estimate the fair value of options granted during:</w:t>
      </w:r>
    </w:p>
    <w:p>
      <w:pPr>
        <w:spacing w:after="0" w:line="229" w:lineRule="exact"/>
        <w:rPr>
          <w:sz w:val="20"/>
          <w:szCs w:val="20"/>
          <w:color w:val="auto"/>
        </w:rPr>
      </w:pPr>
    </w:p>
    <w:tbl>
      <w:tblPr>
        <w:tblLayout w:type="fixed"/>
        <w:tblInd w:w="340" w:type="dxa"/>
        <w:tblCellMar>
          <w:top w:w="0" w:type="dxa"/>
          <w:left w:w="0" w:type="dxa"/>
          <w:bottom w:w="0" w:type="dxa"/>
          <w:right w:w="0" w:type="dxa"/>
        </w:tblCellMar>
      </w:tblPr>
      <w:tr>
        <w:trPr>
          <w:trHeight w:val="246"/>
        </w:trPr>
        <w:tc>
          <w:tcPr>
            <w:tcW w:w="3960" w:type="dxa"/>
            <w:vAlign w:val="bottom"/>
          </w:tcPr>
          <w:p>
            <w:pPr>
              <w:spacing w:after="0"/>
              <w:rPr>
                <w:sz w:val="21"/>
                <w:szCs w:val="21"/>
                <w:color w:val="auto"/>
              </w:rPr>
            </w:pPr>
          </w:p>
        </w:tc>
        <w:tc>
          <w:tcPr>
            <w:tcW w:w="3640" w:type="dxa"/>
            <w:vAlign w:val="bottom"/>
            <w:gridSpan w:val="4"/>
          </w:tcPr>
          <w:p>
            <w:pPr>
              <w:ind w:left="520"/>
              <w:spacing w:after="0"/>
              <w:rPr>
                <w:sz w:val="20"/>
                <w:szCs w:val="20"/>
                <w:color w:val="auto"/>
              </w:rPr>
            </w:pPr>
            <w:r>
              <w:rPr>
                <w:rFonts w:ascii="Arial" w:cs="Arial" w:eastAsia="Arial" w:hAnsi="Arial"/>
                <w:sz w:val="20"/>
                <w:szCs w:val="20"/>
                <w:color w:val="auto"/>
              </w:rPr>
              <w:t>Three-Months Ended June 30,</w:t>
            </w:r>
          </w:p>
        </w:tc>
        <w:tc>
          <w:tcPr>
            <w:tcW w:w="3340" w:type="dxa"/>
            <w:vAlign w:val="bottom"/>
            <w:gridSpan w:val="3"/>
          </w:tcPr>
          <w:p>
            <w:pPr>
              <w:jc w:val="right"/>
              <w:ind w:right="461"/>
              <w:spacing w:after="0"/>
              <w:rPr>
                <w:sz w:val="20"/>
                <w:szCs w:val="20"/>
                <w:color w:val="auto"/>
              </w:rPr>
            </w:pPr>
            <w:r>
              <w:rPr>
                <w:rFonts w:ascii="Arial" w:cs="Arial" w:eastAsia="Arial" w:hAnsi="Arial"/>
                <w:sz w:val="20"/>
                <w:szCs w:val="20"/>
                <w:color w:val="auto"/>
              </w:rPr>
              <w:t>Six-Months Ended June 30,</w:t>
            </w:r>
          </w:p>
        </w:tc>
        <w:tc>
          <w:tcPr>
            <w:tcW w:w="0" w:type="dxa"/>
            <w:vAlign w:val="bottom"/>
          </w:tcPr>
          <w:p>
            <w:pPr>
              <w:spacing w:after="0"/>
              <w:rPr>
                <w:sz w:val="1"/>
                <w:szCs w:val="1"/>
                <w:color w:val="auto"/>
              </w:rPr>
            </w:pPr>
          </w:p>
        </w:tc>
      </w:tr>
      <w:tr>
        <w:trPr>
          <w:trHeight w:val="223"/>
        </w:trPr>
        <w:tc>
          <w:tcPr>
            <w:tcW w:w="3960" w:type="dxa"/>
            <w:vAlign w:val="bottom"/>
            <w:vMerge w:val="restart"/>
          </w:tcPr>
          <w:p>
            <w:pPr>
              <w:spacing w:after="0"/>
              <w:rPr>
                <w:sz w:val="20"/>
                <w:szCs w:val="20"/>
                <w:color w:val="auto"/>
              </w:rPr>
            </w:pPr>
            <w:r>
              <w:rPr>
                <w:rFonts w:ascii="Arial" w:cs="Arial" w:eastAsia="Arial" w:hAnsi="Arial"/>
                <w:sz w:val="20"/>
                <w:szCs w:val="20"/>
                <w:color w:val="auto"/>
              </w:rPr>
              <w:t>Dividend yield</w:t>
            </w:r>
          </w:p>
        </w:tc>
        <w:tc>
          <w:tcPr>
            <w:tcW w:w="1580" w:type="dxa"/>
            <w:vAlign w:val="bottom"/>
            <w:tcBorders>
              <w:top w:val="single" w:sz="8" w:color="auto"/>
              <w:bottom w:val="single" w:sz="8" w:color="auto"/>
            </w:tcBorders>
          </w:tcPr>
          <w:p>
            <w:pPr>
              <w:jc w:val="right"/>
              <w:ind w:right="481"/>
              <w:spacing w:after="0" w:line="223" w:lineRule="exact"/>
              <w:rPr>
                <w:sz w:val="20"/>
                <w:szCs w:val="20"/>
                <w:color w:val="auto"/>
              </w:rPr>
            </w:pPr>
            <w:r>
              <w:rPr>
                <w:rFonts w:ascii="Arial" w:cs="Arial" w:eastAsia="Arial" w:hAnsi="Arial"/>
                <w:sz w:val="20"/>
                <w:szCs w:val="20"/>
                <w:color w:val="auto"/>
              </w:rPr>
              <w:t>2016</w:t>
            </w:r>
          </w:p>
        </w:tc>
        <w:tc>
          <w:tcPr>
            <w:tcW w:w="280" w:type="dxa"/>
            <w:vAlign w:val="bottom"/>
            <w:tcBorders>
              <w:top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01"/>
              <w:spacing w:after="0" w:line="223" w:lineRule="exact"/>
              <w:rPr>
                <w:sz w:val="20"/>
                <w:szCs w:val="20"/>
                <w:color w:val="auto"/>
              </w:rPr>
            </w:pPr>
            <w:r>
              <w:rPr>
                <w:rFonts w:ascii="Arial" w:cs="Arial" w:eastAsia="Arial" w:hAnsi="Arial"/>
                <w:sz w:val="20"/>
                <w:szCs w:val="20"/>
                <w:color w:val="auto"/>
              </w:rPr>
              <w:t>2015</w:t>
            </w:r>
          </w:p>
        </w:tc>
        <w:tc>
          <w:tcPr>
            <w:tcW w:w="20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ind w:right="481"/>
              <w:spacing w:after="0" w:line="223" w:lineRule="exact"/>
              <w:rPr>
                <w:sz w:val="20"/>
                <w:szCs w:val="20"/>
                <w:color w:val="auto"/>
              </w:rPr>
            </w:pPr>
            <w:r>
              <w:rPr>
                <w:rFonts w:ascii="Arial" w:cs="Arial" w:eastAsia="Arial" w:hAnsi="Arial"/>
                <w:sz w:val="20"/>
                <w:szCs w:val="20"/>
                <w:color w:val="auto"/>
              </w:rPr>
              <w:t>2016</w:t>
            </w:r>
          </w:p>
        </w:tc>
        <w:tc>
          <w:tcPr>
            <w:tcW w:w="260" w:type="dxa"/>
            <w:vAlign w:val="bottom"/>
            <w:tcBorders>
              <w:top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41"/>
              <w:spacing w:after="0" w:line="223" w:lineRule="exact"/>
              <w:rPr>
                <w:sz w:val="20"/>
                <w:szCs w:val="20"/>
                <w:color w:val="auto"/>
              </w:rPr>
            </w:pPr>
            <w:r>
              <w:rPr>
                <w:rFonts w:ascii="Arial" w:cs="Arial" w:eastAsia="Arial" w:hAnsi="Arial"/>
                <w:sz w:val="20"/>
                <w:szCs w:val="20"/>
                <w:color w:val="auto"/>
              </w:rPr>
              <w:t>2015</w:t>
            </w:r>
          </w:p>
        </w:tc>
        <w:tc>
          <w:tcPr>
            <w:tcW w:w="0" w:type="dxa"/>
            <w:vAlign w:val="bottom"/>
          </w:tcPr>
          <w:p>
            <w:pPr>
              <w:spacing w:after="0"/>
              <w:rPr>
                <w:sz w:val="1"/>
                <w:szCs w:val="1"/>
                <w:color w:val="auto"/>
              </w:rPr>
            </w:pPr>
          </w:p>
        </w:tc>
      </w:tr>
      <w:tr>
        <w:trPr>
          <w:trHeight w:val="206"/>
        </w:trPr>
        <w:tc>
          <w:tcPr>
            <w:tcW w:w="3960" w:type="dxa"/>
            <w:vAlign w:val="bottom"/>
            <w:vMerge w:val="continue"/>
          </w:tcPr>
          <w:p>
            <w:pPr>
              <w:spacing w:after="0"/>
              <w:rPr>
                <w:sz w:val="17"/>
                <w:szCs w:val="17"/>
                <w:color w:val="auto"/>
              </w:rPr>
            </w:pPr>
          </w:p>
        </w:tc>
        <w:tc>
          <w:tcPr>
            <w:tcW w:w="1580" w:type="dxa"/>
            <w:vAlign w:val="bottom"/>
          </w:tcPr>
          <w:p>
            <w:pPr>
              <w:jc w:val="right"/>
              <w:ind w:right="241"/>
              <w:spacing w:after="0" w:line="207" w:lineRule="exact"/>
              <w:rPr>
                <w:sz w:val="20"/>
                <w:szCs w:val="20"/>
                <w:color w:val="auto"/>
              </w:rPr>
            </w:pPr>
            <w:r>
              <w:rPr>
                <w:rFonts w:ascii="Arial" w:cs="Arial" w:eastAsia="Arial" w:hAnsi="Arial"/>
                <w:sz w:val="20"/>
                <w:szCs w:val="20"/>
                <w:color w:val="auto"/>
              </w:rPr>
              <w:t>0.0%</w:t>
            </w:r>
          </w:p>
        </w:tc>
        <w:tc>
          <w:tcPr>
            <w:tcW w:w="280" w:type="dxa"/>
            <w:vAlign w:val="bottom"/>
          </w:tcPr>
          <w:p>
            <w:pPr>
              <w:spacing w:after="0"/>
              <w:rPr>
                <w:sz w:val="17"/>
                <w:szCs w:val="17"/>
                <w:color w:val="auto"/>
              </w:rPr>
            </w:pPr>
          </w:p>
        </w:tc>
        <w:tc>
          <w:tcPr>
            <w:tcW w:w="1580" w:type="dxa"/>
            <w:vAlign w:val="bottom"/>
          </w:tcPr>
          <w:p>
            <w:pPr>
              <w:jc w:val="right"/>
              <w:ind w:right="281"/>
              <w:spacing w:after="0" w:line="207" w:lineRule="exact"/>
              <w:rPr>
                <w:sz w:val="20"/>
                <w:szCs w:val="20"/>
                <w:color w:val="auto"/>
              </w:rPr>
            </w:pPr>
            <w:r>
              <w:rPr>
                <w:rFonts w:ascii="Arial" w:cs="Arial" w:eastAsia="Arial" w:hAnsi="Arial"/>
                <w:sz w:val="20"/>
                <w:szCs w:val="20"/>
                <w:color w:val="auto"/>
              </w:rPr>
              <w:t>0.0%</w:t>
            </w:r>
          </w:p>
        </w:tc>
        <w:tc>
          <w:tcPr>
            <w:tcW w:w="200" w:type="dxa"/>
            <w:vAlign w:val="bottom"/>
          </w:tcPr>
          <w:p>
            <w:pPr>
              <w:spacing w:after="0"/>
              <w:rPr>
                <w:sz w:val="17"/>
                <w:szCs w:val="17"/>
                <w:color w:val="auto"/>
              </w:rPr>
            </w:pPr>
          </w:p>
        </w:tc>
        <w:tc>
          <w:tcPr>
            <w:tcW w:w="1580" w:type="dxa"/>
            <w:vAlign w:val="bottom"/>
          </w:tcPr>
          <w:p>
            <w:pPr>
              <w:jc w:val="right"/>
              <w:ind w:right="241"/>
              <w:spacing w:after="0" w:line="207" w:lineRule="exact"/>
              <w:rPr>
                <w:sz w:val="20"/>
                <w:szCs w:val="20"/>
                <w:color w:val="auto"/>
              </w:rPr>
            </w:pPr>
            <w:r>
              <w:rPr>
                <w:rFonts w:ascii="Arial" w:cs="Arial" w:eastAsia="Arial" w:hAnsi="Arial"/>
                <w:sz w:val="20"/>
                <w:szCs w:val="20"/>
                <w:color w:val="auto"/>
              </w:rPr>
              <w:t>0.0%</w:t>
            </w:r>
          </w:p>
        </w:tc>
        <w:tc>
          <w:tcPr>
            <w:tcW w:w="260" w:type="dxa"/>
            <w:vAlign w:val="bottom"/>
          </w:tcPr>
          <w:p>
            <w:pPr>
              <w:spacing w:after="0"/>
              <w:rPr>
                <w:sz w:val="17"/>
                <w:szCs w:val="17"/>
                <w:color w:val="auto"/>
              </w:rPr>
            </w:pPr>
          </w:p>
        </w:tc>
        <w:tc>
          <w:tcPr>
            <w:tcW w:w="1500" w:type="dxa"/>
            <w:vAlign w:val="bottom"/>
          </w:tcPr>
          <w:p>
            <w:pPr>
              <w:jc w:val="right"/>
              <w:ind w:right="181"/>
              <w:spacing w:after="0" w:line="207" w:lineRule="exact"/>
              <w:rPr>
                <w:sz w:val="20"/>
                <w:szCs w:val="20"/>
                <w:color w:val="auto"/>
              </w:rPr>
            </w:pPr>
            <w:r>
              <w:rPr>
                <w:rFonts w:ascii="Arial" w:cs="Arial" w:eastAsia="Arial" w:hAnsi="Arial"/>
                <w:sz w:val="20"/>
                <w:szCs w:val="20"/>
                <w:color w:val="auto"/>
              </w:rPr>
              <w:t>0.0%</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20"/>
                <w:szCs w:val="20"/>
                <w:color w:val="auto"/>
              </w:rPr>
              <w:t>Expected volatility</w:t>
            </w:r>
          </w:p>
        </w:tc>
        <w:tc>
          <w:tcPr>
            <w:tcW w:w="1580" w:type="dxa"/>
            <w:vAlign w:val="bottom"/>
          </w:tcPr>
          <w:p>
            <w:pPr>
              <w:jc w:val="right"/>
              <w:ind w:right="241"/>
              <w:spacing w:after="0"/>
              <w:rPr>
                <w:sz w:val="20"/>
                <w:szCs w:val="20"/>
                <w:color w:val="auto"/>
              </w:rPr>
            </w:pPr>
            <w:r>
              <w:rPr>
                <w:rFonts w:ascii="Arial" w:cs="Arial" w:eastAsia="Arial" w:hAnsi="Arial"/>
                <w:sz w:val="20"/>
                <w:szCs w:val="20"/>
                <w:color w:val="auto"/>
              </w:rPr>
              <w:t>36.2%</w:t>
            </w:r>
          </w:p>
        </w:tc>
        <w:tc>
          <w:tcPr>
            <w:tcW w:w="280" w:type="dxa"/>
            <w:vAlign w:val="bottom"/>
          </w:tcPr>
          <w:p>
            <w:pPr>
              <w:spacing w:after="0"/>
              <w:rPr>
                <w:sz w:val="19"/>
                <w:szCs w:val="19"/>
                <w:color w:val="auto"/>
              </w:rPr>
            </w:pPr>
          </w:p>
        </w:tc>
        <w:tc>
          <w:tcPr>
            <w:tcW w:w="1580" w:type="dxa"/>
            <w:vAlign w:val="bottom"/>
          </w:tcPr>
          <w:p>
            <w:pPr>
              <w:jc w:val="right"/>
              <w:ind w:right="281"/>
              <w:spacing w:after="0"/>
              <w:rPr>
                <w:sz w:val="20"/>
                <w:szCs w:val="20"/>
                <w:color w:val="auto"/>
              </w:rPr>
            </w:pPr>
            <w:r>
              <w:rPr>
                <w:rFonts w:ascii="Arial" w:cs="Arial" w:eastAsia="Arial" w:hAnsi="Arial"/>
                <w:sz w:val="20"/>
                <w:szCs w:val="20"/>
                <w:color w:val="auto"/>
              </w:rPr>
              <w:t>37.0%</w:t>
            </w:r>
          </w:p>
        </w:tc>
        <w:tc>
          <w:tcPr>
            <w:tcW w:w="200" w:type="dxa"/>
            <w:vAlign w:val="bottom"/>
          </w:tcPr>
          <w:p>
            <w:pPr>
              <w:spacing w:after="0"/>
              <w:rPr>
                <w:sz w:val="19"/>
                <w:szCs w:val="19"/>
                <w:color w:val="auto"/>
              </w:rPr>
            </w:pPr>
          </w:p>
        </w:tc>
        <w:tc>
          <w:tcPr>
            <w:tcW w:w="1580" w:type="dxa"/>
            <w:vAlign w:val="bottom"/>
          </w:tcPr>
          <w:p>
            <w:pPr>
              <w:jc w:val="right"/>
              <w:ind w:right="241"/>
              <w:spacing w:after="0"/>
              <w:rPr>
                <w:sz w:val="20"/>
                <w:szCs w:val="20"/>
                <w:color w:val="auto"/>
              </w:rPr>
            </w:pPr>
            <w:r>
              <w:rPr>
                <w:rFonts w:ascii="Arial" w:cs="Arial" w:eastAsia="Arial" w:hAnsi="Arial"/>
                <w:sz w:val="20"/>
                <w:szCs w:val="20"/>
                <w:color w:val="auto"/>
              </w:rPr>
              <w:t>36.2%</w:t>
            </w:r>
          </w:p>
        </w:tc>
        <w:tc>
          <w:tcPr>
            <w:tcW w:w="260" w:type="dxa"/>
            <w:vAlign w:val="bottom"/>
          </w:tcPr>
          <w:p>
            <w:pPr>
              <w:spacing w:after="0"/>
              <w:rPr>
                <w:sz w:val="19"/>
                <w:szCs w:val="19"/>
                <w:color w:val="auto"/>
              </w:rPr>
            </w:pPr>
          </w:p>
        </w:tc>
        <w:tc>
          <w:tcPr>
            <w:tcW w:w="1500" w:type="dxa"/>
            <w:vAlign w:val="bottom"/>
          </w:tcPr>
          <w:p>
            <w:pPr>
              <w:jc w:val="right"/>
              <w:ind w:right="181"/>
              <w:spacing w:after="0"/>
              <w:rPr>
                <w:sz w:val="20"/>
                <w:szCs w:val="20"/>
                <w:color w:val="auto"/>
              </w:rPr>
            </w:pPr>
            <w:r>
              <w:rPr>
                <w:rFonts w:ascii="Arial" w:cs="Arial" w:eastAsia="Arial" w:hAnsi="Arial"/>
                <w:sz w:val="20"/>
                <w:szCs w:val="20"/>
                <w:color w:val="auto"/>
              </w:rPr>
              <w:t>37.1%</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20"/>
                <w:szCs w:val="20"/>
                <w:color w:val="auto"/>
              </w:rPr>
              <w:t>Risk-free interest rate</w:t>
            </w:r>
          </w:p>
        </w:tc>
        <w:tc>
          <w:tcPr>
            <w:tcW w:w="1580" w:type="dxa"/>
            <w:vAlign w:val="bottom"/>
          </w:tcPr>
          <w:p>
            <w:pPr>
              <w:jc w:val="right"/>
              <w:ind w:right="241"/>
              <w:spacing w:after="0"/>
              <w:rPr>
                <w:sz w:val="20"/>
                <w:szCs w:val="20"/>
                <w:color w:val="auto"/>
              </w:rPr>
            </w:pPr>
            <w:r>
              <w:rPr>
                <w:rFonts w:ascii="Arial" w:cs="Arial" w:eastAsia="Arial" w:hAnsi="Arial"/>
                <w:sz w:val="20"/>
                <w:szCs w:val="20"/>
                <w:color w:val="auto"/>
              </w:rPr>
              <w:t>1.3%</w:t>
            </w:r>
          </w:p>
        </w:tc>
        <w:tc>
          <w:tcPr>
            <w:tcW w:w="280" w:type="dxa"/>
            <w:vAlign w:val="bottom"/>
          </w:tcPr>
          <w:p>
            <w:pPr>
              <w:spacing w:after="0"/>
              <w:rPr>
                <w:sz w:val="19"/>
                <w:szCs w:val="19"/>
                <w:color w:val="auto"/>
              </w:rPr>
            </w:pPr>
          </w:p>
        </w:tc>
        <w:tc>
          <w:tcPr>
            <w:tcW w:w="1580" w:type="dxa"/>
            <w:vAlign w:val="bottom"/>
          </w:tcPr>
          <w:p>
            <w:pPr>
              <w:jc w:val="right"/>
              <w:ind w:right="281"/>
              <w:spacing w:after="0"/>
              <w:rPr>
                <w:sz w:val="20"/>
                <w:szCs w:val="20"/>
                <w:color w:val="auto"/>
              </w:rPr>
            </w:pPr>
            <w:r>
              <w:rPr>
                <w:rFonts w:ascii="Arial" w:cs="Arial" w:eastAsia="Arial" w:hAnsi="Arial"/>
                <w:sz w:val="20"/>
                <w:szCs w:val="20"/>
                <w:color w:val="auto"/>
              </w:rPr>
              <w:t>1.5%</w:t>
            </w:r>
          </w:p>
        </w:tc>
        <w:tc>
          <w:tcPr>
            <w:tcW w:w="200" w:type="dxa"/>
            <w:vAlign w:val="bottom"/>
          </w:tcPr>
          <w:p>
            <w:pPr>
              <w:spacing w:after="0"/>
              <w:rPr>
                <w:sz w:val="19"/>
                <w:szCs w:val="19"/>
                <w:color w:val="auto"/>
              </w:rPr>
            </w:pPr>
          </w:p>
        </w:tc>
        <w:tc>
          <w:tcPr>
            <w:tcW w:w="1580" w:type="dxa"/>
            <w:vAlign w:val="bottom"/>
          </w:tcPr>
          <w:p>
            <w:pPr>
              <w:jc w:val="right"/>
              <w:ind w:right="241"/>
              <w:spacing w:after="0"/>
              <w:rPr>
                <w:sz w:val="20"/>
                <w:szCs w:val="20"/>
                <w:color w:val="auto"/>
              </w:rPr>
            </w:pPr>
            <w:r>
              <w:rPr>
                <w:rFonts w:ascii="Arial" w:cs="Arial" w:eastAsia="Arial" w:hAnsi="Arial"/>
                <w:sz w:val="20"/>
                <w:szCs w:val="20"/>
                <w:color w:val="auto"/>
              </w:rPr>
              <w:t>1.4%</w:t>
            </w:r>
          </w:p>
        </w:tc>
        <w:tc>
          <w:tcPr>
            <w:tcW w:w="260" w:type="dxa"/>
            <w:vAlign w:val="bottom"/>
          </w:tcPr>
          <w:p>
            <w:pPr>
              <w:spacing w:after="0"/>
              <w:rPr>
                <w:sz w:val="19"/>
                <w:szCs w:val="19"/>
                <w:color w:val="auto"/>
              </w:rPr>
            </w:pPr>
          </w:p>
        </w:tc>
        <w:tc>
          <w:tcPr>
            <w:tcW w:w="1500" w:type="dxa"/>
            <w:vAlign w:val="bottom"/>
          </w:tcPr>
          <w:p>
            <w:pPr>
              <w:jc w:val="right"/>
              <w:ind w:right="181"/>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50"/>
        </w:trPr>
        <w:tc>
          <w:tcPr>
            <w:tcW w:w="3960" w:type="dxa"/>
            <w:vAlign w:val="bottom"/>
          </w:tcPr>
          <w:p>
            <w:pPr>
              <w:spacing w:after="0"/>
              <w:rPr>
                <w:sz w:val="20"/>
                <w:szCs w:val="20"/>
                <w:color w:val="auto"/>
              </w:rPr>
            </w:pPr>
            <w:r>
              <w:rPr>
                <w:rFonts w:ascii="Arial" w:cs="Arial" w:eastAsia="Arial" w:hAnsi="Arial"/>
                <w:sz w:val="20"/>
                <w:szCs w:val="20"/>
                <w:color w:val="auto"/>
              </w:rPr>
              <w:t>Expected term</w:t>
            </w:r>
          </w:p>
        </w:tc>
        <w:tc>
          <w:tcPr>
            <w:tcW w:w="1860" w:type="dxa"/>
            <w:vAlign w:val="bottom"/>
            <w:gridSpan w:val="2"/>
          </w:tcPr>
          <w:p>
            <w:pPr>
              <w:ind w:left="540"/>
              <w:spacing w:after="0"/>
              <w:rPr>
                <w:sz w:val="20"/>
                <w:szCs w:val="20"/>
                <w:color w:val="auto"/>
              </w:rPr>
            </w:pPr>
            <w:r>
              <w:rPr>
                <w:rFonts w:ascii="Arial" w:cs="Arial" w:eastAsia="Arial" w:hAnsi="Arial"/>
                <w:sz w:val="20"/>
                <w:szCs w:val="20"/>
                <w:color w:val="auto"/>
              </w:rPr>
              <w:t>6.4 years</w:t>
            </w:r>
          </w:p>
        </w:tc>
        <w:tc>
          <w:tcPr>
            <w:tcW w:w="1780" w:type="dxa"/>
            <w:vAlign w:val="bottom"/>
            <w:gridSpan w:val="2"/>
          </w:tcPr>
          <w:p>
            <w:pPr>
              <w:ind w:left="480"/>
              <w:spacing w:after="0"/>
              <w:rPr>
                <w:sz w:val="20"/>
                <w:szCs w:val="20"/>
                <w:color w:val="auto"/>
              </w:rPr>
            </w:pPr>
            <w:r>
              <w:rPr>
                <w:rFonts w:ascii="Arial" w:cs="Arial" w:eastAsia="Arial" w:hAnsi="Arial"/>
                <w:sz w:val="20"/>
                <w:szCs w:val="20"/>
                <w:color w:val="auto"/>
              </w:rPr>
              <w:t>5.8 years</w:t>
            </w:r>
          </w:p>
        </w:tc>
        <w:tc>
          <w:tcPr>
            <w:tcW w:w="1840" w:type="dxa"/>
            <w:vAlign w:val="bottom"/>
            <w:gridSpan w:val="2"/>
          </w:tcPr>
          <w:p>
            <w:pPr>
              <w:ind w:left="520"/>
              <w:spacing w:after="0"/>
              <w:rPr>
                <w:sz w:val="20"/>
                <w:szCs w:val="20"/>
                <w:color w:val="auto"/>
              </w:rPr>
            </w:pPr>
            <w:r>
              <w:rPr>
                <w:rFonts w:ascii="Arial" w:cs="Arial" w:eastAsia="Arial" w:hAnsi="Arial"/>
                <w:sz w:val="20"/>
                <w:szCs w:val="20"/>
                <w:color w:val="auto"/>
              </w:rPr>
              <w:t>6.3 years</w:t>
            </w:r>
          </w:p>
        </w:tc>
        <w:tc>
          <w:tcPr>
            <w:tcW w:w="1500" w:type="dxa"/>
            <w:vAlign w:val="bottom"/>
          </w:tcPr>
          <w:p>
            <w:pPr>
              <w:jc w:val="right"/>
              <w:ind w:right="181"/>
              <w:spacing w:after="0"/>
              <w:rPr>
                <w:sz w:val="20"/>
                <w:szCs w:val="20"/>
                <w:color w:val="auto"/>
              </w:rPr>
            </w:pPr>
            <w:r>
              <w:rPr>
                <w:rFonts w:ascii="Arial" w:cs="Arial" w:eastAsia="Arial" w:hAnsi="Arial"/>
                <w:sz w:val="20"/>
                <w:szCs w:val="20"/>
                <w:color w:val="auto"/>
              </w:rPr>
              <w:t>5.8 years</w:t>
            </w: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Company uses historical volatility as it provides a reasonable estimate of the expected volatility.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is based on the most recent volatility of the stock price over a period of time equivalent to the expected term of the option.</w:t>
      </w:r>
    </w:p>
    <w:p>
      <w:pPr>
        <w:spacing w:after="0" w:line="14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i w:val="1"/>
          <w:iCs w:val="1"/>
          <w:color w:val="auto"/>
        </w:rPr>
        <w:t>Risk-Free Interest Rate</w:t>
      </w:r>
      <w:r>
        <w:rPr>
          <w:rFonts w:ascii="Arial" w:cs="Arial" w:eastAsia="Arial" w:hAnsi="Arial"/>
          <w:sz w:val="20"/>
          <w:szCs w:val="20"/>
          <w:color w:val="auto"/>
        </w:rPr>
        <w:t>: The risk-free interest rate is based on the U.S. Treasury zero coupon yield curve in effect at the time of grant</w:t>
      </w:r>
      <w:r>
        <w:rPr>
          <w:rFonts w:ascii="Arial" w:cs="Arial" w:eastAsia="Arial" w:hAnsi="Arial"/>
          <w:sz w:val="20"/>
          <w:szCs w:val="20"/>
          <w:i w:val="1"/>
          <w:iCs w:val="1"/>
          <w:color w:val="auto"/>
        </w:rPr>
        <w:t xml:space="preserve"> </w:t>
      </w:r>
      <w:r>
        <w:rPr>
          <w:rFonts w:ascii="Arial" w:cs="Arial" w:eastAsia="Arial" w:hAnsi="Arial"/>
          <w:sz w:val="20"/>
          <w:szCs w:val="20"/>
          <w:color w:val="auto"/>
        </w:rPr>
        <w:t>for the expected term of the option.</w:t>
      </w:r>
    </w:p>
    <w:p>
      <w:pPr>
        <w:spacing w:after="0" w:line="19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 The Company’s expected term represents the weighted-average period that the Company’s stock options are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to be outstanding. The expected term is based on expected time to post-vesting exercise of options by employees. The Company uses historical exercise patterns of previously granted options to derive employee behavioral patterns used to forecast expected exercise patterns.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Company’s activities with respect to its stock option plans as follows:</w:t>
      </w:r>
    </w:p>
    <w:p>
      <w:pPr>
        <w:spacing w:after="0" w:line="229" w:lineRule="exact"/>
        <w:rPr>
          <w:sz w:val="20"/>
          <w:szCs w:val="20"/>
          <w:color w:val="auto"/>
        </w:rPr>
      </w:pPr>
    </w:p>
    <w:tbl>
      <w:tblPr>
        <w:tblLayout w:type="fixed"/>
        <w:tblInd w:w="1980" w:type="dxa"/>
        <w:tblCellMar>
          <w:top w:w="0" w:type="dxa"/>
          <w:left w:w="0" w:type="dxa"/>
          <w:bottom w:w="0" w:type="dxa"/>
          <w:right w:w="0" w:type="dxa"/>
        </w:tblCellMar>
      </w:tblPr>
      <w:tr>
        <w:trPr>
          <w:trHeight w:val="230"/>
        </w:trPr>
        <w:tc>
          <w:tcPr>
            <w:tcW w:w="1900" w:type="dxa"/>
            <w:vAlign w:val="bottom"/>
          </w:tcPr>
          <w:p>
            <w:pPr>
              <w:spacing w:after="0"/>
              <w:rPr>
                <w:sz w:val="20"/>
                <w:szCs w:val="20"/>
                <w:color w:val="auto"/>
              </w:rPr>
            </w:pPr>
            <w:r>
              <w:rPr>
                <w:rFonts w:ascii="Arial" w:cs="Arial" w:eastAsia="Arial" w:hAnsi="Arial"/>
                <w:sz w:val="20"/>
                <w:szCs w:val="20"/>
                <w:color w:val="auto"/>
              </w:rPr>
              <w:t>Options</w:t>
            </w:r>
          </w:p>
        </w:tc>
        <w:tc>
          <w:tcPr>
            <w:tcW w:w="2540" w:type="dxa"/>
            <w:vAlign w:val="bottom"/>
          </w:tcPr>
          <w:p>
            <w:pPr>
              <w:jc w:val="center"/>
              <w:ind w:left="741"/>
              <w:spacing w:after="0"/>
              <w:rPr>
                <w:sz w:val="20"/>
                <w:szCs w:val="20"/>
                <w:color w:val="auto"/>
              </w:rPr>
            </w:pPr>
            <w:r>
              <w:rPr>
                <w:rFonts w:ascii="Arial" w:cs="Arial" w:eastAsia="Arial" w:hAnsi="Arial"/>
                <w:sz w:val="20"/>
                <w:szCs w:val="20"/>
                <w:color w:val="auto"/>
                <w:w w:val="92"/>
              </w:rPr>
              <w:t>Number of</w:t>
            </w:r>
          </w:p>
        </w:tc>
        <w:tc>
          <w:tcPr>
            <w:tcW w:w="1620" w:type="dxa"/>
            <w:vAlign w:val="bottom"/>
          </w:tcPr>
          <w:p>
            <w:pPr>
              <w:jc w:val="center"/>
              <w:spacing w:after="0"/>
              <w:rPr>
                <w:sz w:val="20"/>
                <w:szCs w:val="20"/>
                <w:color w:val="auto"/>
              </w:rPr>
            </w:pPr>
            <w:r>
              <w:rPr>
                <w:rFonts w:ascii="Arial" w:cs="Arial" w:eastAsia="Arial" w:hAnsi="Arial"/>
                <w:sz w:val="20"/>
                <w:szCs w:val="20"/>
                <w:color w:val="auto"/>
                <w:w w:val="89"/>
              </w:rPr>
              <w:t>Weighted-</w:t>
            </w:r>
          </w:p>
        </w:tc>
        <w:tc>
          <w:tcPr>
            <w:tcW w:w="1640" w:type="dxa"/>
            <w:vAlign w:val="bottom"/>
          </w:tcPr>
          <w:p>
            <w:pPr>
              <w:jc w:val="center"/>
              <w:spacing w:after="0"/>
              <w:rPr>
                <w:sz w:val="20"/>
                <w:szCs w:val="20"/>
                <w:color w:val="auto"/>
              </w:rPr>
            </w:pPr>
            <w:r>
              <w:rPr>
                <w:rFonts w:ascii="Arial" w:cs="Arial" w:eastAsia="Arial" w:hAnsi="Arial"/>
                <w:sz w:val="20"/>
                <w:szCs w:val="20"/>
                <w:color w:val="auto"/>
                <w:w w:val="89"/>
              </w:rPr>
              <w:t>Weighted-</w:t>
            </w:r>
          </w:p>
        </w:tc>
        <w:tc>
          <w:tcPr>
            <w:tcW w:w="1520" w:type="dxa"/>
            <w:vAlign w:val="bottom"/>
          </w:tcPr>
          <w:p>
            <w:pPr>
              <w:jc w:val="center"/>
              <w:ind w:left="281"/>
              <w:spacing w:after="0"/>
              <w:rPr>
                <w:sz w:val="20"/>
                <w:szCs w:val="20"/>
                <w:color w:val="auto"/>
              </w:rPr>
            </w:pPr>
            <w:r>
              <w:rPr>
                <w:rFonts w:ascii="Arial" w:cs="Arial" w:eastAsia="Arial" w:hAnsi="Arial"/>
                <w:sz w:val="20"/>
                <w:szCs w:val="20"/>
                <w:color w:val="auto"/>
                <w:w w:val="88"/>
              </w:rPr>
              <w:t>Aggregate</w:t>
            </w:r>
          </w:p>
        </w:tc>
      </w:tr>
      <w:tr>
        <w:trPr>
          <w:trHeight w:val="230"/>
        </w:trPr>
        <w:tc>
          <w:tcPr>
            <w:tcW w:w="1900" w:type="dxa"/>
            <w:vAlign w:val="bottom"/>
          </w:tcPr>
          <w:p>
            <w:pPr>
              <w:spacing w:after="0"/>
              <w:rPr>
                <w:sz w:val="19"/>
                <w:szCs w:val="19"/>
                <w:color w:val="auto"/>
              </w:rPr>
            </w:pPr>
          </w:p>
        </w:tc>
        <w:tc>
          <w:tcPr>
            <w:tcW w:w="2540" w:type="dxa"/>
            <w:vAlign w:val="bottom"/>
          </w:tcPr>
          <w:p>
            <w:pPr>
              <w:jc w:val="center"/>
              <w:ind w:left="741"/>
              <w:spacing w:after="0"/>
              <w:rPr>
                <w:sz w:val="20"/>
                <w:szCs w:val="20"/>
                <w:color w:val="auto"/>
              </w:rPr>
            </w:pPr>
            <w:r>
              <w:rPr>
                <w:rFonts w:ascii="Arial" w:cs="Arial" w:eastAsia="Arial" w:hAnsi="Arial"/>
                <w:sz w:val="20"/>
                <w:szCs w:val="20"/>
                <w:color w:val="auto"/>
                <w:w w:val="88"/>
              </w:rPr>
              <w:t>Shares (In</w:t>
            </w:r>
          </w:p>
        </w:tc>
        <w:tc>
          <w:tcPr>
            <w:tcW w:w="1620" w:type="dxa"/>
            <w:vAlign w:val="bottom"/>
          </w:tcPr>
          <w:p>
            <w:pPr>
              <w:jc w:val="center"/>
              <w:spacing w:after="0"/>
              <w:rPr>
                <w:sz w:val="20"/>
                <w:szCs w:val="20"/>
                <w:color w:val="auto"/>
              </w:rPr>
            </w:pPr>
            <w:r>
              <w:rPr>
                <w:rFonts w:ascii="Arial" w:cs="Arial" w:eastAsia="Arial" w:hAnsi="Arial"/>
                <w:sz w:val="20"/>
                <w:szCs w:val="20"/>
                <w:color w:val="auto"/>
                <w:w w:val="88"/>
              </w:rPr>
              <w:t>Average</w:t>
            </w:r>
          </w:p>
        </w:tc>
        <w:tc>
          <w:tcPr>
            <w:tcW w:w="1640" w:type="dxa"/>
            <w:vAlign w:val="bottom"/>
          </w:tcPr>
          <w:p>
            <w:pPr>
              <w:jc w:val="center"/>
              <w:spacing w:after="0"/>
              <w:rPr>
                <w:sz w:val="20"/>
                <w:szCs w:val="20"/>
                <w:color w:val="auto"/>
              </w:rPr>
            </w:pPr>
            <w:r>
              <w:rPr>
                <w:rFonts w:ascii="Arial" w:cs="Arial" w:eastAsia="Arial" w:hAnsi="Arial"/>
                <w:sz w:val="20"/>
                <w:szCs w:val="20"/>
                <w:color w:val="auto"/>
                <w:w w:val="88"/>
              </w:rPr>
              <w:t>Average</w:t>
            </w:r>
          </w:p>
        </w:tc>
        <w:tc>
          <w:tcPr>
            <w:tcW w:w="1520" w:type="dxa"/>
            <w:vAlign w:val="bottom"/>
          </w:tcPr>
          <w:p>
            <w:pPr>
              <w:jc w:val="center"/>
              <w:ind w:left="281"/>
              <w:spacing w:after="0"/>
              <w:rPr>
                <w:sz w:val="20"/>
                <w:szCs w:val="20"/>
                <w:color w:val="auto"/>
              </w:rPr>
            </w:pPr>
            <w:r>
              <w:rPr>
                <w:rFonts w:ascii="Arial" w:cs="Arial" w:eastAsia="Arial" w:hAnsi="Arial"/>
                <w:sz w:val="20"/>
                <w:szCs w:val="20"/>
                <w:color w:val="auto"/>
                <w:w w:val="90"/>
              </w:rPr>
              <w:t>Intrinsic Value</w:t>
            </w:r>
          </w:p>
        </w:tc>
      </w:tr>
      <w:tr>
        <w:trPr>
          <w:trHeight w:val="250"/>
        </w:trPr>
        <w:tc>
          <w:tcPr>
            <w:tcW w:w="1900" w:type="dxa"/>
            <w:vAlign w:val="bottom"/>
          </w:tcPr>
          <w:p>
            <w:pPr>
              <w:spacing w:after="0"/>
              <w:rPr>
                <w:sz w:val="21"/>
                <w:szCs w:val="21"/>
                <w:color w:val="auto"/>
              </w:rPr>
            </w:pPr>
          </w:p>
        </w:tc>
        <w:tc>
          <w:tcPr>
            <w:tcW w:w="2540" w:type="dxa"/>
            <w:vAlign w:val="bottom"/>
          </w:tcPr>
          <w:p>
            <w:pPr>
              <w:jc w:val="center"/>
              <w:ind w:left="741"/>
              <w:spacing w:after="0"/>
              <w:rPr>
                <w:sz w:val="20"/>
                <w:szCs w:val="20"/>
                <w:color w:val="auto"/>
              </w:rPr>
            </w:pPr>
            <w:r>
              <w:rPr>
                <w:rFonts w:ascii="Arial" w:cs="Arial" w:eastAsia="Arial" w:hAnsi="Arial"/>
                <w:sz w:val="20"/>
                <w:szCs w:val="20"/>
                <w:color w:val="auto"/>
                <w:w w:val="86"/>
              </w:rPr>
              <w:t>thousands)</w:t>
            </w:r>
          </w:p>
        </w:tc>
        <w:tc>
          <w:tcPr>
            <w:tcW w:w="1620" w:type="dxa"/>
            <w:vAlign w:val="bottom"/>
          </w:tcPr>
          <w:p>
            <w:pPr>
              <w:jc w:val="center"/>
              <w:spacing w:after="0"/>
              <w:rPr>
                <w:sz w:val="20"/>
                <w:szCs w:val="20"/>
                <w:color w:val="auto"/>
              </w:rPr>
            </w:pPr>
            <w:r>
              <w:rPr>
                <w:rFonts w:ascii="Arial" w:cs="Arial" w:eastAsia="Arial" w:hAnsi="Arial"/>
                <w:sz w:val="20"/>
                <w:szCs w:val="20"/>
                <w:color w:val="auto"/>
                <w:w w:val="88"/>
              </w:rPr>
              <w:t>Exercise</w:t>
            </w:r>
          </w:p>
        </w:tc>
        <w:tc>
          <w:tcPr>
            <w:tcW w:w="1640" w:type="dxa"/>
            <w:vAlign w:val="bottom"/>
          </w:tcPr>
          <w:p>
            <w:pPr>
              <w:jc w:val="center"/>
              <w:spacing w:after="0"/>
              <w:rPr>
                <w:sz w:val="20"/>
                <w:szCs w:val="20"/>
                <w:color w:val="auto"/>
              </w:rPr>
            </w:pPr>
            <w:r>
              <w:rPr>
                <w:rFonts w:ascii="Arial" w:cs="Arial" w:eastAsia="Arial" w:hAnsi="Arial"/>
                <w:sz w:val="20"/>
                <w:szCs w:val="20"/>
                <w:color w:val="auto"/>
                <w:w w:val="89"/>
              </w:rPr>
              <w:t>Remaining</w:t>
            </w:r>
          </w:p>
        </w:tc>
        <w:tc>
          <w:tcPr>
            <w:tcW w:w="1520" w:type="dxa"/>
            <w:vAlign w:val="bottom"/>
          </w:tcPr>
          <w:p>
            <w:pPr>
              <w:spacing w:after="0"/>
              <w:rPr>
                <w:sz w:val="21"/>
                <w:szCs w:val="21"/>
                <w:color w:val="auto"/>
              </w:rPr>
            </w:pPr>
          </w:p>
        </w:tc>
      </w:tr>
    </w:tbl>
    <w:p>
      <w:pPr>
        <w:sectPr>
          <w:pgSz w:w="11900" w:h="16838" w:orient="portrait"/>
          <w:cols w:equalWidth="0" w:num="1">
            <w:col w:w="11420"/>
          </w:cols>
          <w:pgMar w:left="240" w:top="122" w:right="239" w:bottom="0" w:gutter="0" w:footer="0" w:header="0"/>
        </w:sectPr>
      </w:pPr>
    </w:p>
    <w:bookmarkStart w:id="17" w:name="page18"/>
    <w:bookmarkEnd w:id="17"/>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center"/>
              <w:ind w:right="560"/>
              <w:spacing w:after="0"/>
              <w:rPr>
                <w:sz w:val="20"/>
                <w:szCs w:val="20"/>
                <w:color w:val="auto"/>
              </w:rPr>
            </w:pPr>
            <w:r>
              <w:rPr>
                <w:rFonts w:ascii="Arial" w:cs="Arial" w:eastAsia="Arial" w:hAnsi="Arial"/>
                <w:sz w:val="20"/>
                <w:szCs w:val="20"/>
                <w:color w:val="auto"/>
                <w:w w:val="87"/>
              </w:rPr>
              <w:t>Price Per</w:t>
            </w:r>
          </w:p>
        </w:tc>
        <w:tc>
          <w:tcPr>
            <w:tcW w:w="1640" w:type="dxa"/>
            <w:vAlign w:val="bottom"/>
            <w:gridSpan w:val="2"/>
          </w:tcPr>
          <w:p>
            <w:pPr>
              <w:jc w:val="center"/>
              <w:ind w:right="280"/>
              <w:spacing w:after="0"/>
              <w:rPr>
                <w:sz w:val="20"/>
                <w:szCs w:val="20"/>
                <w:color w:val="auto"/>
              </w:rPr>
            </w:pPr>
            <w:r>
              <w:rPr>
                <w:rFonts w:ascii="Arial" w:cs="Arial" w:eastAsia="Arial" w:hAnsi="Arial"/>
                <w:sz w:val="20"/>
                <w:szCs w:val="20"/>
                <w:color w:val="auto"/>
                <w:w w:val="89"/>
              </w:rPr>
              <w:t>Contractual</w:t>
            </w: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20"/>
                <w:szCs w:val="20"/>
                <w:color w:val="auto"/>
                <w:w w:val="86"/>
              </w:rPr>
              <w:t>Share</w:t>
            </w:r>
          </w:p>
        </w:tc>
        <w:tc>
          <w:tcPr>
            <w:tcW w:w="1640" w:type="dxa"/>
            <w:vAlign w:val="bottom"/>
            <w:gridSpan w:val="2"/>
          </w:tcPr>
          <w:p>
            <w:pPr>
              <w:jc w:val="center"/>
              <w:ind w:right="300"/>
              <w:spacing w:after="0"/>
              <w:rPr>
                <w:sz w:val="20"/>
                <w:szCs w:val="20"/>
                <w:color w:val="auto"/>
              </w:rPr>
            </w:pPr>
            <w:r>
              <w:rPr>
                <w:rFonts w:ascii="Arial" w:cs="Arial" w:eastAsia="Arial" w:hAnsi="Arial"/>
                <w:sz w:val="20"/>
                <w:szCs w:val="20"/>
                <w:color w:val="auto"/>
                <w:w w:val="92"/>
              </w:rPr>
              <w:t>Term (In</w:t>
            </w: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46"/>
        </w:trPr>
        <w:tc>
          <w:tcPr>
            <w:tcW w:w="2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20"/>
                <w:szCs w:val="20"/>
                <w:color w:val="auto"/>
                <w:w w:val="86"/>
              </w:rPr>
              <w:t>years)</w:t>
            </w: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06"/>
        </w:trPr>
        <w:tc>
          <w:tcPr>
            <w:tcW w:w="20" w:type="dxa"/>
            <w:vAlign w:val="bottom"/>
          </w:tcPr>
          <w:p>
            <w:pPr>
              <w:spacing w:after="0"/>
              <w:rPr>
                <w:sz w:val="17"/>
                <w:szCs w:val="17"/>
                <w:color w:val="auto"/>
              </w:rPr>
            </w:pPr>
          </w:p>
        </w:tc>
        <w:tc>
          <w:tcPr>
            <w:tcW w:w="456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Outstanding at January 1, 2016</w:t>
            </w:r>
          </w:p>
        </w:tc>
        <w:tc>
          <w:tcPr>
            <w:tcW w:w="300" w:type="dxa"/>
            <w:vAlign w:val="bottom"/>
          </w:tcPr>
          <w:p>
            <w:pPr>
              <w:spacing w:after="0"/>
              <w:rPr>
                <w:sz w:val="17"/>
                <w:szCs w:val="17"/>
                <w:color w:val="auto"/>
              </w:rPr>
            </w:pPr>
          </w:p>
        </w:tc>
        <w:tc>
          <w:tcPr>
            <w:tcW w:w="138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6,590</w:t>
            </w:r>
          </w:p>
        </w:tc>
        <w:tc>
          <w:tcPr>
            <w:tcW w:w="280" w:type="dxa"/>
            <w:vAlign w:val="bottom"/>
          </w:tcPr>
          <w:p>
            <w:pPr>
              <w:spacing w:after="0"/>
              <w:rPr>
                <w:sz w:val="17"/>
                <w:szCs w:val="17"/>
                <w:color w:val="auto"/>
              </w:rPr>
            </w:pPr>
          </w:p>
        </w:tc>
        <w:tc>
          <w:tcPr>
            <w:tcW w:w="26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10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50.85</w:t>
            </w:r>
          </w:p>
        </w:tc>
        <w:tc>
          <w:tcPr>
            <w:tcW w:w="300" w:type="dxa"/>
            <w:vAlign w:val="bottom"/>
          </w:tcPr>
          <w:p>
            <w:pPr>
              <w:spacing w:after="0"/>
              <w:rPr>
                <w:sz w:val="17"/>
                <w:szCs w:val="17"/>
                <w:color w:val="auto"/>
              </w:rPr>
            </w:pPr>
          </w:p>
        </w:tc>
        <w:tc>
          <w:tcPr>
            <w:tcW w:w="136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5.6</w:t>
            </w:r>
          </w:p>
        </w:tc>
        <w:tc>
          <w:tcPr>
            <w:tcW w:w="280" w:type="dxa"/>
            <w:vAlign w:val="bottom"/>
          </w:tcPr>
          <w:p>
            <w:pPr>
              <w:spacing w:after="0"/>
              <w:rPr>
                <w:sz w:val="17"/>
                <w:szCs w:val="17"/>
                <w:color w:val="auto"/>
              </w:rPr>
            </w:pPr>
          </w:p>
        </w:tc>
        <w:tc>
          <w:tcPr>
            <w:tcW w:w="520" w:type="dxa"/>
            <w:vAlign w:val="bottom"/>
            <w:tcBorders>
              <w:top w:val="single" w:sz="8" w:color="auto"/>
            </w:tcBorders>
          </w:tcPr>
          <w:p>
            <w:pPr>
              <w:jc w:val="right"/>
              <w:ind w:right="221"/>
              <w:spacing w:after="0" w:line="207" w:lineRule="exact"/>
              <w:rPr>
                <w:sz w:val="20"/>
                <w:szCs w:val="20"/>
                <w:color w:val="auto"/>
              </w:rPr>
            </w:pPr>
            <w:r>
              <w:rPr>
                <w:rFonts w:ascii="Arial" w:cs="Arial" w:eastAsia="Arial" w:hAnsi="Arial"/>
                <w:sz w:val="20"/>
                <w:szCs w:val="20"/>
                <w:color w:val="auto"/>
              </w:rPr>
              <w:t>$</w:t>
            </w:r>
          </w:p>
        </w:tc>
        <w:tc>
          <w:tcPr>
            <w:tcW w:w="106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646,497</w:t>
            </w:r>
          </w:p>
        </w:tc>
      </w:tr>
      <w:tr>
        <w:trPr>
          <w:trHeight w:val="230"/>
        </w:trPr>
        <w:tc>
          <w:tcPr>
            <w:tcW w:w="20" w:type="dxa"/>
            <w:vAlign w:val="bottom"/>
          </w:tcPr>
          <w:p>
            <w:pPr>
              <w:spacing w:after="0"/>
              <w:rPr>
                <w:sz w:val="19"/>
                <w:szCs w:val="19"/>
                <w:color w:val="auto"/>
              </w:rPr>
            </w:pPr>
          </w:p>
        </w:tc>
        <w:tc>
          <w:tcPr>
            <w:tcW w:w="4860" w:type="dxa"/>
            <w:vAlign w:val="bottom"/>
            <w:gridSpan w:val="2"/>
          </w:tcPr>
          <w:p>
            <w:pPr>
              <w:ind w:left="380"/>
              <w:spacing w:after="0"/>
              <w:rPr>
                <w:sz w:val="20"/>
                <w:szCs w:val="20"/>
                <w:color w:val="auto"/>
              </w:rPr>
            </w:pPr>
            <w:r>
              <w:rPr>
                <w:rFonts w:ascii="Arial" w:cs="Arial" w:eastAsia="Arial" w:hAnsi="Arial"/>
                <w:sz w:val="20"/>
                <w:szCs w:val="20"/>
                <w:color w:val="auto"/>
              </w:rPr>
              <w:t>Granted 01/01/16 - 03/31/16</w:t>
            </w:r>
          </w:p>
        </w:tc>
        <w:tc>
          <w:tcPr>
            <w:tcW w:w="1380" w:type="dxa"/>
            <w:vAlign w:val="bottom"/>
          </w:tcPr>
          <w:p>
            <w:pPr>
              <w:jc w:val="right"/>
              <w:spacing w:after="0"/>
              <w:rPr>
                <w:sz w:val="20"/>
                <w:szCs w:val="20"/>
                <w:color w:val="auto"/>
              </w:rPr>
            </w:pPr>
            <w:r>
              <w:rPr>
                <w:rFonts w:ascii="Arial" w:cs="Arial" w:eastAsia="Arial" w:hAnsi="Arial"/>
                <w:sz w:val="20"/>
                <w:szCs w:val="20"/>
                <w:color w:val="auto"/>
              </w:rPr>
              <w:t>961</w:t>
            </w:r>
          </w:p>
        </w:tc>
        <w:tc>
          <w:tcPr>
            <w:tcW w:w="5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132.06</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60" w:type="dxa"/>
            <w:vAlign w:val="bottom"/>
            <w:gridSpan w:val="2"/>
          </w:tcPr>
          <w:p>
            <w:pPr>
              <w:ind w:left="380"/>
              <w:spacing w:after="0"/>
              <w:rPr>
                <w:sz w:val="20"/>
                <w:szCs w:val="20"/>
                <w:color w:val="auto"/>
              </w:rPr>
            </w:pPr>
            <w:r>
              <w:rPr>
                <w:rFonts w:ascii="Arial" w:cs="Arial" w:eastAsia="Arial" w:hAnsi="Arial"/>
                <w:sz w:val="20"/>
                <w:szCs w:val="20"/>
                <w:color w:val="auto"/>
              </w:rPr>
              <w:t>Granted 04/01/16 - 06/30/16</w:t>
            </w:r>
          </w:p>
        </w:tc>
        <w:tc>
          <w:tcPr>
            <w:tcW w:w="1380" w:type="dxa"/>
            <w:vAlign w:val="bottom"/>
          </w:tcPr>
          <w:p>
            <w:pPr>
              <w:jc w:val="right"/>
              <w:spacing w:after="0"/>
              <w:rPr>
                <w:sz w:val="20"/>
                <w:szCs w:val="20"/>
                <w:color w:val="auto"/>
              </w:rPr>
            </w:pPr>
            <w:r>
              <w:rPr>
                <w:rFonts w:ascii="Arial" w:cs="Arial" w:eastAsia="Arial" w:hAnsi="Arial"/>
                <w:sz w:val="20"/>
                <w:szCs w:val="20"/>
                <w:color w:val="auto"/>
              </w:rPr>
              <w:t>219</w:t>
            </w:r>
          </w:p>
        </w:tc>
        <w:tc>
          <w:tcPr>
            <w:tcW w:w="5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138.53</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60" w:type="dxa"/>
            <w:vAlign w:val="bottom"/>
            <w:gridSpan w:val="2"/>
          </w:tcPr>
          <w:p>
            <w:pPr>
              <w:ind w:left="380"/>
              <w:spacing w:after="0"/>
              <w:rPr>
                <w:sz w:val="20"/>
                <w:szCs w:val="20"/>
                <w:color w:val="auto"/>
              </w:rPr>
            </w:pPr>
            <w:r>
              <w:rPr>
                <w:rFonts w:ascii="Arial" w:cs="Arial" w:eastAsia="Arial" w:hAnsi="Arial"/>
                <w:sz w:val="20"/>
                <w:szCs w:val="20"/>
                <w:color w:val="auto"/>
              </w:rPr>
              <w:t>Exercised</w:t>
            </w:r>
          </w:p>
        </w:tc>
        <w:tc>
          <w:tcPr>
            <w:tcW w:w="1380" w:type="dxa"/>
            <w:vAlign w:val="bottom"/>
          </w:tcPr>
          <w:p>
            <w:pPr>
              <w:jc w:val="right"/>
              <w:spacing w:after="0"/>
              <w:rPr>
                <w:sz w:val="20"/>
                <w:szCs w:val="20"/>
                <w:color w:val="auto"/>
              </w:rPr>
            </w:pPr>
            <w:r>
              <w:rPr>
                <w:rFonts w:ascii="Arial" w:cs="Arial" w:eastAsia="Arial" w:hAnsi="Arial"/>
                <w:sz w:val="20"/>
                <w:szCs w:val="20"/>
                <w:color w:val="auto"/>
              </w:rPr>
              <w:t>(210)</w:t>
            </w:r>
          </w:p>
        </w:tc>
        <w:tc>
          <w:tcPr>
            <w:tcW w:w="5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38.89</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40"/>
        </w:trPr>
        <w:tc>
          <w:tcPr>
            <w:tcW w:w="20" w:type="dxa"/>
            <w:vAlign w:val="bottom"/>
          </w:tcPr>
          <w:p>
            <w:pPr>
              <w:spacing w:after="0"/>
              <w:rPr>
                <w:sz w:val="20"/>
                <w:szCs w:val="20"/>
                <w:color w:val="auto"/>
              </w:rPr>
            </w:pPr>
          </w:p>
        </w:tc>
        <w:tc>
          <w:tcPr>
            <w:tcW w:w="4860" w:type="dxa"/>
            <w:vAlign w:val="bottom"/>
            <w:gridSpan w:val="2"/>
          </w:tcPr>
          <w:p>
            <w:pPr>
              <w:ind w:left="380"/>
              <w:spacing w:after="0"/>
              <w:rPr>
                <w:sz w:val="20"/>
                <w:szCs w:val="20"/>
                <w:color w:val="auto"/>
              </w:rPr>
            </w:pPr>
            <w:r>
              <w:rPr>
                <w:rFonts w:ascii="Arial" w:cs="Arial" w:eastAsia="Arial" w:hAnsi="Arial"/>
                <w:sz w:val="20"/>
                <w:szCs w:val="20"/>
                <w:color w:val="auto"/>
              </w:rPr>
              <w:t>Cancelled or forfeited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(81)</w:t>
            </w:r>
          </w:p>
        </w:tc>
        <w:tc>
          <w:tcPr>
            <w:tcW w:w="5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94.97</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13"/>
        </w:trPr>
        <w:tc>
          <w:tcPr>
            <w:tcW w:w="4880" w:type="dxa"/>
            <w:vAlign w:val="bottom"/>
            <w:gridSpan w:val="3"/>
          </w:tcPr>
          <w:p>
            <w:pPr>
              <w:spacing w:after="0" w:line="213" w:lineRule="exact"/>
              <w:rPr>
                <w:sz w:val="20"/>
                <w:szCs w:val="20"/>
                <w:color w:val="auto"/>
              </w:rPr>
            </w:pPr>
            <w:r>
              <w:rPr>
                <w:rFonts w:ascii="Arial" w:cs="Arial" w:eastAsia="Arial" w:hAnsi="Arial"/>
                <w:sz w:val="20"/>
                <w:szCs w:val="20"/>
                <w:color w:val="auto"/>
              </w:rPr>
              <w:t>Outstanding at June 30, 2016</w:t>
            </w:r>
          </w:p>
        </w:tc>
        <w:tc>
          <w:tcPr>
            <w:tcW w:w="1380" w:type="dxa"/>
            <w:vAlign w:val="bottom"/>
          </w:tcPr>
          <w:p>
            <w:pPr>
              <w:jc w:val="right"/>
              <w:spacing w:after="0" w:line="213" w:lineRule="exact"/>
              <w:rPr>
                <w:sz w:val="20"/>
                <w:szCs w:val="20"/>
                <w:color w:val="auto"/>
              </w:rPr>
            </w:pPr>
            <w:r>
              <w:rPr>
                <w:rFonts w:ascii="Arial" w:cs="Arial" w:eastAsia="Arial" w:hAnsi="Arial"/>
                <w:sz w:val="20"/>
                <w:szCs w:val="20"/>
                <w:color w:val="auto"/>
              </w:rPr>
              <w:t>7,479</w:t>
            </w:r>
          </w:p>
        </w:tc>
        <w:tc>
          <w:tcPr>
            <w:tcW w:w="540" w:type="dxa"/>
            <w:vAlign w:val="bottom"/>
            <w:gridSpan w:val="2"/>
          </w:tcPr>
          <w:p>
            <w:pPr>
              <w:jc w:val="right"/>
              <w:spacing w:after="0" w:line="213" w:lineRule="exact"/>
              <w:rPr>
                <w:sz w:val="20"/>
                <w:szCs w:val="20"/>
                <w:color w:val="auto"/>
              </w:rPr>
            </w:pPr>
            <w:r>
              <w:rPr>
                <w:rFonts w:ascii="Arial" w:cs="Arial" w:eastAsia="Arial" w:hAnsi="Arial"/>
                <w:sz w:val="20"/>
                <w:szCs w:val="20"/>
                <w:color w:val="auto"/>
              </w:rPr>
              <w:t>$</w:t>
            </w:r>
          </w:p>
        </w:tc>
        <w:tc>
          <w:tcPr>
            <w:tcW w:w="1100" w:type="dxa"/>
            <w:vAlign w:val="bottom"/>
          </w:tcPr>
          <w:p>
            <w:pPr>
              <w:jc w:val="right"/>
              <w:spacing w:after="0" w:line="213" w:lineRule="exact"/>
              <w:rPr>
                <w:sz w:val="20"/>
                <w:szCs w:val="20"/>
                <w:color w:val="auto"/>
              </w:rPr>
            </w:pPr>
            <w:r>
              <w:rPr>
                <w:rFonts w:ascii="Arial" w:cs="Arial" w:eastAsia="Arial" w:hAnsi="Arial"/>
                <w:sz w:val="20"/>
                <w:szCs w:val="20"/>
                <w:color w:val="auto"/>
              </w:rPr>
              <w:t>63.72</w:t>
            </w:r>
          </w:p>
        </w:tc>
        <w:tc>
          <w:tcPr>
            <w:tcW w:w="300" w:type="dxa"/>
            <w:vAlign w:val="bottom"/>
          </w:tcPr>
          <w:p>
            <w:pPr>
              <w:spacing w:after="0"/>
              <w:rPr>
                <w:sz w:val="18"/>
                <w:szCs w:val="18"/>
                <w:color w:val="auto"/>
              </w:rPr>
            </w:pPr>
          </w:p>
        </w:tc>
        <w:tc>
          <w:tcPr>
            <w:tcW w:w="1360" w:type="dxa"/>
            <w:vAlign w:val="bottom"/>
          </w:tcPr>
          <w:p>
            <w:pPr>
              <w:jc w:val="right"/>
              <w:spacing w:after="0" w:line="213" w:lineRule="exact"/>
              <w:rPr>
                <w:sz w:val="20"/>
                <w:szCs w:val="20"/>
                <w:color w:val="auto"/>
              </w:rPr>
            </w:pPr>
            <w:r>
              <w:rPr>
                <w:rFonts w:ascii="Arial" w:cs="Arial" w:eastAsia="Arial" w:hAnsi="Arial"/>
                <w:sz w:val="20"/>
                <w:szCs w:val="20"/>
                <w:color w:val="auto"/>
              </w:rPr>
              <w:t>5.8</w:t>
            </w:r>
          </w:p>
        </w:tc>
        <w:tc>
          <w:tcPr>
            <w:tcW w:w="280" w:type="dxa"/>
            <w:vAlign w:val="bottom"/>
          </w:tcPr>
          <w:p>
            <w:pPr>
              <w:spacing w:after="0"/>
              <w:rPr>
                <w:sz w:val="18"/>
                <w:szCs w:val="18"/>
                <w:color w:val="auto"/>
              </w:rPr>
            </w:pPr>
          </w:p>
        </w:tc>
        <w:tc>
          <w:tcPr>
            <w:tcW w:w="520" w:type="dxa"/>
            <w:vAlign w:val="bottom"/>
          </w:tcPr>
          <w:p>
            <w:pPr>
              <w:jc w:val="right"/>
              <w:ind w:right="221"/>
              <w:spacing w:after="0" w:line="213" w:lineRule="exact"/>
              <w:rPr>
                <w:sz w:val="20"/>
                <w:szCs w:val="20"/>
                <w:color w:val="auto"/>
              </w:rPr>
            </w:pPr>
            <w:r>
              <w:rPr>
                <w:rFonts w:ascii="Arial" w:cs="Arial" w:eastAsia="Arial" w:hAnsi="Arial"/>
                <w:sz w:val="20"/>
                <w:szCs w:val="20"/>
                <w:color w:val="auto"/>
              </w:rPr>
              <w:t>$</w:t>
            </w:r>
          </w:p>
        </w:tc>
        <w:tc>
          <w:tcPr>
            <w:tcW w:w="1060" w:type="dxa"/>
            <w:vAlign w:val="bottom"/>
          </w:tcPr>
          <w:p>
            <w:pPr>
              <w:jc w:val="right"/>
              <w:spacing w:after="0" w:line="213" w:lineRule="exact"/>
              <w:rPr>
                <w:sz w:val="20"/>
                <w:szCs w:val="20"/>
                <w:color w:val="auto"/>
              </w:rPr>
            </w:pPr>
            <w:r>
              <w:rPr>
                <w:rFonts w:ascii="Arial" w:cs="Arial" w:eastAsia="Arial" w:hAnsi="Arial"/>
                <w:sz w:val="20"/>
                <w:szCs w:val="20"/>
                <w:color w:val="auto"/>
              </w:rPr>
              <w:t>725,436</w:t>
            </w:r>
          </w:p>
        </w:tc>
      </w:tr>
      <w:tr>
        <w:trPr>
          <w:trHeight w:val="230"/>
        </w:trPr>
        <w:tc>
          <w:tcPr>
            <w:tcW w:w="4880" w:type="dxa"/>
            <w:vAlign w:val="bottom"/>
            <w:gridSpan w:val="3"/>
          </w:tcPr>
          <w:p>
            <w:pPr>
              <w:spacing w:after="0"/>
              <w:rPr>
                <w:sz w:val="20"/>
                <w:szCs w:val="20"/>
                <w:color w:val="auto"/>
              </w:rPr>
            </w:pPr>
            <w:r>
              <w:rPr>
                <w:rFonts w:ascii="Arial" w:cs="Arial" w:eastAsia="Arial" w:hAnsi="Arial"/>
                <w:sz w:val="20"/>
                <w:szCs w:val="20"/>
                <w:color w:val="auto"/>
                <w:w w:val="93"/>
              </w:rPr>
              <w:t>Vested and expected to vest in the future at June 30, 2016</w:t>
            </w:r>
          </w:p>
        </w:tc>
        <w:tc>
          <w:tcPr>
            <w:tcW w:w="1380" w:type="dxa"/>
            <w:vAlign w:val="bottom"/>
          </w:tcPr>
          <w:p>
            <w:pPr>
              <w:jc w:val="right"/>
              <w:spacing w:after="0"/>
              <w:rPr>
                <w:sz w:val="20"/>
                <w:szCs w:val="20"/>
                <w:color w:val="auto"/>
              </w:rPr>
            </w:pPr>
            <w:r>
              <w:rPr>
                <w:rFonts w:ascii="Arial" w:cs="Arial" w:eastAsia="Arial" w:hAnsi="Arial"/>
                <w:sz w:val="20"/>
                <w:szCs w:val="20"/>
                <w:color w:val="auto"/>
              </w:rPr>
              <w:t>7,031</w:t>
            </w:r>
          </w:p>
        </w:tc>
        <w:tc>
          <w:tcPr>
            <w:tcW w:w="5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60.23</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5.6</w:t>
            </w:r>
          </w:p>
        </w:tc>
        <w:tc>
          <w:tcPr>
            <w:tcW w:w="280" w:type="dxa"/>
            <w:vAlign w:val="bottom"/>
          </w:tcPr>
          <w:p>
            <w:pPr>
              <w:spacing w:after="0"/>
              <w:rPr>
                <w:sz w:val="19"/>
                <w:szCs w:val="19"/>
                <w:color w:val="auto"/>
              </w:rPr>
            </w:pPr>
          </w:p>
        </w:tc>
        <w:tc>
          <w:tcPr>
            <w:tcW w:w="52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706,495</w:t>
            </w:r>
          </w:p>
        </w:tc>
      </w:tr>
      <w:tr>
        <w:trPr>
          <w:trHeight w:val="250"/>
        </w:trPr>
        <w:tc>
          <w:tcPr>
            <w:tcW w:w="4880" w:type="dxa"/>
            <w:vAlign w:val="bottom"/>
            <w:gridSpan w:val="3"/>
          </w:tcPr>
          <w:p>
            <w:pPr>
              <w:spacing w:after="0"/>
              <w:rPr>
                <w:sz w:val="20"/>
                <w:szCs w:val="20"/>
                <w:color w:val="auto"/>
              </w:rPr>
            </w:pPr>
            <w:r>
              <w:rPr>
                <w:rFonts w:ascii="Arial" w:cs="Arial" w:eastAsia="Arial" w:hAnsi="Arial"/>
                <w:sz w:val="20"/>
                <w:szCs w:val="20"/>
                <w:color w:val="auto"/>
              </w:rPr>
              <w:t>Exercisable at June 30, 2016</w:t>
            </w:r>
          </w:p>
        </w:tc>
        <w:tc>
          <w:tcPr>
            <w:tcW w:w="1380" w:type="dxa"/>
            <w:vAlign w:val="bottom"/>
          </w:tcPr>
          <w:p>
            <w:pPr>
              <w:jc w:val="right"/>
              <w:spacing w:after="0"/>
              <w:rPr>
                <w:sz w:val="20"/>
                <w:szCs w:val="20"/>
                <w:color w:val="auto"/>
              </w:rPr>
            </w:pPr>
            <w:r>
              <w:rPr>
                <w:rFonts w:ascii="Arial" w:cs="Arial" w:eastAsia="Arial" w:hAnsi="Arial"/>
                <w:sz w:val="20"/>
                <w:szCs w:val="20"/>
                <w:color w:val="auto"/>
              </w:rPr>
              <w:t>4,350</w:t>
            </w:r>
          </w:p>
        </w:tc>
        <w:tc>
          <w:tcPr>
            <w:tcW w:w="5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31.24</w:t>
            </w:r>
          </w:p>
        </w:tc>
        <w:tc>
          <w:tcPr>
            <w:tcW w:w="3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3.9</w:t>
            </w:r>
          </w:p>
        </w:tc>
        <w:tc>
          <w:tcPr>
            <w:tcW w:w="280" w:type="dxa"/>
            <w:vAlign w:val="bottom"/>
          </w:tcPr>
          <w:p>
            <w:pPr>
              <w:spacing w:after="0"/>
              <w:rPr>
                <w:sz w:val="21"/>
                <w:szCs w:val="21"/>
                <w:color w:val="auto"/>
              </w:rPr>
            </w:pPr>
          </w:p>
        </w:tc>
        <w:tc>
          <w:tcPr>
            <w:tcW w:w="52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563,212</w:t>
            </w:r>
          </w:p>
        </w:tc>
      </w:tr>
    </w:tbl>
    <w:p>
      <w:pPr>
        <w:spacing w:after="0" w:line="20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The weighted-average grant-date fair value of options granted during the three-months ended June 30, 2016 and 2015 was $52.33 per share and $49.72 per share, respectively. The weighted-average grant-date fair value of options granted during the six-months ended June 30, 2016 and 2015 was $50.66 per share and $50.14 per share, respectively. The total intrinsic value of options exercised during the three-months ended June 30, 2016 and 2015 was $10.9 million and $314.0 million, respectively. The total intrinsic value of options exercised during the six-months ended June 30, 2016 and 2015 was $21.4 million and $829.7 million, respectively.</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Cash received from option exercises under all plans for the three-months ended June 30, 2016 and 2015 was approximately $4.1 million and $22.7 million, respectively. Cash received from option exercises under all plans for the six-months ended June 30, 2016 and 2015 was approximately $8.1 million and $41.7 million, respectively.</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At June 30, 2016, there was $106.9 million of total unrecognized compensation expense related to non-vested options granted to employees under the Company’s share-based payment plans. That cost is expected to be recognized over a weighted-average period of 3.2 years.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Restricted Stock Awards and Restricted Stock Units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Stock-based compensation cost for restricted stock awards and restricted stock units is measured based on the closing fair market value of the Company’s common stock at the date of grant. In the event that the Company has the option and intent to settle a restricted stock unit in cash, the award is classified as a liability and revalued at each balance sheet date.</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following table summarizes the Company’s activities with respect to non-vested restricted stock awards and non-vested restricted stock units as follows: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center"/>
              <w:ind w:right="121"/>
              <w:spacing w:after="0"/>
              <w:rPr>
                <w:sz w:val="20"/>
                <w:szCs w:val="20"/>
                <w:color w:val="auto"/>
              </w:rPr>
            </w:pPr>
            <w:r>
              <w:rPr>
                <w:rFonts w:ascii="Arial" w:cs="Arial" w:eastAsia="Arial" w:hAnsi="Arial"/>
                <w:sz w:val="20"/>
                <w:szCs w:val="20"/>
                <w:color w:val="auto"/>
                <w:w w:val="87"/>
              </w:rPr>
              <w:t>Weighted</w:t>
            </w:r>
          </w:p>
        </w:tc>
      </w:tr>
      <w:tr>
        <w:trPr>
          <w:trHeight w:val="230"/>
        </w:trPr>
        <w:tc>
          <w:tcPr>
            <w:tcW w:w="52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20"/>
                <w:szCs w:val="20"/>
                <w:color w:val="auto"/>
                <w:w w:val="92"/>
              </w:rPr>
              <w:t>Number of</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center"/>
              <w:ind w:right="121"/>
              <w:spacing w:after="0"/>
              <w:rPr>
                <w:sz w:val="20"/>
                <w:szCs w:val="20"/>
                <w:color w:val="auto"/>
              </w:rPr>
            </w:pPr>
            <w:r>
              <w:rPr>
                <w:rFonts w:ascii="Arial" w:cs="Arial" w:eastAsia="Arial" w:hAnsi="Arial"/>
                <w:sz w:val="20"/>
                <w:szCs w:val="20"/>
                <w:color w:val="auto"/>
                <w:w w:val="88"/>
              </w:rPr>
              <w:t>Average</w:t>
            </w:r>
          </w:p>
        </w:tc>
      </w:tr>
      <w:tr>
        <w:trPr>
          <w:trHeight w:val="230"/>
        </w:trPr>
        <w:tc>
          <w:tcPr>
            <w:tcW w:w="52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20"/>
                <w:szCs w:val="20"/>
                <w:color w:val="auto"/>
                <w:w w:val="85"/>
              </w:rPr>
              <w:t>Shares (in</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center"/>
              <w:ind w:right="121"/>
              <w:spacing w:after="0"/>
              <w:rPr>
                <w:sz w:val="20"/>
                <w:szCs w:val="20"/>
                <w:color w:val="auto"/>
              </w:rPr>
            </w:pPr>
            <w:r>
              <w:rPr>
                <w:rFonts w:ascii="Arial" w:cs="Arial" w:eastAsia="Arial" w:hAnsi="Arial"/>
                <w:sz w:val="20"/>
                <w:szCs w:val="20"/>
                <w:color w:val="auto"/>
                <w:w w:val="90"/>
              </w:rPr>
              <w:t>Grant-Date</w:t>
            </w:r>
          </w:p>
        </w:tc>
      </w:tr>
      <w:tr>
        <w:trPr>
          <w:trHeight w:val="246"/>
        </w:trPr>
        <w:tc>
          <w:tcPr>
            <w:tcW w:w="520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6"/>
              </w:rPr>
              <w:t>thousands)</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121"/>
              <w:spacing w:after="0"/>
              <w:rPr>
                <w:sz w:val="20"/>
                <w:szCs w:val="20"/>
                <w:color w:val="auto"/>
              </w:rPr>
            </w:pPr>
            <w:r>
              <w:rPr>
                <w:rFonts w:ascii="Arial" w:cs="Arial" w:eastAsia="Arial" w:hAnsi="Arial"/>
                <w:sz w:val="20"/>
                <w:szCs w:val="20"/>
                <w:color w:val="auto"/>
                <w:w w:val="89"/>
              </w:rPr>
              <w:t>Fair Value</w:t>
            </w:r>
          </w:p>
        </w:tc>
      </w:tr>
      <w:tr>
        <w:trPr>
          <w:trHeight w:val="281"/>
        </w:trPr>
        <w:tc>
          <w:tcPr>
            <w:tcW w:w="5200" w:type="dxa"/>
            <w:vAlign w:val="bottom"/>
          </w:tcPr>
          <w:p>
            <w:pPr>
              <w:spacing w:after="0"/>
              <w:rPr>
                <w:sz w:val="20"/>
                <w:szCs w:val="20"/>
                <w:color w:val="auto"/>
              </w:rPr>
            </w:pPr>
            <w:r>
              <w:rPr>
                <w:rFonts w:ascii="Arial" w:cs="Arial" w:eastAsia="Arial" w:hAnsi="Arial"/>
                <w:sz w:val="20"/>
                <w:szCs w:val="20"/>
                <w:color w:val="auto"/>
              </w:rPr>
              <w:t>Non-vested at January 1, 2016</w:t>
            </w: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178</w:t>
            </w:r>
          </w:p>
        </w:tc>
        <w:tc>
          <w:tcPr>
            <w:tcW w:w="50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99.58</w:t>
            </w:r>
          </w:p>
        </w:tc>
      </w:tr>
      <w:tr>
        <w:trPr>
          <w:trHeight w:val="284"/>
        </w:trPr>
        <w:tc>
          <w:tcPr>
            <w:tcW w:w="5200" w:type="dxa"/>
            <w:vAlign w:val="bottom"/>
          </w:tcPr>
          <w:p>
            <w:pPr>
              <w:ind w:left="180"/>
              <w:spacing w:after="0"/>
              <w:rPr>
                <w:sz w:val="20"/>
                <w:szCs w:val="20"/>
                <w:color w:val="auto"/>
              </w:rPr>
            </w:pPr>
            <w:r>
              <w:rPr>
                <w:rFonts w:ascii="Arial" w:cs="Arial" w:eastAsia="Arial" w:hAnsi="Arial"/>
                <w:sz w:val="20"/>
                <w:szCs w:val="20"/>
                <w:color w:val="auto"/>
              </w:rPr>
              <w:t>Granted 01/01/16- 03/31/16</w:t>
            </w: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82</w:t>
            </w:r>
          </w:p>
        </w:tc>
        <w:tc>
          <w:tcPr>
            <w:tcW w:w="50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131.96</w:t>
            </w:r>
          </w:p>
        </w:tc>
      </w:tr>
      <w:tr>
        <w:trPr>
          <w:trHeight w:val="284"/>
        </w:trPr>
        <w:tc>
          <w:tcPr>
            <w:tcW w:w="5200" w:type="dxa"/>
            <w:vAlign w:val="bottom"/>
          </w:tcPr>
          <w:p>
            <w:pPr>
              <w:ind w:left="180"/>
              <w:spacing w:after="0"/>
              <w:rPr>
                <w:sz w:val="20"/>
                <w:szCs w:val="20"/>
                <w:color w:val="auto"/>
              </w:rPr>
            </w:pPr>
            <w:r>
              <w:rPr>
                <w:rFonts w:ascii="Arial" w:cs="Arial" w:eastAsia="Arial" w:hAnsi="Arial"/>
                <w:sz w:val="20"/>
                <w:szCs w:val="20"/>
                <w:color w:val="auto"/>
              </w:rPr>
              <w:t>Granted 04/01/16- 06/30/16</w:t>
            </w: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12</w:t>
            </w:r>
          </w:p>
        </w:tc>
        <w:tc>
          <w:tcPr>
            <w:tcW w:w="50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148.94</w:t>
            </w:r>
          </w:p>
        </w:tc>
      </w:tr>
      <w:tr>
        <w:trPr>
          <w:trHeight w:val="263"/>
        </w:trPr>
        <w:tc>
          <w:tcPr>
            <w:tcW w:w="5200" w:type="dxa"/>
            <w:vAlign w:val="bottom"/>
          </w:tcPr>
          <w:p>
            <w:pPr>
              <w:ind w:left="180"/>
              <w:spacing w:after="0"/>
              <w:rPr>
                <w:sz w:val="20"/>
                <w:szCs w:val="20"/>
                <w:color w:val="auto"/>
              </w:rPr>
            </w:pPr>
            <w:r>
              <w:rPr>
                <w:rFonts w:ascii="Arial" w:cs="Arial" w:eastAsia="Arial" w:hAnsi="Arial"/>
                <w:sz w:val="20"/>
                <w:szCs w:val="20"/>
                <w:color w:val="auto"/>
              </w:rPr>
              <w:t>Vested</w:t>
            </w:r>
          </w:p>
        </w:tc>
        <w:tc>
          <w:tcPr>
            <w:tcW w:w="1380" w:type="dxa"/>
            <w:vAlign w:val="bottom"/>
          </w:tcPr>
          <w:p>
            <w:pPr>
              <w:jc w:val="right"/>
              <w:spacing w:after="0"/>
              <w:rPr>
                <w:sz w:val="20"/>
                <w:szCs w:val="20"/>
                <w:color w:val="auto"/>
              </w:rPr>
            </w:pPr>
            <w:r>
              <w:rPr>
                <w:rFonts w:ascii="Arial" w:cs="Arial" w:eastAsia="Arial" w:hAnsi="Arial"/>
                <w:sz w:val="20"/>
                <w:szCs w:val="20"/>
                <w:color w:val="auto"/>
              </w:rPr>
              <w:t>(68)</w:t>
            </w:r>
          </w:p>
        </w:tc>
        <w:tc>
          <w:tcPr>
            <w:tcW w:w="50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104.32</w:t>
            </w:r>
          </w:p>
        </w:tc>
      </w:tr>
      <w:tr>
        <w:trPr>
          <w:trHeight w:val="294"/>
        </w:trPr>
        <w:tc>
          <w:tcPr>
            <w:tcW w:w="5200" w:type="dxa"/>
            <w:vAlign w:val="bottom"/>
          </w:tcPr>
          <w:p>
            <w:pPr>
              <w:spacing w:after="0"/>
              <w:rPr>
                <w:sz w:val="20"/>
                <w:szCs w:val="20"/>
                <w:color w:val="auto"/>
              </w:rPr>
            </w:pPr>
            <w:r>
              <w:rPr>
                <w:rFonts w:ascii="Arial" w:cs="Arial" w:eastAsia="Arial" w:hAnsi="Arial"/>
                <w:sz w:val="20"/>
                <w:szCs w:val="20"/>
                <w:color w:val="auto"/>
              </w:rPr>
              <w:t>Forfeited/cancelled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50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57.45</w:t>
            </w:r>
          </w:p>
        </w:tc>
      </w:tr>
      <w:tr>
        <w:trPr>
          <w:trHeight w:val="284"/>
        </w:trPr>
        <w:tc>
          <w:tcPr>
            <w:tcW w:w="5200" w:type="dxa"/>
            <w:vAlign w:val="bottom"/>
          </w:tcPr>
          <w:p>
            <w:pPr>
              <w:spacing w:after="0" w:line="220" w:lineRule="exact"/>
              <w:rPr>
                <w:sz w:val="20"/>
                <w:szCs w:val="20"/>
                <w:color w:val="auto"/>
              </w:rPr>
            </w:pPr>
            <w:r>
              <w:rPr>
                <w:rFonts w:ascii="Arial" w:cs="Arial" w:eastAsia="Arial" w:hAnsi="Arial"/>
                <w:sz w:val="20"/>
                <w:szCs w:val="20"/>
                <w:color w:val="auto"/>
              </w:rPr>
              <w:t>Non-vested at June 30, 2016</w:t>
            </w: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203</w:t>
            </w:r>
          </w:p>
        </w:tc>
        <w:tc>
          <w:tcPr>
            <w:tcW w:w="50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114.26</w:t>
            </w:r>
          </w:p>
        </w:tc>
      </w:tr>
      <w:tr>
        <w:trPr>
          <w:trHeight w:val="20"/>
        </w:trPr>
        <w:tc>
          <w:tcPr>
            <w:tcW w:w="5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The weighted-average grant-date fair value of restricted stock units and restricted stock awards granted during the three-months ended June 30, 2016 was $148.94 per share. No restricted stock units or restricted stock awards were granted during the three-months ended June 30, 2015. The weighted-average grant-date fair value of restricted stock units and restricted stock awards granted during the six-months ended June 30, 2016 and 2015 was $134.14 per share and $135.48 per share, respectively. As of June 30, 2016, 0.2 million of restricted stock units and restricted stock awards are expected to vest over their respective terms.</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At June 30, 2016, total unrecognized compensation expense relating to non-vested restricted stock awards and non-vested restricted stock units was $19.3 million, which is expected to be recognized over a weighted-average period of 2.0 years.</w:t>
      </w:r>
    </w:p>
    <w:p>
      <w:pPr>
        <w:spacing w:after="0" w:line="190" w:lineRule="exact"/>
        <w:rPr>
          <w:sz w:val="20"/>
          <w:szCs w:val="20"/>
          <w:color w:val="auto"/>
        </w:rPr>
      </w:pPr>
    </w:p>
    <w:p>
      <w:pPr>
        <w:ind w:left="640" w:hanging="632"/>
        <w:spacing w:after="0"/>
        <w:tabs>
          <w:tab w:leader="none" w:pos="6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INCOME TAXES</w:t>
      </w:r>
    </w:p>
    <w:p>
      <w:pPr>
        <w:spacing w:after="0" w:line="22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following is a roll-forward of the Company’s total gross unrecognized tax benefits, not including interest and penalties, for the six-months ended June 30, 2016:</w:t>
      </w:r>
    </w:p>
    <w:p>
      <w:pPr>
        <w:spacing w:after="0" w:line="190"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Gross Unrecognized Tax</w:t>
      </w:r>
    </w:p>
    <w:p>
      <w:pPr>
        <w:sectPr>
          <w:pgSz w:w="11900" w:h="16867" w:orient="portrait"/>
          <w:cols w:equalWidth="0" w:num="1">
            <w:col w:w="11420"/>
          </w:cols>
          <w:pgMar w:left="240" w:top="122" w:right="239" w:bottom="0" w:gutter="0" w:footer="0" w:header="0"/>
        </w:sectPr>
      </w:pPr>
    </w:p>
    <w:bookmarkStart w:id="18" w:name="page19"/>
    <w:bookmarkEnd w:id="18"/>
    <w:p>
      <w:pPr>
        <w:spacing w:after="0" w:line="231" w:lineRule="exact"/>
        <w:rPr>
          <w:sz w:val="20"/>
          <w:szCs w:val="20"/>
          <w:color w:val="auto"/>
        </w:rPr>
      </w:pPr>
    </w:p>
    <w:p>
      <w:pPr>
        <w:ind w:left="980"/>
        <w:spacing w:after="0"/>
        <w:rPr>
          <w:sz w:val="20"/>
          <w:szCs w:val="20"/>
          <w:color w:val="auto"/>
        </w:rPr>
      </w:pPr>
      <w:r>
        <w:rPr>
          <w:rFonts w:ascii="Arial" w:cs="Arial" w:eastAsia="Arial" w:hAnsi="Arial"/>
          <w:sz w:val="20"/>
          <w:szCs w:val="20"/>
          <w:color w:val="auto"/>
        </w:rPr>
        <w:t>Balance at December 31, 2015</w:t>
      </w:r>
    </w:p>
    <w:p>
      <w:pPr>
        <w:spacing w:after="0" w:line="20" w:lineRule="exact"/>
        <w:rPr>
          <w:sz w:val="20"/>
          <w:szCs w:val="20"/>
          <w:color w:val="auto"/>
        </w:rPr>
      </w:pPr>
    </w:p>
    <w:p>
      <w:pPr>
        <w:ind w:left="980"/>
        <w:spacing w:after="0" w:line="244" w:lineRule="auto"/>
        <w:rPr>
          <w:sz w:val="20"/>
          <w:szCs w:val="20"/>
          <w:color w:val="auto"/>
        </w:rPr>
      </w:pPr>
      <w:r>
        <w:rPr>
          <w:rFonts w:ascii="Arial" w:cs="Arial" w:eastAsia="Arial" w:hAnsi="Arial"/>
          <w:sz w:val="20"/>
          <w:szCs w:val="20"/>
          <w:color w:val="auto"/>
        </w:rPr>
        <w:t>Additions for tax positions related to the current year Additions for tax positions related to the prior year Decreases related to settlement with taxing authority Balance at June 30, 2016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right"/>
              <w:ind w:right="961"/>
              <w:spacing w:after="0"/>
              <w:rPr>
                <w:sz w:val="20"/>
                <w:szCs w:val="20"/>
                <w:color w:val="auto"/>
              </w:rPr>
            </w:pPr>
            <w:r>
              <w:rPr>
                <w:rFonts w:ascii="Arial" w:cs="Arial" w:eastAsia="Arial" w:hAnsi="Arial"/>
                <w:sz w:val="20"/>
                <w:szCs w:val="20"/>
                <w:color w:val="auto"/>
              </w:rPr>
              <w:t>Benefits</w:t>
            </w:r>
          </w:p>
        </w:tc>
      </w:tr>
      <w:tr>
        <w:trPr>
          <w:trHeight w:val="206"/>
        </w:trPr>
        <w:tc>
          <w:tcPr>
            <w:tcW w:w="620" w:type="dxa"/>
            <w:vAlign w:val="bottom"/>
          </w:tcPr>
          <w:p>
            <w:pPr>
              <w:jc w:val="right"/>
              <w:ind w:right="321"/>
              <w:spacing w:after="0" w:line="207" w:lineRule="exact"/>
              <w:rPr>
                <w:sz w:val="20"/>
                <w:szCs w:val="20"/>
                <w:color w:val="auto"/>
              </w:rPr>
            </w:pPr>
            <w:r>
              <w:rPr>
                <w:rFonts w:ascii="Arial" w:cs="Arial" w:eastAsia="Arial" w:hAnsi="Arial"/>
                <w:sz w:val="20"/>
                <w:szCs w:val="20"/>
                <w:color w:val="auto"/>
              </w:rPr>
              <w:t>$</w:t>
            </w:r>
          </w:p>
        </w:tc>
        <w:tc>
          <w:tcPr>
            <w:tcW w:w="2160" w:type="dxa"/>
            <w:vAlign w:val="bottom"/>
          </w:tcPr>
          <w:p>
            <w:pPr>
              <w:jc w:val="right"/>
              <w:ind w:right="1"/>
              <w:spacing w:after="0" w:line="207" w:lineRule="exact"/>
              <w:rPr>
                <w:sz w:val="20"/>
                <w:szCs w:val="20"/>
                <w:color w:val="auto"/>
              </w:rPr>
            </w:pPr>
            <w:r>
              <w:rPr>
                <w:rFonts w:ascii="Arial" w:cs="Arial" w:eastAsia="Arial" w:hAnsi="Arial"/>
                <w:sz w:val="20"/>
                <w:szCs w:val="20"/>
                <w:color w:val="auto"/>
              </w:rPr>
              <w:t>471</w:t>
            </w:r>
          </w:p>
        </w:tc>
      </w:tr>
      <w:tr>
        <w:trPr>
          <w:trHeight w:val="230"/>
        </w:trPr>
        <w:tc>
          <w:tcPr>
            <w:tcW w:w="620" w:type="dxa"/>
            <w:vAlign w:val="bottom"/>
          </w:tcPr>
          <w:p>
            <w:pPr>
              <w:spacing w:after="0"/>
              <w:rPr>
                <w:sz w:val="19"/>
                <w:szCs w:val="19"/>
                <w:color w:val="auto"/>
              </w:rPr>
            </w:pPr>
          </w:p>
        </w:tc>
        <w:tc>
          <w:tcPr>
            <w:tcW w:w="2160" w:type="dxa"/>
            <w:vAlign w:val="bottom"/>
          </w:tcPr>
          <w:p>
            <w:pPr>
              <w:jc w:val="right"/>
              <w:ind w:right="1"/>
              <w:spacing w:after="0"/>
              <w:rPr>
                <w:sz w:val="20"/>
                <w:szCs w:val="20"/>
                <w:color w:val="auto"/>
              </w:rPr>
            </w:pPr>
            <w:r>
              <w:rPr>
                <w:rFonts w:ascii="Arial" w:cs="Arial" w:eastAsia="Arial" w:hAnsi="Arial"/>
                <w:sz w:val="20"/>
                <w:szCs w:val="20"/>
                <w:color w:val="auto"/>
              </w:rPr>
              <w:t>-</w:t>
            </w:r>
          </w:p>
        </w:tc>
      </w:tr>
      <w:tr>
        <w:trPr>
          <w:trHeight w:val="230"/>
        </w:trPr>
        <w:tc>
          <w:tcPr>
            <w:tcW w:w="620" w:type="dxa"/>
            <w:vAlign w:val="bottom"/>
          </w:tcPr>
          <w:p>
            <w:pPr>
              <w:spacing w:after="0"/>
              <w:rPr>
                <w:sz w:val="19"/>
                <w:szCs w:val="19"/>
                <w:color w:val="auto"/>
              </w:rPr>
            </w:pPr>
          </w:p>
        </w:tc>
        <w:tc>
          <w:tcPr>
            <w:tcW w:w="2160" w:type="dxa"/>
            <w:vAlign w:val="bottom"/>
          </w:tcPr>
          <w:p>
            <w:pPr>
              <w:jc w:val="right"/>
              <w:ind w:right="1"/>
              <w:spacing w:after="0"/>
              <w:rPr>
                <w:sz w:val="20"/>
                <w:szCs w:val="20"/>
                <w:color w:val="auto"/>
              </w:rPr>
            </w:pPr>
            <w:r>
              <w:rPr>
                <w:rFonts w:ascii="Arial" w:cs="Arial" w:eastAsia="Arial" w:hAnsi="Arial"/>
                <w:sz w:val="20"/>
                <w:szCs w:val="20"/>
                <w:color w:val="auto"/>
              </w:rPr>
              <w:t>-</w:t>
            </w:r>
          </w:p>
        </w:tc>
      </w:tr>
      <w:tr>
        <w:trPr>
          <w:trHeight w:val="246"/>
        </w:trPr>
        <w:tc>
          <w:tcPr>
            <w:tcW w:w="6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r>
      <w:tr>
        <w:trPr>
          <w:trHeight w:val="223"/>
        </w:trPr>
        <w:tc>
          <w:tcPr>
            <w:tcW w:w="620" w:type="dxa"/>
            <w:vAlign w:val="bottom"/>
            <w:tcBorders>
              <w:bottom w:val="single" w:sz="8" w:color="auto"/>
            </w:tcBorders>
          </w:tcPr>
          <w:p>
            <w:pPr>
              <w:jc w:val="right"/>
              <w:ind w:right="321"/>
              <w:spacing w:after="0" w:line="223" w:lineRule="exact"/>
              <w:rPr>
                <w:sz w:val="20"/>
                <w:szCs w:val="20"/>
                <w:color w:val="auto"/>
              </w:rPr>
            </w:pPr>
            <w:r>
              <w:rPr>
                <w:rFonts w:ascii="Arial" w:cs="Arial" w:eastAsia="Arial" w:hAnsi="Arial"/>
                <w:sz w:val="20"/>
                <w:szCs w:val="20"/>
                <w:color w:val="auto"/>
              </w:rPr>
              <w:t>$</w:t>
            </w:r>
          </w:p>
        </w:tc>
        <w:tc>
          <w:tcPr>
            <w:tcW w:w="216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471</w:t>
            </w: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180" w:space="440"/>
            <w:col w:w="5800"/>
          </w:cols>
          <w:pgMar w:left="240" w:top="122" w:right="239" w:bottom="0" w:gutter="0" w:footer="0" w:header="0"/>
        </w:sectPr>
      </w:pPr>
    </w:p>
    <w:p>
      <w:pPr>
        <w:spacing w:after="0" w:line="1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Company recognizes accrued interest and penalties related to unrecognized tax benefits in the provision for income taxes in the Company’s condensed consolidated financial statements. As of June 30, 2016, the Company had accrued approximately $0.2 million in interest and penalties related to unrecognized tax benefits. If the Company were to prevail on all uncertain tax positions, the resultant impact on the Company’s effective tax rate would not be significant. It is expected that the change in the amount of unrecognized tax benefits within the next 12 months will not be significant.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is subject to U.S. federal income tax as well as to income tax in multiple state and foreign jurisdictions.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On August 7, 2015, the Internal Revenue Service (the “IRS”) began its examination of the Company’s U.S. federal income tax returns for the years ended December 31, 2012 and 2013.</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is in various stages of examination with certain states and certain foreign jurisdictions. The 2012 through 2015 U.S. federal income tax returns are subject to examination by the IRS. State income tax returns are subject to examination for the 2011 through 2015 tax years.</w:t>
      </w:r>
    </w:p>
    <w:p>
      <w:pPr>
        <w:spacing w:after="0" w:line="200" w:lineRule="exact"/>
        <w:rPr>
          <w:sz w:val="20"/>
          <w:szCs w:val="20"/>
          <w:color w:val="auto"/>
        </w:rPr>
      </w:pPr>
    </w:p>
    <w:p>
      <w:pPr>
        <w:ind w:left="640" w:hanging="632"/>
        <w:spacing w:after="0"/>
        <w:tabs>
          <w:tab w:leader="none" w:pos="6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EARNINGS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weighted-average shares used in the basic and diluted earnings per common share computations is presented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below:</w:t>
      </w:r>
    </w:p>
    <w:p>
      <w:pPr>
        <w:spacing w:after="0" w:line="21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320" w:type="dxa"/>
            <w:vAlign w:val="bottom"/>
          </w:tcPr>
          <w:p>
            <w:pPr>
              <w:spacing w:after="0"/>
              <w:rPr>
                <w:sz w:val="19"/>
                <w:szCs w:val="19"/>
                <w:color w:val="auto"/>
              </w:rPr>
            </w:pPr>
          </w:p>
        </w:tc>
        <w:tc>
          <w:tcPr>
            <w:tcW w:w="3540" w:type="dxa"/>
            <w:vAlign w:val="bottom"/>
            <w:gridSpan w:val="5"/>
          </w:tcPr>
          <w:p>
            <w:pPr>
              <w:jc w:val="center"/>
              <w:ind w:right="220"/>
              <w:spacing w:after="0"/>
              <w:rPr>
                <w:sz w:val="20"/>
                <w:szCs w:val="20"/>
                <w:color w:val="auto"/>
              </w:rPr>
            </w:pPr>
            <w:r>
              <w:rPr>
                <w:rFonts w:ascii="Arial" w:cs="Arial" w:eastAsia="Arial" w:hAnsi="Arial"/>
                <w:sz w:val="20"/>
                <w:szCs w:val="20"/>
                <w:color w:val="auto"/>
                <w:w w:val="89"/>
              </w:rPr>
              <w:t>Three-Months Ended</w:t>
            </w:r>
          </w:p>
        </w:tc>
        <w:tc>
          <w:tcPr>
            <w:tcW w:w="3300" w:type="dxa"/>
            <w:vAlign w:val="bottom"/>
            <w:gridSpan w:val="4"/>
          </w:tcPr>
          <w:p>
            <w:pPr>
              <w:jc w:val="center"/>
              <w:spacing w:after="0"/>
              <w:rPr>
                <w:sz w:val="20"/>
                <w:szCs w:val="20"/>
                <w:color w:val="auto"/>
              </w:rPr>
            </w:pPr>
            <w:r>
              <w:rPr>
                <w:rFonts w:ascii="Arial" w:cs="Arial" w:eastAsia="Arial" w:hAnsi="Arial"/>
                <w:sz w:val="20"/>
                <w:szCs w:val="20"/>
                <w:color w:val="auto"/>
                <w:w w:val="90"/>
              </w:rPr>
              <w:t>Six-Months Ended</w:t>
            </w:r>
          </w:p>
        </w:tc>
        <w:tc>
          <w:tcPr>
            <w:tcW w:w="0" w:type="dxa"/>
            <w:vAlign w:val="bottom"/>
          </w:tcPr>
          <w:p>
            <w:pPr>
              <w:spacing w:after="0"/>
              <w:rPr>
                <w:sz w:val="1"/>
                <w:szCs w:val="1"/>
                <w:color w:val="auto"/>
              </w:rPr>
            </w:pPr>
          </w:p>
        </w:tc>
      </w:tr>
      <w:tr>
        <w:trPr>
          <w:trHeight w:val="246"/>
        </w:trPr>
        <w:tc>
          <w:tcPr>
            <w:tcW w:w="3320" w:type="dxa"/>
            <w:vAlign w:val="bottom"/>
          </w:tcPr>
          <w:p>
            <w:pPr>
              <w:spacing w:after="0"/>
              <w:rPr>
                <w:sz w:val="21"/>
                <w:szCs w:val="21"/>
                <w:color w:val="auto"/>
              </w:rPr>
            </w:pPr>
          </w:p>
        </w:tc>
        <w:tc>
          <w:tcPr>
            <w:tcW w:w="2180" w:type="dxa"/>
            <w:vAlign w:val="bottom"/>
            <w:tcBorders>
              <w:bottom w:val="single" w:sz="8" w:color="auto"/>
            </w:tcBorders>
            <w:gridSpan w:val="3"/>
          </w:tcPr>
          <w:p>
            <w:pPr>
              <w:jc w:val="center"/>
              <w:ind w:left="1021"/>
              <w:spacing w:after="0"/>
              <w:rPr>
                <w:sz w:val="20"/>
                <w:szCs w:val="20"/>
                <w:color w:val="auto"/>
              </w:rPr>
            </w:pPr>
            <w:r>
              <w:rPr>
                <w:rFonts w:ascii="Arial" w:cs="Arial" w:eastAsia="Arial" w:hAnsi="Arial"/>
                <w:sz w:val="20"/>
                <w:szCs w:val="20"/>
                <w:color w:val="auto"/>
                <w:w w:val="85"/>
              </w:rPr>
              <w:t>June 30,</w:t>
            </w:r>
          </w:p>
        </w:tc>
        <w:tc>
          <w:tcPr>
            <w:tcW w:w="11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140" w:type="dxa"/>
            <w:vAlign w:val="bottom"/>
            <w:tcBorders>
              <w:bottom w:val="single" w:sz="8" w:color="auto"/>
            </w:tcBorders>
            <w:gridSpan w:val="3"/>
          </w:tcPr>
          <w:p>
            <w:pPr>
              <w:jc w:val="center"/>
              <w:ind w:left="1061"/>
              <w:spacing w:after="0"/>
              <w:rPr>
                <w:sz w:val="20"/>
                <w:szCs w:val="20"/>
                <w:color w:val="auto"/>
              </w:rPr>
            </w:pPr>
            <w:r>
              <w:rPr>
                <w:rFonts w:ascii="Arial" w:cs="Arial" w:eastAsia="Arial" w:hAnsi="Arial"/>
                <w:sz w:val="20"/>
                <w:szCs w:val="20"/>
                <w:color w:val="auto"/>
                <w:w w:val="85"/>
              </w:rPr>
              <w:t>June 30,</w:t>
            </w: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20" w:type="dxa"/>
            <w:vAlign w:val="bottom"/>
            <w:vMerge w:val="restart"/>
          </w:tcPr>
          <w:p>
            <w:pPr>
              <w:spacing w:after="0"/>
              <w:rPr>
                <w:sz w:val="20"/>
                <w:szCs w:val="20"/>
                <w:color w:val="auto"/>
              </w:rPr>
            </w:pPr>
            <w:r>
              <w:rPr>
                <w:rFonts w:ascii="Arial" w:cs="Arial" w:eastAsia="Arial" w:hAnsi="Arial"/>
                <w:sz w:val="20"/>
                <w:szCs w:val="20"/>
                <w:color w:val="auto"/>
                <w:w w:val="96"/>
              </w:rPr>
              <w:t>Weighted-average shares outstanding:</w:t>
            </w:r>
          </w:p>
        </w:tc>
        <w:tc>
          <w:tcPr>
            <w:tcW w:w="1560" w:type="dxa"/>
            <w:vAlign w:val="bottom"/>
            <w:tcBorders>
              <w:bottom w:val="single" w:sz="8" w:color="auto"/>
            </w:tcBorders>
          </w:tcPr>
          <w:p>
            <w:pPr>
              <w:jc w:val="right"/>
              <w:ind w:right="481"/>
              <w:spacing w:after="0" w:line="223" w:lineRule="exact"/>
              <w:rPr>
                <w:sz w:val="20"/>
                <w:szCs w:val="20"/>
                <w:color w:val="auto"/>
              </w:rPr>
            </w:pPr>
            <w:r>
              <w:rPr>
                <w:rFonts w:ascii="Arial" w:cs="Arial" w:eastAsia="Arial" w:hAnsi="Arial"/>
                <w:sz w:val="20"/>
                <w:szCs w:val="20"/>
                <w:color w:val="auto"/>
              </w:rPr>
              <w:t>2016</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81"/>
              <w:spacing w:after="0" w:line="223" w:lineRule="exact"/>
              <w:rPr>
                <w:sz w:val="20"/>
                <w:szCs w:val="20"/>
                <w:color w:val="auto"/>
              </w:rPr>
            </w:pPr>
            <w:r>
              <w:rPr>
                <w:rFonts w:ascii="Arial" w:cs="Arial" w:eastAsia="Arial" w:hAnsi="Arial"/>
                <w:sz w:val="20"/>
                <w:szCs w:val="20"/>
                <w:color w:val="auto"/>
              </w:rPr>
              <w:t>2015</w:t>
            </w:r>
          </w:p>
        </w:tc>
        <w:tc>
          <w:tcPr>
            <w:tcW w:w="220" w:type="dxa"/>
            <w:vAlign w:val="bottom"/>
          </w:tcPr>
          <w:p>
            <w:pPr>
              <w:spacing w:after="0"/>
              <w:rPr>
                <w:sz w:val="19"/>
                <w:szCs w:val="19"/>
                <w:color w:val="auto"/>
              </w:rPr>
            </w:pPr>
          </w:p>
        </w:tc>
        <w:tc>
          <w:tcPr>
            <w:tcW w:w="1540" w:type="dxa"/>
            <w:vAlign w:val="bottom"/>
            <w:tcBorders>
              <w:bottom w:val="single" w:sz="8" w:color="auto"/>
            </w:tcBorders>
          </w:tcPr>
          <w:p>
            <w:pPr>
              <w:jc w:val="right"/>
              <w:ind w:right="481"/>
              <w:spacing w:after="0" w:line="223" w:lineRule="exact"/>
              <w:rPr>
                <w:sz w:val="20"/>
                <w:szCs w:val="20"/>
                <w:color w:val="auto"/>
              </w:rPr>
            </w:pPr>
            <w:r>
              <w:rPr>
                <w:rFonts w:ascii="Arial" w:cs="Arial" w:eastAsia="Arial" w:hAnsi="Arial"/>
                <w:sz w:val="20"/>
                <w:szCs w:val="20"/>
                <w:color w:val="auto"/>
              </w:rPr>
              <w:t>2016</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81"/>
              <w:spacing w:after="0" w:line="223" w:lineRule="exact"/>
              <w:rPr>
                <w:sz w:val="20"/>
                <w:szCs w:val="20"/>
                <w:color w:val="auto"/>
              </w:rPr>
            </w:pPr>
            <w:r>
              <w:rPr>
                <w:rFonts w:ascii="Arial" w:cs="Arial" w:eastAsia="Arial" w:hAnsi="Arial"/>
                <w:sz w:val="20"/>
                <w:szCs w:val="20"/>
                <w:color w:val="auto"/>
              </w:rPr>
              <w:t>2015</w:t>
            </w:r>
          </w:p>
        </w:tc>
        <w:tc>
          <w:tcPr>
            <w:tcW w:w="0" w:type="dxa"/>
            <w:vAlign w:val="bottom"/>
          </w:tcPr>
          <w:p>
            <w:pPr>
              <w:spacing w:after="0"/>
              <w:rPr>
                <w:sz w:val="1"/>
                <w:szCs w:val="1"/>
                <w:color w:val="auto"/>
              </w:rPr>
            </w:pPr>
          </w:p>
        </w:tc>
      </w:tr>
      <w:tr>
        <w:trPr>
          <w:trHeight w:val="193"/>
        </w:trPr>
        <w:tc>
          <w:tcPr>
            <w:tcW w:w="3320" w:type="dxa"/>
            <w:vAlign w:val="bottom"/>
            <w:vMerge w:val="continue"/>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180"/>
              <w:spacing w:after="0"/>
              <w:rPr>
                <w:sz w:val="20"/>
                <w:szCs w:val="20"/>
                <w:color w:val="auto"/>
              </w:rPr>
            </w:pPr>
            <w:r>
              <w:rPr>
                <w:rFonts w:ascii="Arial" w:cs="Arial" w:eastAsia="Arial" w:hAnsi="Arial"/>
                <w:sz w:val="20"/>
                <w:szCs w:val="20"/>
                <w:color w:val="auto"/>
              </w:rPr>
              <w:t>Basic</w:t>
            </w:r>
          </w:p>
        </w:tc>
        <w:tc>
          <w:tcPr>
            <w:tcW w:w="1560" w:type="dxa"/>
            <w:vAlign w:val="bottom"/>
          </w:tcPr>
          <w:p>
            <w:pPr>
              <w:jc w:val="right"/>
              <w:spacing w:after="0"/>
              <w:rPr>
                <w:sz w:val="20"/>
                <w:szCs w:val="20"/>
                <w:color w:val="auto"/>
              </w:rPr>
            </w:pPr>
            <w:r>
              <w:rPr>
                <w:rFonts w:ascii="Arial" w:cs="Arial" w:eastAsia="Arial" w:hAnsi="Arial"/>
                <w:sz w:val="20"/>
                <w:szCs w:val="20"/>
                <w:color w:val="auto"/>
              </w:rPr>
              <w:t>200,979</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176,985</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201,962</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173,447</w:t>
            </w:r>
          </w:p>
        </w:tc>
        <w:tc>
          <w:tcPr>
            <w:tcW w:w="0" w:type="dxa"/>
            <w:vAlign w:val="bottom"/>
          </w:tcPr>
          <w:p>
            <w:pPr>
              <w:spacing w:after="0"/>
              <w:rPr>
                <w:sz w:val="1"/>
                <w:szCs w:val="1"/>
                <w:color w:val="auto"/>
              </w:rPr>
            </w:pPr>
          </w:p>
        </w:tc>
      </w:tr>
      <w:tr>
        <w:trPr>
          <w:trHeight w:val="240"/>
        </w:trPr>
        <w:tc>
          <w:tcPr>
            <w:tcW w:w="3320" w:type="dxa"/>
            <w:vAlign w:val="bottom"/>
          </w:tcPr>
          <w:p>
            <w:pPr>
              <w:ind w:left="180"/>
              <w:spacing w:after="0"/>
              <w:rPr>
                <w:sz w:val="20"/>
                <w:szCs w:val="20"/>
                <w:color w:val="auto"/>
              </w:rPr>
            </w:pPr>
            <w:r>
              <w:rPr>
                <w:rFonts w:ascii="Arial" w:cs="Arial" w:eastAsia="Arial" w:hAnsi="Arial"/>
                <w:sz w:val="20"/>
                <w:szCs w:val="20"/>
                <w:color w:val="auto"/>
              </w:rPr>
              <w:t>Dilutive</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3,989</w:t>
            </w: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4,432</w:t>
            </w:r>
          </w:p>
        </w:tc>
        <w:tc>
          <w:tcPr>
            <w:tcW w:w="220" w:type="dxa"/>
            <w:vAlign w:val="bottom"/>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3,986</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4,551</w:t>
            </w:r>
          </w:p>
        </w:tc>
        <w:tc>
          <w:tcPr>
            <w:tcW w:w="0" w:type="dxa"/>
            <w:vAlign w:val="bottom"/>
          </w:tcPr>
          <w:p>
            <w:pPr>
              <w:spacing w:after="0"/>
              <w:rPr>
                <w:sz w:val="1"/>
                <w:szCs w:val="1"/>
                <w:color w:val="auto"/>
              </w:rPr>
            </w:pPr>
          </w:p>
        </w:tc>
      </w:tr>
      <w:tr>
        <w:trPr>
          <w:trHeight w:val="230"/>
        </w:trPr>
        <w:tc>
          <w:tcPr>
            <w:tcW w:w="3320" w:type="dxa"/>
            <w:vAlign w:val="bottom"/>
          </w:tcPr>
          <w:p>
            <w:pPr>
              <w:ind w:left="180"/>
              <w:spacing w:after="0" w:line="220" w:lineRule="exact"/>
              <w:rPr>
                <w:sz w:val="20"/>
                <w:szCs w:val="20"/>
                <w:color w:val="auto"/>
              </w:rPr>
            </w:pPr>
            <w:r>
              <w:rPr>
                <w:rFonts w:ascii="Arial" w:cs="Arial" w:eastAsia="Arial" w:hAnsi="Arial"/>
                <w:sz w:val="20"/>
                <w:szCs w:val="20"/>
                <w:color w:val="auto"/>
              </w:rPr>
              <w:t>Diluted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204,968</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181,417</w:t>
            </w:r>
          </w:p>
        </w:tc>
        <w:tc>
          <w:tcPr>
            <w:tcW w:w="22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205,948</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177,998</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For the three-months ended June 30, 2016 and 2015, options and awards outstanding totaling 2.0 million shares and 1.1 million shares, respectively, were excluded from the calculations as their effect would have been antidilutive. For the six-months ended June 30, 2016 and 2015, options and awards outstanding totaling 1.6 million shares and 0.8 million shares, respectively, were excluded from the calculations as their effect would have been antidilutive.</w:t>
      </w:r>
    </w:p>
    <w:p>
      <w:pPr>
        <w:spacing w:after="0" w:line="205" w:lineRule="exact"/>
        <w:rPr>
          <w:sz w:val="20"/>
          <w:szCs w:val="20"/>
          <w:color w:val="auto"/>
        </w:rPr>
      </w:pPr>
    </w:p>
    <w:p>
      <w:pPr>
        <w:ind w:left="640" w:hanging="632"/>
        <w:spacing w:after="0"/>
        <w:tabs>
          <w:tab w:leader="none" w:pos="6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SEGMENT INFORMATION</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During the second quarter of 2016, the Company renamed and revised its reportable segments to reflect management’s current view of the business and to align its external financial reporting with its operating and internal financial model. Historical segment information has been revised to reflect the effect of this change.</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The Company has three operating and reportable segments, (i) Monster Energy® Drinks segment (“Monster Energy® Drinks”), which is comprised of the Company’s Monster Energy® drink products (previously the Finished Products segment), (ii) Strategic Brands (“Strategic Brands”), which include the various energy drink brands acquired from TCCC as a result of the TCCC Transaction (previously the Concentrate segment) and (iii) Other, (“Other”) the principal products of which include the brands disposed of as a result of the TCCC Transaction as well as certain products acquired as part of the AFF Transaction that are sold to independent third-parties.</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Company’s Monster Energy® Drinks segment generates net operating revenues by selling ready-to-drink packaged energy drinks to full service beverage distributors, retail grocery and specialty chains, wholesalers, club stores, drug chains, mass merchandisers, convenience chains, health food distributors, food service customers and the military.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2" w:right="239" w:bottom="0" w:gutter="0" w:footer="0" w:header="0"/>
          <w:type w:val="continuous"/>
        </w:sectPr>
      </w:pP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MONSTER BEVERAGE CORPORATION AND SUBSIDIARIES</w:t>
      </w:r>
    </w:p>
    <w:p>
      <w:pPr>
        <w:sectPr>
          <w:pgSz w:w="11900" w:h="16838" w:orient="portrait"/>
          <w:cols w:equalWidth="0" w:num="1">
            <w:col w:w="11420"/>
          </w:cols>
          <w:pgMar w:left="240" w:top="122" w:right="239" w:bottom="0" w:gutter="0" w:footer="0" w:header="0"/>
          <w:type w:val="continuous"/>
        </w:sectPr>
      </w:pPr>
    </w:p>
    <w:bookmarkStart w:id="19" w:name="page20"/>
    <w:bookmarkEnd w:id="19"/>
    <w:p>
      <w:pPr>
        <w:ind w:right="4940"/>
        <w:spacing w:after="0" w:line="295"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6" w:lineRule="exact"/>
        <w:rPr>
          <w:sz w:val="20"/>
          <w:szCs w:val="20"/>
          <w:color w:val="auto"/>
        </w:rPr>
      </w:pPr>
    </w:p>
    <w:p>
      <w:pPr>
        <w:jc w:val="both"/>
        <w:ind w:firstLine="689"/>
        <w:spacing w:after="0" w:line="316" w:lineRule="auto"/>
        <w:rPr>
          <w:sz w:val="20"/>
          <w:szCs w:val="20"/>
          <w:color w:val="auto"/>
        </w:rPr>
      </w:pPr>
      <w:r>
        <w:rPr>
          <w:rFonts w:ascii="Arial" w:cs="Arial" w:eastAsia="Arial" w:hAnsi="Arial"/>
          <w:sz w:val="16"/>
          <w:szCs w:val="16"/>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and water, which are then filled in authorized containers bearing the Company’s respective trademarks and sold to customers directly (or in some cases through wholesalers or other bottlers). To a lesser extent, the Company’s Strategic Brands segment generates net operating revenues by selling ready-to-drink packaged energy drinks to full service beverage distributors, retail grocery and specialty chains, wholesalers, club stores, drug chains, mass merchandisers, convenience chains, health food distributors, food service customers and the military.</w:t>
      </w:r>
    </w:p>
    <w:p>
      <w:pPr>
        <w:spacing w:after="0" w:line="15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Generally, the Monster Energy® Drinks segment generates higher per case net operating revenues, but lower per case gross profit margins than the Strategic Brands segment.</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Corporate and unallocated amounts that do not relate to a reportable segment have been allocated to “Corporate &amp; Unallocated.” No asset information, other than goodwill and other intangible assets, has been provided for in the Company’s reportable segments as management does not measure or allocate such assets on a segment basis.</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net revenues derived from the Company’s reportable segments and other financial information related thereto for the three- and six-months ended June 30, 2016 and 2015 are as follows:</w:t>
      </w:r>
    </w:p>
    <w:p>
      <w:pPr>
        <w:spacing w:after="0" w:line="190"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3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60" w:type="dxa"/>
            <w:vAlign w:val="bottom"/>
            <w:gridSpan w:val="5"/>
          </w:tcPr>
          <w:p>
            <w:pPr>
              <w:jc w:val="center"/>
              <w:ind w:right="600"/>
              <w:spacing w:after="0"/>
              <w:rPr>
                <w:sz w:val="20"/>
                <w:szCs w:val="20"/>
                <w:color w:val="auto"/>
              </w:rPr>
            </w:pPr>
            <w:r>
              <w:rPr>
                <w:rFonts w:ascii="Arial" w:cs="Arial" w:eastAsia="Arial" w:hAnsi="Arial"/>
                <w:sz w:val="20"/>
                <w:szCs w:val="20"/>
                <w:color w:val="auto"/>
                <w:w w:val="89"/>
              </w:rPr>
              <w:t>Three-Months Ended</w:t>
            </w:r>
          </w:p>
        </w:tc>
        <w:tc>
          <w:tcPr>
            <w:tcW w:w="340" w:type="dxa"/>
            <w:vAlign w:val="bottom"/>
          </w:tcPr>
          <w:p>
            <w:pPr>
              <w:spacing w:after="0"/>
              <w:rPr>
                <w:sz w:val="19"/>
                <w:szCs w:val="19"/>
                <w:color w:val="auto"/>
              </w:rPr>
            </w:pPr>
          </w:p>
        </w:tc>
        <w:tc>
          <w:tcPr>
            <w:tcW w:w="2640" w:type="dxa"/>
            <w:vAlign w:val="bottom"/>
            <w:gridSpan w:val="4"/>
          </w:tcPr>
          <w:p>
            <w:pPr>
              <w:jc w:val="center"/>
              <w:ind w:right="261"/>
              <w:spacing w:after="0"/>
              <w:rPr>
                <w:sz w:val="20"/>
                <w:szCs w:val="20"/>
                <w:color w:val="auto"/>
              </w:rPr>
            </w:pPr>
            <w:r>
              <w:rPr>
                <w:rFonts w:ascii="Arial" w:cs="Arial" w:eastAsia="Arial" w:hAnsi="Arial"/>
                <w:sz w:val="20"/>
                <w:szCs w:val="20"/>
                <w:color w:val="auto"/>
                <w:w w:val="90"/>
              </w:rPr>
              <w:t>Six-Months Ended</w:t>
            </w:r>
          </w:p>
        </w:tc>
        <w:tc>
          <w:tcPr>
            <w:tcW w:w="0" w:type="dxa"/>
            <w:vAlign w:val="bottom"/>
          </w:tcPr>
          <w:p>
            <w:pPr>
              <w:spacing w:after="0"/>
              <w:rPr>
                <w:sz w:val="1"/>
                <w:szCs w:val="1"/>
                <w:color w:val="auto"/>
              </w:rPr>
            </w:pPr>
          </w:p>
        </w:tc>
      </w:tr>
      <w:tr>
        <w:trPr>
          <w:trHeight w:val="246"/>
        </w:trPr>
        <w:tc>
          <w:tcPr>
            <w:tcW w:w="36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center"/>
              <w:ind w:left="621"/>
              <w:spacing w:after="0"/>
              <w:rPr>
                <w:sz w:val="20"/>
                <w:szCs w:val="20"/>
                <w:color w:val="auto"/>
              </w:rPr>
            </w:pPr>
            <w:r>
              <w:rPr>
                <w:rFonts w:ascii="Arial" w:cs="Arial" w:eastAsia="Arial" w:hAnsi="Arial"/>
                <w:sz w:val="20"/>
                <w:szCs w:val="20"/>
                <w:color w:val="auto"/>
                <w:w w:val="85"/>
              </w:rPr>
              <w:t>June 30,</w:t>
            </w:r>
          </w:p>
        </w:tc>
        <w:tc>
          <w:tcPr>
            <w:tcW w:w="10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center"/>
              <w:ind w:left="581"/>
              <w:spacing w:after="0"/>
              <w:rPr>
                <w:sz w:val="20"/>
                <w:szCs w:val="20"/>
                <w:color w:val="auto"/>
              </w:rPr>
            </w:pPr>
            <w:r>
              <w:rPr>
                <w:rFonts w:ascii="Arial" w:cs="Arial" w:eastAsia="Arial" w:hAnsi="Arial"/>
                <w:sz w:val="20"/>
                <w:szCs w:val="20"/>
                <w:color w:val="auto"/>
                <w:w w:val="85"/>
              </w:rPr>
              <w:t>June 30,</w:t>
            </w: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640" w:type="dxa"/>
            <w:vAlign w:val="bottom"/>
            <w:vMerge w:val="restart"/>
          </w:tcPr>
          <w:p>
            <w:pPr>
              <w:ind w:left="180"/>
              <w:spacing w:after="0"/>
              <w:rPr>
                <w:sz w:val="20"/>
                <w:szCs w:val="20"/>
                <w:color w:val="auto"/>
              </w:rPr>
            </w:pPr>
            <w:r>
              <w:rPr>
                <w:rFonts w:ascii="Arial" w:cs="Arial" w:eastAsia="Arial" w:hAnsi="Arial"/>
                <w:sz w:val="20"/>
                <w:szCs w:val="20"/>
                <w:color w:val="auto"/>
              </w:rPr>
              <w:t>Net sales: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21"/>
              <w:spacing w:after="0" w:line="223" w:lineRule="exact"/>
              <w:rPr>
                <w:sz w:val="20"/>
                <w:szCs w:val="20"/>
                <w:color w:val="auto"/>
              </w:rPr>
            </w:pPr>
            <w:r>
              <w:rPr>
                <w:rFonts w:ascii="Arial" w:cs="Arial" w:eastAsia="Arial" w:hAnsi="Arial"/>
                <w:sz w:val="20"/>
                <w:szCs w:val="20"/>
                <w:color w:val="auto"/>
              </w:rPr>
              <w:t>2016</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21"/>
              <w:spacing w:after="0" w:line="223" w:lineRule="exact"/>
              <w:rPr>
                <w:sz w:val="20"/>
                <w:szCs w:val="20"/>
                <w:color w:val="auto"/>
              </w:rPr>
            </w:pPr>
            <w:r>
              <w:rPr>
                <w:rFonts w:ascii="Arial" w:cs="Arial" w:eastAsia="Arial" w:hAnsi="Arial"/>
                <w:sz w:val="20"/>
                <w:szCs w:val="20"/>
                <w:color w:val="auto"/>
              </w:rPr>
              <w:t>2015</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01"/>
              <w:spacing w:after="0" w:line="223" w:lineRule="exact"/>
              <w:rPr>
                <w:sz w:val="20"/>
                <w:szCs w:val="20"/>
                <w:color w:val="auto"/>
              </w:rPr>
            </w:pPr>
            <w:r>
              <w:rPr>
                <w:rFonts w:ascii="Arial" w:cs="Arial" w:eastAsia="Arial" w:hAnsi="Arial"/>
                <w:sz w:val="20"/>
                <w:szCs w:val="20"/>
                <w:color w:val="auto"/>
              </w:rPr>
              <w:t>2016</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1"/>
              <w:spacing w:after="0" w:line="223" w:lineRule="exact"/>
              <w:rPr>
                <w:sz w:val="20"/>
                <w:szCs w:val="20"/>
                <w:color w:val="auto"/>
              </w:rPr>
            </w:pPr>
            <w:r>
              <w:rPr>
                <w:rFonts w:ascii="Arial" w:cs="Arial" w:eastAsia="Arial" w:hAnsi="Arial"/>
                <w:sz w:val="20"/>
                <w:szCs w:val="20"/>
                <w:color w:val="auto"/>
              </w:rPr>
              <w:t>2015</w:t>
            </w:r>
          </w:p>
        </w:tc>
        <w:tc>
          <w:tcPr>
            <w:tcW w:w="0" w:type="dxa"/>
            <w:vAlign w:val="bottom"/>
          </w:tcPr>
          <w:p>
            <w:pPr>
              <w:spacing w:after="0"/>
              <w:rPr>
                <w:sz w:val="1"/>
                <w:szCs w:val="1"/>
                <w:color w:val="auto"/>
              </w:rPr>
            </w:pPr>
          </w:p>
        </w:tc>
      </w:tr>
      <w:tr>
        <w:trPr>
          <w:trHeight w:val="193"/>
        </w:trPr>
        <w:tc>
          <w:tcPr>
            <w:tcW w:w="36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360"/>
              <w:spacing w:after="0"/>
              <w:rPr>
                <w:sz w:val="20"/>
                <w:szCs w:val="20"/>
                <w:color w:val="auto"/>
              </w:rPr>
            </w:pPr>
            <w:r>
              <w:rPr>
                <w:rFonts w:ascii="Arial" w:cs="Arial" w:eastAsia="Arial" w:hAnsi="Arial"/>
                <w:sz w:val="20"/>
                <w:szCs w:val="20"/>
                <w:color w:val="auto"/>
              </w:rPr>
              <w:t>Monster Energy® Drinks</w:t>
            </w:r>
            <w:r>
              <w:rPr>
                <w:rFonts w:ascii="Arial" w:cs="Arial" w:eastAsia="Arial" w:hAnsi="Arial"/>
                <w:sz w:val="12"/>
                <w:szCs w:val="12"/>
                <w:color w:val="auto"/>
              </w:rPr>
              <w:t>(1)</w:t>
            </w:r>
          </w:p>
        </w:tc>
        <w:tc>
          <w:tcPr>
            <w:tcW w:w="3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743,453</w:t>
            </w:r>
          </w:p>
        </w:tc>
        <w:tc>
          <w:tcPr>
            <w:tcW w:w="220" w:type="dxa"/>
            <w:vAlign w:val="bottom"/>
          </w:tcPr>
          <w:p>
            <w:pPr>
              <w:spacing w:after="0"/>
              <w:rPr>
                <w:sz w:val="19"/>
                <w:szCs w:val="19"/>
                <w:color w:val="auto"/>
              </w:rPr>
            </w:pPr>
          </w:p>
        </w:tc>
        <w:tc>
          <w:tcPr>
            <w:tcW w:w="3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651,228</w:t>
            </w:r>
          </w:p>
        </w:tc>
        <w:tc>
          <w:tcPr>
            <w:tcW w:w="240" w:type="dxa"/>
            <w:vAlign w:val="bottom"/>
          </w:tcPr>
          <w:p>
            <w:pPr>
              <w:spacing w:after="0"/>
              <w:rPr>
                <w:sz w:val="19"/>
                <w:szCs w:val="19"/>
                <w:color w:val="auto"/>
              </w:rPr>
            </w:pPr>
          </w:p>
        </w:tc>
        <w:tc>
          <w:tcPr>
            <w:tcW w:w="3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1,365,381</w:t>
            </w:r>
          </w:p>
        </w:tc>
        <w:tc>
          <w:tcPr>
            <w:tcW w:w="220" w:type="dxa"/>
            <w:vAlign w:val="bottom"/>
          </w:tcPr>
          <w:p>
            <w:pPr>
              <w:spacing w:after="0"/>
              <w:rPr>
                <w:sz w:val="19"/>
                <w:szCs w:val="19"/>
                <w:color w:val="auto"/>
              </w:rPr>
            </w:pPr>
          </w:p>
        </w:tc>
        <w:tc>
          <w:tcPr>
            <w:tcW w:w="3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1,246,710</w:t>
            </w:r>
          </w:p>
        </w:tc>
        <w:tc>
          <w:tcPr>
            <w:tcW w:w="0" w:type="dxa"/>
            <w:vAlign w:val="bottom"/>
          </w:tcPr>
          <w:p>
            <w:pPr>
              <w:spacing w:after="0"/>
              <w:rPr>
                <w:sz w:val="1"/>
                <w:szCs w:val="1"/>
                <w:color w:val="auto"/>
              </w:rPr>
            </w:pPr>
          </w:p>
        </w:tc>
      </w:tr>
      <w:tr>
        <w:trPr>
          <w:trHeight w:val="230"/>
        </w:trPr>
        <w:tc>
          <w:tcPr>
            <w:tcW w:w="3640" w:type="dxa"/>
            <w:vAlign w:val="bottom"/>
          </w:tcPr>
          <w:p>
            <w:pPr>
              <w:ind w:left="360"/>
              <w:spacing w:after="0"/>
              <w:rPr>
                <w:sz w:val="20"/>
                <w:szCs w:val="20"/>
                <w:color w:val="auto"/>
              </w:rPr>
            </w:pPr>
            <w:r>
              <w:rPr>
                <w:rFonts w:ascii="Arial" w:cs="Arial" w:eastAsia="Arial" w:hAnsi="Arial"/>
                <w:sz w:val="20"/>
                <w:szCs w:val="20"/>
                <w:color w:val="auto"/>
              </w:rPr>
              <w:t>Strategic Brands</w:t>
            </w:r>
          </w:p>
        </w:tc>
        <w:tc>
          <w:tcPr>
            <w:tcW w:w="34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77,400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12,978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135,852</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12,978</w:t>
            </w:r>
          </w:p>
        </w:tc>
        <w:tc>
          <w:tcPr>
            <w:tcW w:w="0" w:type="dxa"/>
            <w:vAlign w:val="bottom"/>
          </w:tcPr>
          <w:p>
            <w:pPr>
              <w:spacing w:after="0"/>
              <w:rPr>
                <w:sz w:val="1"/>
                <w:szCs w:val="1"/>
                <w:color w:val="auto"/>
              </w:rPr>
            </w:pPr>
          </w:p>
        </w:tc>
      </w:tr>
      <w:tr>
        <w:trPr>
          <w:trHeight w:val="230"/>
        </w:trPr>
        <w:tc>
          <w:tcPr>
            <w:tcW w:w="3640" w:type="dxa"/>
            <w:vAlign w:val="bottom"/>
          </w:tcPr>
          <w:p>
            <w:pPr>
              <w:ind w:left="360"/>
              <w:spacing w:after="0"/>
              <w:rPr>
                <w:sz w:val="20"/>
                <w:szCs w:val="20"/>
                <w:color w:val="auto"/>
              </w:rPr>
            </w:pPr>
            <w:r>
              <w:rPr>
                <w:rFonts w:ascii="Arial" w:cs="Arial" w:eastAsia="Arial" w:hAnsi="Arial"/>
                <w:sz w:val="20"/>
                <w:szCs w:val="20"/>
                <w:color w:val="auto"/>
              </w:rPr>
              <w:t>Other</w:t>
            </w:r>
          </w:p>
        </w:tc>
        <w:tc>
          <w:tcPr>
            <w:tcW w:w="34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6,635</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29,516</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6,441</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60,824</w:t>
            </w:r>
          </w:p>
        </w:tc>
        <w:tc>
          <w:tcPr>
            <w:tcW w:w="0" w:type="dxa"/>
            <w:vAlign w:val="bottom"/>
          </w:tcPr>
          <w:p>
            <w:pPr>
              <w:spacing w:after="0"/>
              <w:rPr>
                <w:sz w:val="1"/>
                <w:szCs w:val="1"/>
                <w:color w:val="auto"/>
              </w:rPr>
            </w:pPr>
          </w:p>
        </w:tc>
      </w:tr>
      <w:tr>
        <w:trPr>
          <w:trHeight w:val="246"/>
        </w:trPr>
        <w:tc>
          <w:tcPr>
            <w:tcW w:w="3640" w:type="dxa"/>
            <w:vAlign w:val="bottom"/>
          </w:tcPr>
          <w:p>
            <w:pPr>
              <w:ind w:left="360"/>
              <w:spacing w:after="0"/>
              <w:rPr>
                <w:sz w:val="20"/>
                <w:szCs w:val="20"/>
                <w:color w:val="auto"/>
              </w:rPr>
            </w:pPr>
            <w:r>
              <w:rPr>
                <w:rFonts w:ascii="Arial" w:cs="Arial" w:eastAsia="Arial" w:hAnsi="Arial"/>
                <w:sz w:val="20"/>
                <w:szCs w:val="20"/>
                <w:color w:val="auto"/>
              </w:rPr>
              <w:t>Corporate and unallocated</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3640" w:type="dxa"/>
            <w:vAlign w:val="bottom"/>
          </w:tcPr>
          <w:p>
            <w:pPr>
              <w:spacing w:after="0"/>
              <w:rPr>
                <w:sz w:val="19"/>
                <w:szCs w:val="19"/>
                <w:color w:val="auto"/>
              </w:rPr>
            </w:pPr>
          </w:p>
        </w:tc>
        <w:tc>
          <w:tcPr>
            <w:tcW w:w="34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827,488</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693,722</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1,507,674</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1,320,512</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3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gridSpan w:val="5"/>
          </w:tcPr>
          <w:p>
            <w:pPr>
              <w:jc w:val="center"/>
              <w:ind w:right="600"/>
              <w:spacing w:after="0"/>
              <w:rPr>
                <w:sz w:val="20"/>
                <w:szCs w:val="20"/>
                <w:color w:val="auto"/>
              </w:rPr>
            </w:pPr>
            <w:r>
              <w:rPr>
                <w:rFonts w:ascii="Arial" w:cs="Arial" w:eastAsia="Arial" w:hAnsi="Arial"/>
                <w:sz w:val="20"/>
                <w:szCs w:val="20"/>
                <w:color w:val="auto"/>
                <w:w w:val="89"/>
              </w:rPr>
              <w:t>Three-Months Ended</w:t>
            </w:r>
          </w:p>
        </w:tc>
        <w:tc>
          <w:tcPr>
            <w:tcW w:w="340" w:type="dxa"/>
            <w:vAlign w:val="bottom"/>
          </w:tcPr>
          <w:p>
            <w:pPr>
              <w:spacing w:after="0"/>
              <w:rPr>
                <w:sz w:val="24"/>
                <w:szCs w:val="24"/>
                <w:color w:val="auto"/>
              </w:rPr>
            </w:pPr>
          </w:p>
        </w:tc>
        <w:tc>
          <w:tcPr>
            <w:tcW w:w="2640" w:type="dxa"/>
            <w:vAlign w:val="bottom"/>
            <w:gridSpan w:val="4"/>
          </w:tcPr>
          <w:p>
            <w:pPr>
              <w:jc w:val="center"/>
              <w:ind w:right="261"/>
              <w:spacing w:after="0"/>
              <w:rPr>
                <w:sz w:val="20"/>
                <w:szCs w:val="20"/>
                <w:color w:val="auto"/>
              </w:rPr>
            </w:pPr>
            <w:r>
              <w:rPr>
                <w:rFonts w:ascii="Arial" w:cs="Arial" w:eastAsia="Arial" w:hAnsi="Arial"/>
                <w:sz w:val="20"/>
                <w:szCs w:val="20"/>
                <w:color w:val="auto"/>
                <w:w w:val="90"/>
              </w:rPr>
              <w:t>Six-Months Ended</w:t>
            </w:r>
          </w:p>
        </w:tc>
        <w:tc>
          <w:tcPr>
            <w:tcW w:w="0" w:type="dxa"/>
            <w:vAlign w:val="bottom"/>
          </w:tcPr>
          <w:p>
            <w:pPr>
              <w:spacing w:after="0"/>
              <w:rPr>
                <w:sz w:val="1"/>
                <w:szCs w:val="1"/>
                <w:color w:val="auto"/>
              </w:rPr>
            </w:pPr>
          </w:p>
        </w:tc>
      </w:tr>
      <w:tr>
        <w:trPr>
          <w:trHeight w:val="246"/>
        </w:trPr>
        <w:tc>
          <w:tcPr>
            <w:tcW w:w="36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center"/>
              <w:ind w:left="621"/>
              <w:spacing w:after="0"/>
              <w:rPr>
                <w:sz w:val="20"/>
                <w:szCs w:val="20"/>
                <w:color w:val="auto"/>
              </w:rPr>
            </w:pPr>
            <w:r>
              <w:rPr>
                <w:rFonts w:ascii="Arial" w:cs="Arial" w:eastAsia="Arial" w:hAnsi="Arial"/>
                <w:sz w:val="20"/>
                <w:szCs w:val="20"/>
                <w:color w:val="auto"/>
                <w:w w:val="85"/>
              </w:rPr>
              <w:t>June 30,</w:t>
            </w:r>
          </w:p>
        </w:tc>
        <w:tc>
          <w:tcPr>
            <w:tcW w:w="10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center"/>
              <w:ind w:left="581"/>
              <w:spacing w:after="0"/>
              <w:rPr>
                <w:sz w:val="20"/>
                <w:szCs w:val="20"/>
                <w:color w:val="auto"/>
              </w:rPr>
            </w:pPr>
            <w:r>
              <w:rPr>
                <w:rFonts w:ascii="Arial" w:cs="Arial" w:eastAsia="Arial" w:hAnsi="Arial"/>
                <w:sz w:val="20"/>
                <w:szCs w:val="20"/>
                <w:color w:val="auto"/>
                <w:w w:val="85"/>
              </w:rPr>
              <w:t>June 30,</w:t>
            </w: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640" w:type="dxa"/>
            <w:vAlign w:val="bottom"/>
            <w:vMerge w:val="restart"/>
          </w:tcPr>
          <w:p>
            <w:pPr>
              <w:spacing w:after="0"/>
              <w:rPr>
                <w:sz w:val="20"/>
                <w:szCs w:val="20"/>
                <w:color w:val="auto"/>
              </w:rPr>
            </w:pPr>
            <w:r>
              <w:rPr>
                <w:rFonts w:ascii="Arial" w:cs="Arial" w:eastAsia="Arial" w:hAnsi="Arial"/>
                <w:sz w:val="20"/>
                <w:szCs w:val="20"/>
                <w:color w:val="auto"/>
              </w:rPr>
              <w:t>Operating Income: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21"/>
              <w:spacing w:after="0" w:line="223" w:lineRule="exact"/>
              <w:rPr>
                <w:sz w:val="20"/>
                <w:szCs w:val="20"/>
                <w:color w:val="auto"/>
              </w:rPr>
            </w:pPr>
            <w:r>
              <w:rPr>
                <w:rFonts w:ascii="Arial" w:cs="Arial" w:eastAsia="Arial" w:hAnsi="Arial"/>
                <w:sz w:val="20"/>
                <w:szCs w:val="20"/>
                <w:color w:val="auto"/>
              </w:rPr>
              <w:t>2016</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21"/>
              <w:spacing w:after="0" w:line="223" w:lineRule="exact"/>
              <w:rPr>
                <w:sz w:val="20"/>
                <w:szCs w:val="20"/>
                <w:color w:val="auto"/>
              </w:rPr>
            </w:pPr>
            <w:r>
              <w:rPr>
                <w:rFonts w:ascii="Arial" w:cs="Arial" w:eastAsia="Arial" w:hAnsi="Arial"/>
                <w:sz w:val="20"/>
                <w:szCs w:val="20"/>
                <w:color w:val="auto"/>
              </w:rPr>
              <w:t>2015</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01"/>
              <w:spacing w:after="0" w:line="223" w:lineRule="exact"/>
              <w:rPr>
                <w:sz w:val="20"/>
                <w:szCs w:val="20"/>
                <w:color w:val="auto"/>
              </w:rPr>
            </w:pPr>
            <w:r>
              <w:rPr>
                <w:rFonts w:ascii="Arial" w:cs="Arial" w:eastAsia="Arial" w:hAnsi="Arial"/>
                <w:sz w:val="20"/>
                <w:szCs w:val="20"/>
                <w:color w:val="auto"/>
              </w:rPr>
              <w:t>2016</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1"/>
              <w:spacing w:after="0" w:line="223" w:lineRule="exact"/>
              <w:rPr>
                <w:sz w:val="20"/>
                <w:szCs w:val="20"/>
                <w:color w:val="auto"/>
              </w:rPr>
            </w:pPr>
            <w:r>
              <w:rPr>
                <w:rFonts w:ascii="Arial" w:cs="Arial" w:eastAsia="Arial" w:hAnsi="Arial"/>
                <w:sz w:val="20"/>
                <w:szCs w:val="20"/>
                <w:color w:val="auto"/>
              </w:rPr>
              <w:t>2015</w:t>
            </w:r>
          </w:p>
        </w:tc>
        <w:tc>
          <w:tcPr>
            <w:tcW w:w="0" w:type="dxa"/>
            <w:vAlign w:val="bottom"/>
          </w:tcPr>
          <w:p>
            <w:pPr>
              <w:spacing w:after="0"/>
              <w:rPr>
                <w:sz w:val="1"/>
                <w:szCs w:val="1"/>
                <w:color w:val="auto"/>
              </w:rPr>
            </w:pPr>
          </w:p>
        </w:tc>
      </w:tr>
      <w:tr>
        <w:trPr>
          <w:trHeight w:val="193"/>
        </w:trPr>
        <w:tc>
          <w:tcPr>
            <w:tcW w:w="36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180"/>
              <w:spacing w:after="0"/>
              <w:rPr>
                <w:sz w:val="20"/>
                <w:szCs w:val="20"/>
                <w:color w:val="auto"/>
              </w:rPr>
            </w:pPr>
            <w:r>
              <w:rPr>
                <w:rFonts w:ascii="Arial" w:cs="Arial" w:eastAsia="Arial" w:hAnsi="Arial"/>
                <w:sz w:val="20"/>
                <w:szCs w:val="20"/>
                <w:color w:val="auto"/>
              </w:rPr>
              <w:t>Monster Energy® Drinks</w:t>
            </w:r>
            <w:r>
              <w:rPr>
                <w:rFonts w:ascii="Arial" w:cs="Arial" w:eastAsia="Arial" w:hAnsi="Arial"/>
                <w:sz w:val="12"/>
                <w:szCs w:val="12"/>
                <w:color w:val="auto"/>
              </w:rPr>
              <w:t>(1) (2)</w:t>
            </w:r>
          </w:p>
        </w:tc>
        <w:tc>
          <w:tcPr>
            <w:tcW w:w="3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298,942</w:t>
            </w:r>
          </w:p>
        </w:tc>
        <w:tc>
          <w:tcPr>
            <w:tcW w:w="220" w:type="dxa"/>
            <w:vAlign w:val="bottom"/>
          </w:tcPr>
          <w:p>
            <w:pPr>
              <w:spacing w:after="0"/>
              <w:rPr>
                <w:sz w:val="19"/>
                <w:szCs w:val="19"/>
                <w:color w:val="auto"/>
              </w:rPr>
            </w:pPr>
          </w:p>
        </w:tc>
        <w:tc>
          <w:tcPr>
            <w:tcW w:w="3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251,551</w:t>
            </w:r>
          </w:p>
        </w:tc>
        <w:tc>
          <w:tcPr>
            <w:tcW w:w="240" w:type="dxa"/>
            <w:vAlign w:val="bottom"/>
          </w:tcPr>
          <w:p>
            <w:pPr>
              <w:spacing w:after="0"/>
              <w:rPr>
                <w:sz w:val="19"/>
                <w:szCs w:val="19"/>
                <w:color w:val="auto"/>
              </w:rPr>
            </w:pPr>
          </w:p>
        </w:tc>
        <w:tc>
          <w:tcPr>
            <w:tcW w:w="3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566,329</w:t>
            </w:r>
          </w:p>
        </w:tc>
        <w:tc>
          <w:tcPr>
            <w:tcW w:w="220" w:type="dxa"/>
            <w:vAlign w:val="bottom"/>
          </w:tcPr>
          <w:p>
            <w:pPr>
              <w:spacing w:after="0"/>
              <w:rPr>
                <w:sz w:val="19"/>
                <w:szCs w:val="19"/>
                <w:color w:val="auto"/>
              </w:rPr>
            </w:pPr>
          </w:p>
        </w:tc>
        <w:tc>
          <w:tcPr>
            <w:tcW w:w="3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307,172</w:t>
            </w:r>
          </w:p>
        </w:tc>
        <w:tc>
          <w:tcPr>
            <w:tcW w:w="0" w:type="dxa"/>
            <w:vAlign w:val="bottom"/>
          </w:tcPr>
          <w:p>
            <w:pPr>
              <w:spacing w:after="0"/>
              <w:rPr>
                <w:sz w:val="1"/>
                <w:szCs w:val="1"/>
                <w:color w:val="auto"/>
              </w:rPr>
            </w:pPr>
          </w:p>
        </w:tc>
      </w:tr>
      <w:tr>
        <w:trPr>
          <w:trHeight w:val="230"/>
        </w:trPr>
        <w:tc>
          <w:tcPr>
            <w:tcW w:w="3640" w:type="dxa"/>
            <w:vAlign w:val="bottom"/>
          </w:tcPr>
          <w:p>
            <w:pPr>
              <w:ind w:left="180"/>
              <w:spacing w:after="0"/>
              <w:rPr>
                <w:sz w:val="20"/>
                <w:szCs w:val="20"/>
                <w:color w:val="auto"/>
              </w:rPr>
            </w:pPr>
            <w:r>
              <w:rPr>
                <w:rFonts w:ascii="Arial" w:cs="Arial" w:eastAsia="Arial" w:hAnsi="Arial"/>
                <w:sz w:val="20"/>
                <w:szCs w:val="20"/>
                <w:color w:val="auto"/>
              </w:rPr>
              <w:t>Strategic Brands</w:t>
            </w:r>
          </w:p>
        </w:tc>
        <w:tc>
          <w:tcPr>
            <w:tcW w:w="34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48,019</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9,084</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87,095</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9,084</w:t>
            </w:r>
          </w:p>
        </w:tc>
        <w:tc>
          <w:tcPr>
            <w:tcW w:w="0" w:type="dxa"/>
            <w:vAlign w:val="bottom"/>
          </w:tcPr>
          <w:p>
            <w:pPr>
              <w:spacing w:after="0"/>
              <w:rPr>
                <w:sz w:val="1"/>
                <w:szCs w:val="1"/>
                <w:color w:val="auto"/>
              </w:rPr>
            </w:pPr>
          </w:p>
        </w:tc>
      </w:tr>
      <w:tr>
        <w:trPr>
          <w:trHeight w:val="230"/>
        </w:trPr>
        <w:tc>
          <w:tcPr>
            <w:tcW w:w="3640" w:type="dxa"/>
            <w:vAlign w:val="bottom"/>
          </w:tcPr>
          <w:p>
            <w:pPr>
              <w:ind w:left="180"/>
              <w:spacing w:after="0"/>
              <w:rPr>
                <w:sz w:val="20"/>
                <w:szCs w:val="20"/>
                <w:color w:val="auto"/>
              </w:rPr>
            </w:pPr>
            <w:r>
              <w:rPr>
                <w:rFonts w:ascii="Arial" w:cs="Arial" w:eastAsia="Arial" w:hAnsi="Arial"/>
                <w:sz w:val="20"/>
                <w:szCs w:val="20"/>
                <w:color w:val="auto"/>
              </w:rPr>
              <w:t>Other</w:t>
            </w:r>
            <w:r>
              <w:rPr>
                <w:rFonts w:ascii="Arial" w:cs="Arial" w:eastAsia="Arial" w:hAnsi="Arial"/>
                <w:sz w:val="12"/>
                <w:szCs w:val="12"/>
                <w:color w:val="auto"/>
              </w:rPr>
              <w:t>(3)</w:t>
            </w:r>
          </w:p>
        </w:tc>
        <w:tc>
          <w:tcPr>
            <w:tcW w:w="34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686</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163,661</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342</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165,660</w:t>
            </w:r>
          </w:p>
        </w:tc>
        <w:tc>
          <w:tcPr>
            <w:tcW w:w="0" w:type="dxa"/>
            <w:vAlign w:val="bottom"/>
          </w:tcPr>
          <w:p>
            <w:pPr>
              <w:spacing w:after="0"/>
              <w:rPr>
                <w:sz w:val="1"/>
                <w:szCs w:val="1"/>
                <w:color w:val="auto"/>
              </w:rPr>
            </w:pPr>
          </w:p>
        </w:tc>
      </w:tr>
      <w:tr>
        <w:trPr>
          <w:trHeight w:val="246"/>
        </w:trPr>
        <w:tc>
          <w:tcPr>
            <w:tcW w:w="3640" w:type="dxa"/>
            <w:vAlign w:val="bottom"/>
          </w:tcPr>
          <w:p>
            <w:pPr>
              <w:ind w:left="180"/>
              <w:spacing w:after="0"/>
              <w:rPr>
                <w:sz w:val="20"/>
                <w:szCs w:val="20"/>
                <w:color w:val="auto"/>
              </w:rPr>
            </w:pPr>
            <w:r>
              <w:rPr>
                <w:rFonts w:ascii="Arial" w:cs="Arial" w:eastAsia="Arial" w:hAnsi="Arial"/>
                <w:sz w:val="20"/>
                <w:szCs w:val="20"/>
                <w:color w:val="auto"/>
              </w:rPr>
              <w:t>Corporate and unallocated</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(59,124)</w:t>
            </w:r>
          </w:p>
        </w:tc>
        <w:tc>
          <w:tcPr>
            <w:tcW w:w="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(58,157)</w:t>
            </w: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(110,529)</w:t>
            </w:r>
          </w:p>
        </w:tc>
        <w:tc>
          <w:tcPr>
            <w:tcW w:w="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(108,149)</w:t>
            </w:r>
          </w:p>
        </w:tc>
        <w:tc>
          <w:tcPr>
            <w:tcW w:w="0" w:type="dxa"/>
            <w:vAlign w:val="bottom"/>
          </w:tcPr>
          <w:p>
            <w:pPr>
              <w:spacing w:after="0"/>
              <w:rPr>
                <w:sz w:val="1"/>
                <w:szCs w:val="1"/>
                <w:color w:val="auto"/>
              </w:rPr>
            </w:pPr>
          </w:p>
        </w:tc>
      </w:tr>
      <w:tr>
        <w:trPr>
          <w:trHeight w:val="223"/>
        </w:trPr>
        <w:tc>
          <w:tcPr>
            <w:tcW w:w="3640" w:type="dxa"/>
            <w:vAlign w:val="bottom"/>
          </w:tcPr>
          <w:p>
            <w:pPr>
              <w:spacing w:after="0"/>
              <w:rPr>
                <w:sz w:val="19"/>
                <w:szCs w:val="19"/>
                <w:color w:val="auto"/>
              </w:rPr>
            </w:pPr>
          </w:p>
        </w:tc>
        <w:tc>
          <w:tcPr>
            <w:tcW w:w="34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288,523</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366,139</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543,237</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373,767</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3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gridSpan w:val="5"/>
          </w:tcPr>
          <w:p>
            <w:pPr>
              <w:jc w:val="center"/>
              <w:ind w:right="600"/>
              <w:spacing w:after="0"/>
              <w:rPr>
                <w:sz w:val="20"/>
                <w:szCs w:val="20"/>
                <w:color w:val="auto"/>
              </w:rPr>
            </w:pPr>
            <w:r>
              <w:rPr>
                <w:rFonts w:ascii="Arial" w:cs="Arial" w:eastAsia="Arial" w:hAnsi="Arial"/>
                <w:sz w:val="20"/>
                <w:szCs w:val="20"/>
                <w:color w:val="auto"/>
                <w:w w:val="89"/>
              </w:rPr>
              <w:t>Three-Months Ended</w:t>
            </w:r>
          </w:p>
        </w:tc>
        <w:tc>
          <w:tcPr>
            <w:tcW w:w="340" w:type="dxa"/>
            <w:vAlign w:val="bottom"/>
          </w:tcPr>
          <w:p>
            <w:pPr>
              <w:spacing w:after="0"/>
              <w:rPr>
                <w:sz w:val="24"/>
                <w:szCs w:val="24"/>
                <w:color w:val="auto"/>
              </w:rPr>
            </w:pPr>
          </w:p>
        </w:tc>
        <w:tc>
          <w:tcPr>
            <w:tcW w:w="2640" w:type="dxa"/>
            <w:vAlign w:val="bottom"/>
            <w:gridSpan w:val="4"/>
          </w:tcPr>
          <w:p>
            <w:pPr>
              <w:jc w:val="center"/>
              <w:ind w:right="261"/>
              <w:spacing w:after="0"/>
              <w:rPr>
                <w:sz w:val="20"/>
                <w:szCs w:val="20"/>
                <w:color w:val="auto"/>
              </w:rPr>
            </w:pPr>
            <w:r>
              <w:rPr>
                <w:rFonts w:ascii="Arial" w:cs="Arial" w:eastAsia="Arial" w:hAnsi="Arial"/>
                <w:sz w:val="20"/>
                <w:szCs w:val="20"/>
                <w:color w:val="auto"/>
                <w:w w:val="90"/>
              </w:rPr>
              <w:t>Six-Months Ended</w:t>
            </w:r>
          </w:p>
        </w:tc>
        <w:tc>
          <w:tcPr>
            <w:tcW w:w="0" w:type="dxa"/>
            <w:vAlign w:val="bottom"/>
          </w:tcPr>
          <w:p>
            <w:pPr>
              <w:spacing w:after="0"/>
              <w:rPr>
                <w:sz w:val="1"/>
                <w:szCs w:val="1"/>
                <w:color w:val="auto"/>
              </w:rPr>
            </w:pPr>
          </w:p>
        </w:tc>
      </w:tr>
      <w:tr>
        <w:trPr>
          <w:trHeight w:val="246"/>
        </w:trPr>
        <w:tc>
          <w:tcPr>
            <w:tcW w:w="36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center"/>
              <w:ind w:left="621"/>
              <w:spacing w:after="0"/>
              <w:rPr>
                <w:sz w:val="20"/>
                <w:szCs w:val="20"/>
                <w:color w:val="auto"/>
              </w:rPr>
            </w:pPr>
            <w:r>
              <w:rPr>
                <w:rFonts w:ascii="Arial" w:cs="Arial" w:eastAsia="Arial" w:hAnsi="Arial"/>
                <w:sz w:val="20"/>
                <w:szCs w:val="20"/>
                <w:color w:val="auto"/>
                <w:w w:val="85"/>
              </w:rPr>
              <w:t>June 30,</w:t>
            </w:r>
          </w:p>
        </w:tc>
        <w:tc>
          <w:tcPr>
            <w:tcW w:w="10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center"/>
              <w:ind w:left="581"/>
              <w:spacing w:after="0"/>
              <w:rPr>
                <w:sz w:val="20"/>
                <w:szCs w:val="20"/>
                <w:color w:val="auto"/>
              </w:rPr>
            </w:pPr>
            <w:r>
              <w:rPr>
                <w:rFonts w:ascii="Arial" w:cs="Arial" w:eastAsia="Arial" w:hAnsi="Arial"/>
                <w:sz w:val="20"/>
                <w:szCs w:val="20"/>
                <w:color w:val="auto"/>
                <w:w w:val="85"/>
              </w:rPr>
              <w:t>June 30,</w:t>
            </w: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640" w:type="dxa"/>
            <w:vAlign w:val="bottom"/>
            <w:vMerge w:val="restart"/>
          </w:tcPr>
          <w:p>
            <w:pPr>
              <w:spacing w:after="0"/>
              <w:rPr>
                <w:sz w:val="20"/>
                <w:szCs w:val="20"/>
                <w:color w:val="auto"/>
              </w:rPr>
            </w:pPr>
            <w:r>
              <w:rPr>
                <w:rFonts w:ascii="Arial" w:cs="Arial" w:eastAsia="Arial" w:hAnsi="Arial"/>
                <w:sz w:val="20"/>
                <w:szCs w:val="20"/>
                <w:color w:val="auto"/>
              </w:rPr>
              <w:t>Income before tax:</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21"/>
              <w:spacing w:after="0" w:line="223" w:lineRule="exact"/>
              <w:rPr>
                <w:sz w:val="20"/>
                <w:szCs w:val="20"/>
                <w:color w:val="auto"/>
              </w:rPr>
            </w:pPr>
            <w:r>
              <w:rPr>
                <w:rFonts w:ascii="Arial" w:cs="Arial" w:eastAsia="Arial" w:hAnsi="Arial"/>
                <w:sz w:val="20"/>
                <w:szCs w:val="20"/>
                <w:color w:val="auto"/>
              </w:rPr>
              <w:t>2016</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21"/>
              <w:spacing w:after="0" w:line="223" w:lineRule="exact"/>
              <w:rPr>
                <w:sz w:val="20"/>
                <w:szCs w:val="20"/>
                <w:color w:val="auto"/>
              </w:rPr>
            </w:pPr>
            <w:r>
              <w:rPr>
                <w:rFonts w:ascii="Arial" w:cs="Arial" w:eastAsia="Arial" w:hAnsi="Arial"/>
                <w:sz w:val="20"/>
                <w:szCs w:val="20"/>
                <w:color w:val="auto"/>
              </w:rPr>
              <w:t>2015</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01"/>
              <w:spacing w:after="0" w:line="223" w:lineRule="exact"/>
              <w:rPr>
                <w:sz w:val="20"/>
                <w:szCs w:val="20"/>
                <w:color w:val="auto"/>
              </w:rPr>
            </w:pPr>
            <w:r>
              <w:rPr>
                <w:rFonts w:ascii="Arial" w:cs="Arial" w:eastAsia="Arial" w:hAnsi="Arial"/>
                <w:sz w:val="20"/>
                <w:szCs w:val="20"/>
                <w:color w:val="auto"/>
              </w:rPr>
              <w:t>2016</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1"/>
              <w:spacing w:after="0" w:line="223" w:lineRule="exact"/>
              <w:rPr>
                <w:sz w:val="20"/>
                <w:szCs w:val="20"/>
                <w:color w:val="auto"/>
              </w:rPr>
            </w:pPr>
            <w:r>
              <w:rPr>
                <w:rFonts w:ascii="Arial" w:cs="Arial" w:eastAsia="Arial" w:hAnsi="Arial"/>
                <w:sz w:val="20"/>
                <w:szCs w:val="20"/>
                <w:color w:val="auto"/>
              </w:rPr>
              <w:t>2015</w:t>
            </w:r>
          </w:p>
        </w:tc>
        <w:tc>
          <w:tcPr>
            <w:tcW w:w="0" w:type="dxa"/>
            <w:vAlign w:val="bottom"/>
          </w:tcPr>
          <w:p>
            <w:pPr>
              <w:spacing w:after="0"/>
              <w:rPr>
                <w:sz w:val="1"/>
                <w:szCs w:val="1"/>
                <w:color w:val="auto"/>
              </w:rPr>
            </w:pPr>
          </w:p>
        </w:tc>
      </w:tr>
      <w:tr>
        <w:trPr>
          <w:trHeight w:val="193"/>
        </w:trPr>
        <w:tc>
          <w:tcPr>
            <w:tcW w:w="36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180"/>
              <w:spacing w:after="0"/>
              <w:rPr>
                <w:sz w:val="20"/>
                <w:szCs w:val="20"/>
                <w:color w:val="auto"/>
              </w:rPr>
            </w:pPr>
            <w:r>
              <w:rPr>
                <w:rFonts w:ascii="Arial" w:cs="Arial" w:eastAsia="Arial" w:hAnsi="Arial"/>
                <w:sz w:val="20"/>
                <w:szCs w:val="20"/>
                <w:color w:val="auto"/>
              </w:rPr>
              <w:t>Monster Energy® Drinks</w:t>
            </w:r>
            <w:r>
              <w:rPr>
                <w:rFonts w:ascii="Arial" w:cs="Arial" w:eastAsia="Arial" w:hAnsi="Arial"/>
                <w:sz w:val="12"/>
                <w:szCs w:val="12"/>
                <w:color w:val="auto"/>
              </w:rPr>
              <w:t>(1) (2)</w:t>
            </w:r>
          </w:p>
        </w:tc>
        <w:tc>
          <w:tcPr>
            <w:tcW w:w="3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298,974</w:t>
            </w:r>
          </w:p>
        </w:tc>
        <w:tc>
          <w:tcPr>
            <w:tcW w:w="220" w:type="dxa"/>
            <w:vAlign w:val="bottom"/>
          </w:tcPr>
          <w:p>
            <w:pPr>
              <w:spacing w:after="0"/>
              <w:rPr>
                <w:sz w:val="19"/>
                <w:szCs w:val="19"/>
                <w:color w:val="auto"/>
              </w:rPr>
            </w:pPr>
          </w:p>
        </w:tc>
        <w:tc>
          <w:tcPr>
            <w:tcW w:w="3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251,740</w:t>
            </w:r>
          </w:p>
        </w:tc>
        <w:tc>
          <w:tcPr>
            <w:tcW w:w="240" w:type="dxa"/>
            <w:vAlign w:val="bottom"/>
          </w:tcPr>
          <w:p>
            <w:pPr>
              <w:spacing w:after="0"/>
              <w:rPr>
                <w:sz w:val="19"/>
                <w:szCs w:val="19"/>
                <w:color w:val="auto"/>
              </w:rPr>
            </w:pPr>
          </w:p>
        </w:tc>
        <w:tc>
          <w:tcPr>
            <w:tcW w:w="3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566,412</w:t>
            </w:r>
          </w:p>
        </w:tc>
        <w:tc>
          <w:tcPr>
            <w:tcW w:w="220" w:type="dxa"/>
            <w:vAlign w:val="bottom"/>
          </w:tcPr>
          <w:p>
            <w:pPr>
              <w:spacing w:after="0"/>
              <w:rPr>
                <w:sz w:val="19"/>
                <w:szCs w:val="19"/>
                <w:color w:val="auto"/>
              </w:rPr>
            </w:pPr>
          </w:p>
        </w:tc>
        <w:tc>
          <w:tcPr>
            <w:tcW w:w="3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307,435</w:t>
            </w:r>
          </w:p>
        </w:tc>
        <w:tc>
          <w:tcPr>
            <w:tcW w:w="0" w:type="dxa"/>
            <w:vAlign w:val="bottom"/>
          </w:tcPr>
          <w:p>
            <w:pPr>
              <w:spacing w:after="0"/>
              <w:rPr>
                <w:sz w:val="1"/>
                <w:szCs w:val="1"/>
                <w:color w:val="auto"/>
              </w:rPr>
            </w:pPr>
          </w:p>
        </w:tc>
      </w:tr>
      <w:tr>
        <w:trPr>
          <w:trHeight w:val="230"/>
        </w:trPr>
        <w:tc>
          <w:tcPr>
            <w:tcW w:w="3640" w:type="dxa"/>
            <w:vAlign w:val="bottom"/>
          </w:tcPr>
          <w:p>
            <w:pPr>
              <w:ind w:left="180"/>
              <w:spacing w:after="0"/>
              <w:rPr>
                <w:sz w:val="20"/>
                <w:szCs w:val="20"/>
                <w:color w:val="auto"/>
              </w:rPr>
            </w:pPr>
            <w:r>
              <w:rPr>
                <w:rFonts w:ascii="Arial" w:cs="Arial" w:eastAsia="Arial" w:hAnsi="Arial"/>
                <w:sz w:val="20"/>
                <w:szCs w:val="20"/>
                <w:color w:val="auto"/>
              </w:rPr>
              <w:t>Strategic Brands</w:t>
            </w:r>
          </w:p>
        </w:tc>
        <w:tc>
          <w:tcPr>
            <w:tcW w:w="34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48,008</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9,084</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87,068</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9,084</w:t>
            </w:r>
          </w:p>
        </w:tc>
        <w:tc>
          <w:tcPr>
            <w:tcW w:w="0" w:type="dxa"/>
            <w:vAlign w:val="bottom"/>
          </w:tcPr>
          <w:p>
            <w:pPr>
              <w:spacing w:after="0"/>
              <w:rPr>
                <w:sz w:val="1"/>
                <w:szCs w:val="1"/>
                <w:color w:val="auto"/>
              </w:rPr>
            </w:pPr>
          </w:p>
        </w:tc>
      </w:tr>
      <w:tr>
        <w:trPr>
          <w:trHeight w:val="230"/>
        </w:trPr>
        <w:tc>
          <w:tcPr>
            <w:tcW w:w="3640" w:type="dxa"/>
            <w:vAlign w:val="bottom"/>
          </w:tcPr>
          <w:p>
            <w:pPr>
              <w:ind w:left="180"/>
              <w:spacing w:after="0"/>
              <w:rPr>
                <w:sz w:val="20"/>
                <w:szCs w:val="20"/>
                <w:color w:val="auto"/>
              </w:rPr>
            </w:pPr>
            <w:r>
              <w:rPr>
                <w:rFonts w:ascii="Arial" w:cs="Arial" w:eastAsia="Arial" w:hAnsi="Arial"/>
                <w:sz w:val="20"/>
                <w:szCs w:val="20"/>
                <w:color w:val="auto"/>
              </w:rPr>
              <w:t>Other</w:t>
            </w:r>
            <w:r>
              <w:rPr>
                <w:rFonts w:ascii="Arial" w:cs="Arial" w:eastAsia="Arial" w:hAnsi="Arial"/>
                <w:sz w:val="12"/>
                <w:szCs w:val="12"/>
                <w:color w:val="auto"/>
              </w:rPr>
              <w:t>(3)</w:t>
            </w:r>
          </w:p>
        </w:tc>
        <w:tc>
          <w:tcPr>
            <w:tcW w:w="34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686</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163,661</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342</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165,660</w:t>
            </w:r>
          </w:p>
        </w:tc>
        <w:tc>
          <w:tcPr>
            <w:tcW w:w="0" w:type="dxa"/>
            <w:vAlign w:val="bottom"/>
          </w:tcPr>
          <w:p>
            <w:pPr>
              <w:spacing w:after="0"/>
              <w:rPr>
                <w:sz w:val="1"/>
                <w:szCs w:val="1"/>
                <w:color w:val="auto"/>
              </w:rPr>
            </w:pPr>
          </w:p>
        </w:tc>
      </w:tr>
      <w:tr>
        <w:trPr>
          <w:trHeight w:val="246"/>
        </w:trPr>
        <w:tc>
          <w:tcPr>
            <w:tcW w:w="3640" w:type="dxa"/>
            <w:vAlign w:val="bottom"/>
          </w:tcPr>
          <w:p>
            <w:pPr>
              <w:ind w:left="180"/>
              <w:spacing w:after="0"/>
              <w:rPr>
                <w:sz w:val="20"/>
                <w:szCs w:val="20"/>
                <w:color w:val="auto"/>
              </w:rPr>
            </w:pPr>
            <w:r>
              <w:rPr>
                <w:rFonts w:ascii="Arial" w:cs="Arial" w:eastAsia="Arial" w:hAnsi="Arial"/>
                <w:sz w:val="20"/>
                <w:szCs w:val="20"/>
                <w:color w:val="auto"/>
              </w:rPr>
              <w:t>Corporate and unallocated</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(59,367)</w:t>
            </w:r>
          </w:p>
        </w:tc>
        <w:tc>
          <w:tcPr>
            <w:tcW w:w="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(59,361)</w:t>
            </w: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(110,199)</w:t>
            </w:r>
          </w:p>
        </w:tc>
        <w:tc>
          <w:tcPr>
            <w:tcW w:w="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(108,194)</w:t>
            </w:r>
          </w:p>
        </w:tc>
        <w:tc>
          <w:tcPr>
            <w:tcW w:w="0" w:type="dxa"/>
            <w:vAlign w:val="bottom"/>
          </w:tcPr>
          <w:p>
            <w:pPr>
              <w:spacing w:after="0"/>
              <w:rPr>
                <w:sz w:val="1"/>
                <w:szCs w:val="1"/>
                <w:color w:val="auto"/>
              </w:rPr>
            </w:pPr>
          </w:p>
        </w:tc>
      </w:tr>
      <w:tr>
        <w:trPr>
          <w:trHeight w:val="223"/>
        </w:trPr>
        <w:tc>
          <w:tcPr>
            <w:tcW w:w="3640" w:type="dxa"/>
            <w:vAlign w:val="bottom"/>
          </w:tcPr>
          <w:p>
            <w:pPr>
              <w:spacing w:after="0"/>
              <w:rPr>
                <w:sz w:val="19"/>
                <w:szCs w:val="19"/>
                <w:color w:val="auto"/>
              </w:rPr>
            </w:pPr>
          </w:p>
        </w:tc>
        <w:tc>
          <w:tcPr>
            <w:tcW w:w="34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288,301</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365,124</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543,623</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373,985</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660" w:hanging="328"/>
        <w:spacing w:after="0" w:line="253" w:lineRule="auto"/>
        <w:tabs>
          <w:tab w:leader="none" w:pos="666"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Includes $12.1 million and $3.2 million for the three-months ended June 30, 2016 and 2015, respectively, related to the recognition of deferred revenue. Includes $20.2 million and $46.5 million for the six-months ended June 30, 2016 and 2015, respectively, related to the recognition of deferred revenue.</w:t>
      </w:r>
    </w:p>
    <w:p>
      <w:pPr>
        <w:spacing w:after="0" w:line="106" w:lineRule="exact"/>
        <w:rPr>
          <w:rFonts w:ascii="Arial" w:cs="Arial" w:eastAsia="Arial" w:hAnsi="Arial"/>
          <w:sz w:val="14"/>
          <w:szCs w:val="14"/>
          <w:i w:val="1"/>
          <w:iCs w:val="1"/>
          <w:color w:val="auto"/>
        </w:rPr>
      </w:pPr>
    </w:p>
    <w:p>
      <w:pPr>
        <w:ind w:left="660" w:hanging="328"/>
        <w:spacing w:after="0" w:line="253" w:lineRule="auto"/>
        <w:tabs>
          <w:tab w:leader="none" w:pos="733"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Includes $25.3 million and $12.2 million for the three-months ended June 30, 2016 and 2015, respectively, related to distributor termination costs. Includes $28.7 million and $218.2 million for the six-months ended June 30, 2016 and 2015, respectively, related to distributor termination costs.</w:t>
      </w:r>
    </w:p>
    <w:p>
      <w:pPr>
        <w:spacing w:after="0" w:line="106" w:lineRule="exact"/>
        <w:rPr>
          <w:rFonts w:ascii="Arial" w:cs="Arial" w:eastAsia="Arial" w:hAnsi="Arial"/>
          <w:sz w:val="14"/>
          <w:szCs w:val="14"/>
          <w:i w:val="1"/>
          <w:iCs w:val="1"/>
          <w:color w:val="auto"/>
        </w:rPr>
      </w:pPr>
    </w:p>
    <w:p>
      <w:pPr>
        <w:ind w:left="640" w:hanging="308"/>
        <w:spacing w:after="0"/>
        <w:tabs>
          <w:tab w:leader="none" w:pos="640"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Includes $161.5 million gain on the sale of Monster Non-Energy for the three- and six-months ended June 30, 2015.</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3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40" w:type="dxa"/>
            <w:vAlign w:val="bottom"/>
            <w:gridSpan w:val="5"/>
          </w:tcPr>
          <w:p>
            <w:pPr>
              <w:jc w:val="center"/>
              <w:ind w:right="600"/>
              <w:spacing w:after="0"/>
              <w:rPr>
                <w:sz w:val="20"/>
                <w:szCs w:val="20"/>
                <w:color w:val="auto"/>
              </w:rPr>
            </w:pPr>
            <w:r>
              <w:rPr>
                <w:rFonts w:ascii="Arial" w:cs="Arial" w:eastAsia="Arial" w:hAnsi="Arial"/>
                <w:sz w:val="20"/>
                <w:szCs w:val="20"/>
                <w:color w:val="auto"/>
                <w:w w:val="90"/>
              </w:rPr>
              <w:t>Three-Months Ended</w:t>
            </w:r>
          </w:p>
        </w:tc>
        <w:tc>
          <w:tcPr>
            <w:tcW w:w="340" w:type="dxa"/>
            <w:vAlign w:val="bottom"/>
          </w:tcPr>
          <w:p>
            <w:pPr>
              <w:spacing w:after="0"/>
              <w:rPr>
                <w:sz w:val="19"/>
                <w:szCs w:val="19"/>
                <w:color w:val="auto"/>
              </w:rPr>
            </w:pPr>
          </w:p>
        </w:tc>
        <w:tc>
          <w:tcPr>
            <w:tcW w:w="2640" w:type="dxa"/>
            <w:vAlign w:val="bottom"/>
            <w:gridSpan w:val="4"/>
          </w:tcPr>
          <w:p>
            <w:pPr>
              <w:jc w:val="center"/>
              <w:ind w:right="261"/>
              <w:spacing w:after="0"/>
              <w:rPr>
                <w:sz w:val="20"/>
                <w:szCs w:val="20"/>
                <w:color w:val="auto"/>
              </w:rPr>
            </w:pPr>
            <w:r>
              <w:rPr>
                <w:rFonts w:ascii="Arial" w:cs="Arial" w:eastAsia="Arial" w:hAnsi="Arial"/>
                <w:sz w:val="20"/>
                <w:szCs w:val="20"/>
                <w:color w:val="auto"/>
                <w:w w:val="90"/>
              </w:rPr>
              <w:t>Six-Months Ended</w:t>
            </w:r>
          </w:p>
        </w:tc>
        <w:tc>
          <w:tcPr>
            <w:tcW w:w="0" w:type="dxa"/>
            <w:vAlign w:val="bottom"/>
          </w:tcPr>
          <w:p>
            <w:pPr>
              <w:spacing w:after="0"/>
              <w:rPr>
                <w:sz w:val="1"/>
                <w:szCs w:val="1"/>
                <w:color w:val="auto"/>
              </w:rPr>
            </w:pPr>
          </w:p>
        </w:tc>
      </w:tr>
      <w:tr>
        <w:trPr>
          <w:trHeight w:val="246"/>
        </w:trPr>
        <w:tc>
          <w:tcPr>
            <w:tcW w:w="36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center"/>
              <w:ind w:left="601"/>
              <w:spacing w:after="0"/>
              <w:rPr>
                <w:sz w:val="20"/>
                <w:szCs w:val="20"/>
                <w:color w:val="auto"/>
              </w:rPr>
            </w:pPr>
            <w:r>
              <w:rPr>
                <w:rFonts w:ascii="Arial" w:cs="Arial" w:eastAsia="Arial" w:hAnsi="Arial"/>
                <w:sz w:val="20"/>
                <w:szCs w:val="20"/>
                <w:color w:val="auto"/>
                <w:w w:val="85"/>
              </w:rPr>
              <w:t>June 30,</w:t>
            </w:r>
          </w:p>
        </w:tc>
        <w:tc>
          <w:tcPr>
            <w:tcW w:w="10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center"/>
              <w:ind w:left="581"/>
              <w:spacing w:after="0"/>
              <w:rPr>
                <w:sz w:val="20"/>
                <w:szCs w:val="20"/>
                <w:color w:val="auto"/>
              </w:rPr>
            </w:pPr>
            <w:r>
              <w:rPr>
                <w:rFonts w:ascii="Arial" w:cs="Arial" w:eastAsia="Arial" w:hAnsi="Arial"/>
                <w:sz w:val="20"/>
                <w:szCs w:val="20"/>
                <w:color w:val="auto"/>
                <w:w w:val="85"/>
              </w:rPr>
              <w:t>June 30,</w:t>
            </w: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640" w:type="dxa"/>
            <w:vAlign w:val="bottom"/>
            <w:vMerge w:val="restart"/>
          </w:tcPr>
          <w:p>
            <w:pPr>
              <w:spacing w:after="0"/>
              <w:rPr>
                <w:sz w:val="20"/>
                <w:szCs w:val="20"/>
                <w:color w:val="auto"/>
              </w:rPr>
            </w:pPr>
            <w:r>
              <w:rPr>
                <w:rFonts w:ascii="Arial" w:cs="Arial" w:eastAsia="Arial" w:hAnsi="Arial"/>
                <w:sz w:val="20"/>
                <w:szCs w:val="20"/>
                <w:color w:val="auto"/>
              </w:rPr>
              <w:t>Depreciation and amortization</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01"/>
              <w:spacing w:after="0" w:line="223" w:lineRule="exact"/>
              <w:rPr>
                <w:sz w:val="20"/>
                <w:szCs w:val="20"/>
                <w:color w:val="auto"/>
              </w:rPr>
            </w:pPr>
            <w:r>
              <w:rPr>
                <w:rFonts w:ascii="Arial" w:cs="Arial" w:eastAsia="Arial" w:hAnsi="Arial"/>
                <w:sz w:val="20"/>
                <w:szCs w:val="20"/>
                <w:color w:val="auto"/>
              </w:rPr>
              <w:t>2016</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01"/>
              <w:spacing w:after="0" w:line="223" w:lineRule="exact"/>
              <w:rPr>
                <w:sz w:val="20"/>
                <w:szCs w:val="20"/>
                <w:color w:val="auto"/>
              </w:rPr>
            </w:pPr>
            <w:r>
              <w:rPr>
                <w:rFonts w:ascii="Arial" w:cs="Arial" w:eastAsia="Arial" w:hAnsi="Arial"/>
                <w:sz w:val="20"/>
                <w:szCs w:val="20"/>
                <w:color w:val="auto"/>
              </w:rPr>
              <w:t>2015</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01"/>
              <w:spacing w:after="0" w:line="223" w:lineRule="exact"/>
              <w:rPr>
                <w:sz w:val="20"/>
                <w:szCs w:val="20"/>
                <w:color w:val="auto"/>
              </w:rPr>
            </w:pPr>
            <w:r>
              <w:rPr>
                <w:rFonts w:ascii="Arial" w:cs="Arial" w:eastAsia="Arial" w:hAnsi="Arial"/>
                <w:sz w:val="20"/>
                <w:szCs w:val="20"/>
                <w:color w:val="auto"/>
              </w:rPr>
              <w:t>2016</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1"/>
              <w:spacing w:after="0" w:line="223" w:lineRule="exact"/>
              <w:rPr>
                <w:sz w:val="20"/>
                <w:szCs w:val="20"/>
                <w:color w:val="auto"/>
              </w:rPr>
            </w:pPr>
            <w:r>
              <w:rPr>
                <w:rFonts w:ascii="Arial" w:cs="Arial" w:eastAsia="Arial" w:hAnsi="Arial"/>
                <w:sz w:val="20"/>
                <w:szCs w:val="20"/>
                <w:color w:val="auto"/>
              </w:rPr>
              <w:t>2015</w:t>
            </w:r>
          </w:p>
        </w:tc>
        <w:tc>
          <w:tcPr>
            <w:tcW w:w="0" w:type="dxa"/>
            <w:vAlign w:val="bottom"/>
          </w:tcPr>
          <w:p>
            <w:pPr>
              <w:spacing w:after="0"/>
              <w:rPr>
                <w:sz w:val="1"/>
                <w:szCs w:val="1"/>
                <w:color w:val="auto"/>
              </w:rPr>
            </w:pPr>
          </w:p>
        </w:tc>
      </w:tr>
      <w:tr>
        <w:trPr>
          <w:trHeight w:val="193"/>
        </w:trPr>
        <w:tc>
          <w:tcPr>
            <w:tcW w:w="36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180"/>
              <w:spacing w:after="0"/>
              <w:rPr>
                <w:sz w:val="20"/>
                <w:szCs w:val="20"/>
                <w:color w:val="auto"/>
              </w:rPr>
            </w:pPr>
            <w:r>
              <w:rPr>
                <w:rFonts w:ascii="Arial" w:cs="Arial" w:eastAsia="Arial" w:hAnsi="Arial"/>
                <w:sz w:val="20"/>
                <w:szCs w:val="20"/>
                <w:color w:val="auto"/>
              </w:rPr>
              <w:t>Monster Energy® Drinks</w:t>
            </w:r>
          </w:p>
        </w:tc>
        <w:tc>
          <w:tcPr>
            <w:tcW w:w="3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5,795</w:t>
            </w:r>
          </w:p>
        </w:tc>
        <w:tc>
          <w:tcPr>
            <w:tcW w:w="240" w:type="dxa"/>
            <w:vAlign w:val="bottom"/>
          </w:tcPr>
          <w:p>
            <w:pPr>
              <w:spacing w:after="0"/>
              <w:rPr>
                <w:sz w:val="19"/>
                <w:szCs w:val="19"/>
                <w:color w:val="auto"/>
              </w:rPr>
            </w:pPr>
          </w:p>
        </w:tc>
        <w:tc>
          <w:tcPr>
            <w:tcW w:w="3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5,093</w:t>
            </w:r>
          </w:p>
        </w:tc>
        <w:tc>
          <w:tcPr>
            <w:tcW w:w="240" w:type="dxa"/>
            <w:vAlign w:val="bottom"/>
          </w:tcPr>
          <w:p>
            <w:pPr>
              <w:spacing w:after="0"/>
              <w:rPr>
                <w:sz w:val="19"/>
                <w:szCs w:val="19"/>
                <w:color w:val="auto"/>
              </w:rPr>
            </w:pPr>
          </w:p>
        </w:tc>
        <w:tc>
          <w:tcPr>
            <w:tcW w:w="3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11,573</w:t>
            </w:r>
          </w:p>
        </w:tc>
        <w:tc>
          <w:tcPr>
            <w:tcW w:w="220" w:type="dxa"/>
            <w:vAlign w:val="bottom"/>
          </w:tcPr>
          <w:p>
            <w:pPr>
              <w:spacing w:after="0"/>
              <w:rPr>
                <w:sz w:val="19"/>
                <w:szCs w:val="19"/>
                <w:color w:val="auto"/>
              </w:rPr>
            </w:pPr>
          </w:p>
        </w:tc>
        <w:tc>
          <w:tcPr>
            <w:tcW w:w="3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10,148</w:t>
            </w:r>
          </w:p>
        </w:tc>
        <w:tc>
          <w:tcPr>
            <w:tcW w:w="0" w:type="dxa"/>
            <w:vAlign w:val="bottom"/>
          </w:tcPr>
          <w:p>
            <w:pPr>
              <w:spacing w:after="0"/>
              <w:rPr>
                <w:sz w:val="1"/>
                <w:szCs w:val="1"/>
                <w:color w:val="auto"/>
              </w:rPr>
            </w:pPr>
          </w:p>
        </w:tc>
      </w:tr>
      <w:tr>
        <w:trPr>
          <w:trHeight w:val="250"/>
        </w:trPr>
        <w:tc>
          <w:tcPr>
            <w:tcW w:w="3640" w:type="dxa"/>
            <w:vAlign w:val="bottom"/>
          </w:tcPr>
          <w:p>
            <w:pPr>
              <w:ind w:left="180"/>
              <w:spacing w:after="0"/>
              <w:rPr>
                <w:sz w:val="20"/>
                <w:szCs w:val="20"/>
                <w:color w:val="auto"/>
              </w:rPr>
            </w:pPr>
            <w:r>
              <w:rPr>
                <w:rFonts w:ascii="Arial" w:cs="Arial" w:eastAsia="Arial" w:hAnsi="Arial"/>
                <w:sz w:val="20"/>
                <w:szCs w:val="20"/>
                <w:color w:val="auto"/>
              </w:rPr>
              <w:t>Strategic Brands</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1,778</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345</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3,548</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345</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5" w:right="239" w:bottom="0" w:gutter="0" w:footer="0" w:header="0"/>
        </w:sectPr>
      </w:pPr>
    </w:p>
    <w:bookmarkStart w:id="20" w:name="page21"/>
    <w:bookmarkEnd w:id="20"/>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231"/>
        </w:trPr>
        <w:tc>
          <w:tcPr>
            <w:tcW w:w="3640" w:type="dxa"/>
            <w:vAlign w:val="bottom"/>
          </w:tcPr>
          <w:p>
            <w:pPr>
              <w:ind w:left="180"/>
              <w:spacing w:after="0"/>
              <w:rPr>
                <w:sz w:val="20"/>
                <w:szCs w:val="20"/>
                <w:color w:val="auto"/>
              </w:rPr>
            </w:pPr>
            <w:r>
              <w:rPr>
                <w:rFonts w:ascii="Arial" w:cs="Arial" w:eastAsia="Arial" w:hAnsi="Arial"/>
                <w:sz w:val="20"/>
                <w:szCs w:val="20"/>
                <w:color w:val="auto"/>
              </w:rPr>
              <w:t>Other</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1,135</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92</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1,136</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231</w:t>
            </w:r>
          </w:p>
        </w:tc>
        <w:tc>
          <w:tcPr>
            <w:tcW w:w="0" w:type="dxa"/>
            <w:vAlign w:val="bottom"/>
          </w:tcPr>
          <w:p>
            <w:pPr>
              <w:spacing w:after="0"/>
              <w:rPr>
                <w:sz w:val="1"/>
                <w:szCs w:val="1"/>
                <w:color w:val="auto"/>
              </w:rPr>
            </w:pPr>
          </w:p>
        </w:tc>
      </w:tr>
      <w:tr>
        <w:trPr>
          <w:trHeight w:val="246"/>
        </w:trPr>
        <w:tc>
          <w:tcPr>
            <w:tcW w:w="3640" w:type="dxa"/>
            <w:vAlign w:val="bottom"/>
          </w:tcPr>
          <w:p>
            <w:pPr>
              <w:ind w:left="180"/>
              <w:spacing w:after="0"/>
              <w:rPr>
                <w:sz w:val="20"/>
                <w:szCs w:val="20"/>
                <w:color w:val="auto"/>
              </w:rPr>
            </w:pPr>
            <w:r>
              <w:rPr>
                <w:rFonts w:ascii="Arial" w:cs="Arial" w:eastAsia="Arial" w:hAnsi="Arial"/>
                <w:sz w:val="20"/>
                <w:szCs w:val="20"/>
                <w:color w:val="auto"/>
              </w:rPr>
              <w:t>Corporate and unallocated</w:t>
            </w: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1,598</w:t>
            </w: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1,250</w:t>
            </w:r>
          </w:p>
        </w:tc>
        <w:tc>
          <w:tcPr>
            <w:tcW w:w="2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3,072</w:t>
            </w:r>
          </w:p>
        </w:tc>
        <w:tc>
          <w:tcPr>
            <w:tcW w:w="2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2,525</w:t>
            </w:r>
          </w:p>
        </w:tc>
        <w:tc>
          <w:tcPr>
            <w:tcW w:w="0" w:type="dxa"/>
            <w:vAlign w:val="bottom"/>
          </w:tcPr>
          <w:p>
            <w:pPr>
              <w:spacing w:after="0"/>
              <w:rPr>
                <w:sz w:val="1"/>
                <w:szCs w:val="1"/>
                <w:color w:val="auto"/>
              </w:rPr>
            </w:pPr>
          </w:p>
        </w:tc>
      </w:tr>
      <w:tr>
        <w:trPr>
          <w:trHeight w:val="223"/>
        </w:trPr>
        <w:tc>
          <w:tcPr>
            <w:tcW w:w="3640" w:type="dxa"/>
            <w:vAlign w:val="bottom"/>
          </w:tcPr>
          <w:p>
            <w:pPr>
              <w:spacing w:after="0"/>
              <w:rPr>
                <w:sz w:val="19"/>
                <w:szCs w:val="19"/>
                <w:color w:val="auto"/>
              </w:rPr>
            </w:pPr>
          </w:p>
        </w:tc>
        <w:tc>
          <w:tcPr>
            <w:tcW w:w="3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10,306</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6,780</w:t>
            </w:r>
          </w:p>
        </w:tc>
        <w:tc>
          <w:tcPr>
            <w:tcW w:w="240" w:type="dxa"/>
            <w:vAlign w:val="bottom"/>
          </w:tcPr>
          <w:p>
            <w:pPr>
              <w:spacing w:after="0"/>
              <w:rPr>
                <w:sz w:val="19"/>
                <w:szCs w:val="19"/>
                <w:color w:val="auto"/>
              </w:rPr>
            </w:pPr>
          </w:p>
        </w:tc>
        <w:tc>
          <w:tcPr>
            <w:tcW w:w="460" w:type="dxa"/>
            <w:vAlign w:val="bottom"/>
            <w:tcBorders>
              <w:bottom w:val="single" w:sz="8" w:color="auto"/>
            </w:tcBorders>
          </w:tcPr>
          <w:p>
            <w:pPr>
              <w:jc w:val="right"/>
              <w:ind w:right="181"/>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19,329</w:t>
            </w:r>
          </w:p>
        </w:tc>
        <w:tc>
          <w:tcPr>
            <w:tcW w:w="220" w:type="dxa"/>
            <w:vAlign w:val="bottom"/>
          </w:tcPr>
          <w:p>
            <w:pPr>
              <w:spacing w:after="0"/>
              <w:rPr>
                <w:sz w:val="19"/>
                <w:szCs w:val="19"/>
                <w:color w:val="auto"/>
              </w:rPr>
            </w:pPr>
          </w:p>
        </w:tc>
        <w:tc>
          <w:tcPr>
            <w:tcW w:w="460" w:type="dxa"/>
            <w:vAlign w:val="bottom"/>
            <w:tcBorders>
              <w:bottom w:val="single" w:sz="8" w:color="auto"/>
            </w:tcBorders>
          </w:tcPr>
          <w:p>
            <w:pPr>
              <w:jc w:val="right"/>
              <w:ind w:right="161"/>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13,249</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3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2"/>
          </w:tcPr>
          <w:p>
            <w:pPr>
              <w:ind w:left="80"/>
              <w:spacing w:after="0"/>
              <w:rPr>
                <w:sz w:val="20"/>
                <w:szCs w:val="20"/>
                <w:color w:val="auto"/>
              </w:rPr>
            </w:pPr>
            <w:r>
              <w:rPr>
                <w:rFonts w:ascii="Arial" w:cs="Arial" w:eastAsia="Arial" w:hAnsi="Arial"/>
                <w:sz w:val="20"/>
                <w:szCs w:val="20"/>
                <w:color w:val="auto"/>
              </w:rPr>
              <w:t>June 30,</w:t>
            </w:r>
          </w:p>
        </w:tc>
        <w:tc>
          <w:tcPr>
            <w:tcW w:w="1400" w:type="dxa"/>
            <w:vAlign w:val="bottom"/>
            <w:gridSpan w:val="2"/>
          </w:tcPr>
          <w:p>
            <w:pPr>
              <w:jc w:val="right"/>
              <w:ind w:right="61"/>
              <w:spacing w:after="0"/>
              <w:rPr>
                <w:sz w:val="20"/>
                <w:szCs w:val="20"/>
                <w:color w:val="auto"/>
              </w:rPr>
            </w:pPr>
            <w:r>
              <w:rPr>
                <w:rFonts w:ascii="Arial" w:cs="Arial" w:eastAsia="Arial" w:hAnsi="Arial"/>
                <w:sz w:val="20"/>
                <w:szCs w:val="20"/>
                <w:color w:val="auto"/>
                <w:w w:val="97"/>
              </w:rPr>
              <w:t>December 31,</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3640" w:type="dxa"/>
            <w:vAlign w:val="bottom"/>
            <w:vMerge w:val="restart"/>
          </w:tcPr>
          <w:p>
            <w:pPr>
              <w:spacing w:after="0"/>
              <w:rPr>
                <w:sz w:val="20"/>
                <w:szCs w:val="20"/>
                <w:color w:val="auto"/>
              </w:rPr>
            </w:pPr>
            <w:r>
              <w:rPr>
                <w:rFonts w:ascii="Arial" w:cs="Arial" w:eastAsia="Arial" w:hAnsi="Arial"/>
                <w:sz w:val="20"/>
                <w:szCs w:val="20"/>
                <w:color w:val="auto"/>
              </w:rPr>
              <w:t>Goodwill and other intangible assets:</w:t>
            </w: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2016</w:t>
            </w: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2015</w:t>
            </w: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36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360"/>
              <w:spacing w:after="0"/>
              <w:rPr>
                <w:sz w:val="20"/>
                <w:szCs w:val="20"/>
                <w:color w:val="auto"/>
              </w:rPr>
            </w:pPr>
            <w:r>
              <w:rPr>
                <w:rFonts w:ascii="Arial" w:cs="Arial" w:eastAsia="Arial" w:hAnsi="Arial"/>
                <w:sz w:val="20"/>
                <w:szCs w:val="20"/>
                <w:color w:val="auto"/>
              </w:rPr>
              <w:t>Monster Energy® Drinks</w:t>
            </w:r>
          </w:p>
        </w:tc>
        <w:tc>
          <w:tcPr>
            <w:tcW w:w="3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1,330,493</w:t>
            </w:r>
          </w:p>
        </w:tc>
        <w:tc>
          <w:tcPr>
            <w:tcW w:w="240" w:type="dxa"/>
            <w:vAlign w:val="bottom"/>
          </w:tcPr>
          <w:p>
            <w:pPr>
              <w:spacing w:after="0"/>
              <w:rPr>
                <w:sz w:val="19"/>
                <w:szCs w:val="19"/>
                <w:color w:val="auto"/>
              </w:rPr>
            </w:pPr>
          </w:p>
        </w:tc>
        <w:tc>
          <w:tcPr>
            <w:tcW w:w="3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699,346</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360"/>
              <w:spacing w:after="0"/>
              <w:rPr>
                <w:sz w:val="20"/>
                <w:szCs w:val="20"/>
                <w:color w:val="auto"/>
              </w:rPr>
            </w:pPr>
            <w:r>
              <w:rPr>
                <w:rFonts w:ascii="Arial" w:cs="Arial" w:eastAsia="Arial" w:hAnsi="Arial"/>
                <w:sz w:val="20"/>
                <w:szCs w:val="20"/>
                <w:color w:val="auto"/>
              </w:rPr>
              <w:t>Strategic Brands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1,004,995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1,008,355</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360"/>
              <w:spacing w:after="0"/>
              <w:rPr>
                <w:sz w:val="20"/>
                <w:szCs w:val="20"/>
                <w:color w:val="auto"/>
              </w:rPr>
            </w:pPr>
            <w:r>
              <w:rPr>
                <w:rFonts w:ascii="Arial" w:cs="Arial" w:eastAsia="Arial" w:hAnsi="Arial"/>
                <w:sz w:val="20"/>
                <w:szCs w:val="20"/>
                <w:color w:val="auto"/>
              </w:rPr>
              <w:t>Other</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30,306</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640" w:type="dxa"/>
            <w:vAlign w:val="bottom"/>
          </w:tcPr>
          <w:p>
            <w:pPr>
              <w:ind w:left="360"/>
              <w:spacing w:after="0"/>
              <w:rPr>
                <w:sz w:val="20"/>
                <w:szCs w:val="20"/>
                <w:color w:val="auto"/>
              </w:rPr>
            </w:pPr>
            <w:r>
              <w:rPr>
                <w:rFonts w:ascii="Arial" w:cs="Arial" w:eastAsia="Arial" w:hAnsi="Arial"/>
                <w:sz w:val="20"/>
                <w:szCs w:val="20"/>
                <w:color w:val="auto"/>
              </w:rPr>
              <w:t>Corporate and unallocated</w:t>
            </w: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640" w:type="dxa"/>
            <w:vAlign w:val="bottom"/>
          </w:tcPr>
          <w:p>
            <w:pPr>
              <w:spacing w:after="0"/>
              <w:rPr>
                <w:sz w:val="19"/>
                <w:szCs w:val="19"/>
                <w:color w:val="auto"/>
              </w:rPr>
            </w:pPr>
          </w:p>
        </w:tc>
        <w:tc>
          <w:tcPr>
            <w:tcW w:w="3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ind w:right="121"/>
              <w:spacing w:after="0" w:line="223" w:lineRule="exact"/>
              <w:rPr>
                <w:sz w:val="20"/>
                <w:szCs w:val="20"/>
                <w:color w:val="auto"/>
              </w:rPr>
            </w:pPr>
            <w:r>
              <w:rPr>
                <w:rFonts w:ascii="Arial" w:cs="Arial" w:eastAsia="Arial" w:hAnsi="Arial"/>
                <w:sz w:val="20"/>
                <w:szCs w:val="20"/>
                <w:color w:val="auto"/>
                <w:w w:val="98"/>
              </w:rPr>
              <w:t>2,365,794</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1,707,701</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Corporate and unallocated expenses for the three-months ended June 30, 2016 include $31.1 million of payroll costs, of which $11.5 million was attributable to stock-based compensation expense (see Note 14, “Stock-Based Compensation”), as well as $19.6 million attributable to professional service expenses, including accounting and legal costs, and $8.7 million of other operating expenses. Corporate and unallocated expenses for the three-months ended June 30, 2015 include $28.3 million of payroll costs, of which $8.5 million was attributable to stock-based compensation expense (see Note 14, “Stock-Based Compensation”), as well as $21.8 million attributable to professional service expenses, including accounting and legal costs, and $8.1 million of other operating expenses.</w:t>
      </w:r>
    </w:p>
    <w:p>
      <w:pPr>
        <w:spacing w:after="0" w:line="19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Corporate and unallocated expenses for the six-months ended June 30, 2016 include $59.5 million of payroll costs, of which $21.5 million was attributable to stock-based compensation expense (see Note 14, “Stock-Based Compensation”), as well as $35.5 million attributable to professional service expenses, including accounting and legal costs, and $15.2 million of other operating expenses. Corporate and unallocated expenses for the six-months ended June 30, 2015 include $56.9 million of payroll costs, of which $14.8 million was attributable to stock-based compensation expense (see Note 14, “Stock-Based Compensation”), as well as $36.3 million attributable to professional service expenses, including accounting and legal costs, and $14.9 million of other operating expenses.</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TCCC, through certain wholly-owned subsidiaries (the “TCCC Subsidiaries”), accounted for approximately 42% and 45% of the Company’s net sales for the three-months ended June 30, 2016 and 2015, respectively. The TCCC Subsidiaries accounted for approximately 44% and 40% of the Company’s net sales for the six-months ended June 30, 2016 and 2015, respectively.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Net sales to customers outside the United States amounted to $200.2 million and $151.3 million for the three-months ended June 30, 2016 and 2015, respectively. Net sales to customers outside the United States amounted to $349.3 million and $264.3 million for the six-months ended June 30, 2016 and 2015, respectively.</w:t>
      </w:r>
    </w:p>
    <w:p>
      <w:pPr>
        <w:spacing w:after="0" w:line="200" w:lineRule="exact"/>
        <w:rPr>
          <w:sz w:val="20"/>
          <w:szCs w:val="20"/>
          <w:color w:val="auto"/>
        </w:rPr>
      </w:pPr>
    </w:p>
    <w:p>
      <w:pPr>
        <w:ind w:left="640" w:hanging="632"/>
        <w:spacing w:after="0"/>
        <w:tabs>
          <w:tab w:leader="none" w:pos="6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RELATED PARTY TRANSACTIONS</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As a result of the TCCC Transaction, TCCC controls more than 10% of the voting interests of the Company. TCCC, through the TCCC Subsidiaries and through certain of its affiliated companies (the “TCCC Affiliates”) purchases and distributes certain of the Company’s products both domestically and in certain international territories. The Company also pays TCCC a commission based on certain sales within the TCCC bottling network.</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TCCC commissions, based on sales to the TCCC Affiliates for the three-months ended June 30, 2016 and 2015, were $8.3 million and $1.8 million respectively. TCCC commissions, based on sales to the TCCC Affiliates for the six-months ended June 30, 2016 and 2015, were $10.9 million and $1.8 million, respectively.</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TCCC commissions, based on sales to the TCCC Subsidiaries, are accounted for as a reduction to revenue and are reported in net sales to the TCCC Subsidiaries. Net sales to the TCCC Subsidiaries for the three-months ended June 30, 2016 and 2015 were $344.0 million and $311.0 million, respectively. Net sales to the TCCC Subsidiaries for the six-months ended June 30, 2016 and 2015 were $659.2 million and $529.9 million, respectively.</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also purchases concentrates from TCCC which are then sold to both the TCCC Affiliates and the TCCC Subsidiaries.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Concentrate purchases from TCCC were $8.0 million and $1.1 million for the three-months ended June 30, 2016 and 2015, respectively.</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Concentrate purchases from TCCC were $14.7 million and $1.1 million for the six-months ended June 30, 2016 and 2015, respectively.</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A certain TCCC Subsidiary also contract manufactures certain of the Company’s Monster Energy® brand energy drinks. Contract manufacturing expenses were $2.2 million and $1.1 million for the three-months ended June 30, 2016 and 2015, respectively. Contract manufacturing expenses were $3.8 million and $3.4 million for the six-months ended June 30, 2016 and 2015, respectively.</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Accounts receivable, accounts payable and accrued promotional allowances related to the TCCC Subsidiaries are as follows at:</w:t>
      </w:r>
    </w:p>
    <w:p>
      <w:pPr>
        <w:spacing w:after="0" w:line="229" w:lineRule="exact"/>
        <w:rPr>
          <w:sz w:val="20"/>
          <w:szCs w:val="20"/>
          <w:color w:val="auto"/>
        </w:rPr>
      </w:pPr>
    </w:p>
    <w:p>
      <w:pPr>
        <w:ind w:left="5280"/>
        <w:spacing w:after="0"/>
        <w:tabs>
          <w:tab w:leader="none" w:pos="6480" w:val="left"/>
        </w:tabs>
        <w:rPr>
          <w:sz w:val="20"/>
          <w:szCs w:val="20"/>
          <w:color w:val="auto"/>
        </w:rPr>
      </w:pPr>
      <w:r>
        <w:rPr>
          <w:rFonts w:ascii="Arial" w:cs="Arial" w:eastAsia="Arial" w:hAnsi="Arial"/>
          <w:sz w:val="20"/>
          <w:szCs w:val="20"/>
          <w:color w:val="auto"/>
        </w:rPr>
        <w:t>June 30,</w:t>
      </w:r>
      <w:r>
        <w:rPr>
          <w:sz w:val="20"/>
          <w:szCs w:val="20"/>
          <w:color w:val="auto"/>
        </w:rPr>
        <w:tab/>
      </w:r>
      <w:r>
        <w:rPr>
          <w:rFonts w:ascii="Arial" w:cs="Arial" w:eastAsia="Arial" w:hAnsi="Arial"/>
          <w:sz w:val="16"/>
          <w:szCs w:val="16"/>
          <w:color w:val="auto"/>
        </w:rPr>
        <w:t>December 31,</w:t>
      </w:r>
    </w:p>
    <w:p>
      <w:pPr>
        <w:sectPr>
          <w:pgSz w:w="11900" w:h="16838" w:orient="portrait"/>
          <w:cols w:equalWidth="0" w:num="1">
            <w:col w:w="11420"/>
          </w:cols>
          <w:pgMar w:left="240" w:top="121" w:right="239" w:bottom="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48"/>
        </w:trPr>
        <w:tc>
          <w:tcPr>
            <w:tcW w:w="50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3"/>
              <w:spacing w:after="0"/>
              <w:rPr>
                <w:sz w:val="20"/>
                <w:szCs w:val="20"/>
                <w:color w:val="auto"/>
              </w:rPr>
            </w:pPr>
            <w:r>
              <w:rPr>
                <w:rFonts w:ascii="Arial" w:cs="Arial" w:eastAsia="Arial" w:hAnsi="Arial"/>
                <w:sz w:val="20"/>
                <w:szCs w:val="20"/>
                <w:color w:val="auto"/>
              </w:rPr>
              <w:t>2016</w:t>
            </w:r>
          </w:p>
        </w:tc>
        <w:tc>
          <w:tcPr>
            <w:tcW w:w="1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2015</w:t>
            </w:r>
          </w:p>
        </w:tc>
        <w:tc>
          <w:tcPr>
            <w:tcW w:w="3720" w:type="dxa"/>
            <w:vAlign w:val="bottom"/>
          </w:tcPr>
          <w:p>
            <w:pPr>
              <w:spacing w:after="0"/>
              <w:rPr>
                <w:sz w:val="21"/>
                <w:szCs w:val="21"/>
                <w:color w:val="auto"/>
              </w:rPr>
            </w:pPr>
          </w:p>
        </w:tc>
      </w:tr>
      <w:tr>
        <w:trPr>
          <w:trHeight w:val="422"/>
        </w:trPr>
        <w:tc>
          <w:tcPr>
            <w:tcW w:w="5020" w:type="dxa"/>
            <w:vAlign w:val="bottom"/>
          </w:tcPr>
          <w:p>
            <w:pPr>
              <w:ind w:left="660"/>
              <w:spacing w:after="0"/>
              <w:rPr>
                <w:sz w:val="20"/>
                <w:szCs w:val="20"/>
                <w:color w:val="auto"/>
              </w:rPr>
            </w:pPr>
            <w:r>
              <w:rPr>
                <w:rFonts w:ascii="Arial" w:cs="Arial" w:eastAsia="Arial" w:hAnsi="Arial"/>
                <w:sz w:val="20"/>
                <w:szCs w:val="20"/>
                <w:color w:val="auto"/>
              </w:rPr>
              <w:t>Accounts receivable, net</w:t>
            </w:r>
          </w:p>
        </w:tc>
        <w:tc>
          <w:tcPr>
            <w:tcW w:w="3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197,764</w:t>
            </w:r>
          </w:p>
        </w:tc>
        <w:tc>
          <w:tcPr>
            <w:tcW w:w="180" w:type="dxa"/>
            <w:vAlign w:val="bottom"/>
          </w:tcPr>
          <w:p>
            <w:pPr>
              <w:spacing w:after="0"/>
              <w:rPr>
                <w:sz w:val="24"/>
                <w:szCs w:val="24"/>
                <w:color w:val="auto"/>
              </w:rPr>
            </w:pPr>
          </w:p>
        </w:tc>
        <w:tc>
          <w:tcPr>
            <w:tcW w:w="3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172,201</w:t>
            </w:r>
          </w:p>
        </w:tc>
        <w:tc>
          <w:tcPr>
            <w:tcW w:w="3720" w:type="dxa"/>
            <w:vAlign w:val="bottom"/>
          </w:tcPr>
          <w:p>
            <w:pPr>
              <w:spacing w:after="0"/>
              <w:rPr>
                <w:sz w:val="24"/>
                <w:szCs w:val="24"/>
                <w:color w:val="auto"/>
              </w:rPr>
            </w:pPr>
          </w:p>
        </w:tc>
      </w:tr>
      <w:tr>
        <w:trPr>
          <w:trHeight w:val="230"/>
        </w:trPr>
        <w:tc>
          <w:tcPr>
            <w:tcW w:w="5020" w:type="dxa"/>
            <w:vAlign w:val="bottom"/>
          </w:tcPr>
          <w:p>
            <w:pPr>
              <w:ind w:left="660"/>
              <w:spacing w:after="0"/>
              <w:rPr>
                <w:sz w:val="20"/>
                <w:szCs w:val="20"/>
                <w:color w:val="auto"/>
              </w:rPr>
            </w:pPr>
            <w:r>
              <w:rPr>
                <w:rFonts w:ascii="Arial" w:cs="Arial" w:eastAsia="Arial" w:hAnsi="Arial"/>
                <w:sz w:val="20"/>
                <w:szCs w:val="20"/>
                <w:color w:val="auto"/>
              </w:rPr>
              <w:t>Accounts payable</w:t>
            </w:r>
          </w:p>
        </w:tc>
        <w:tc>
          <w:tcPr>
            <w:tcW w:w="3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63,337</w:t>
            </w:r>
          </w:p>
        </w:tc>
        <w:tc>
          <w:tcPr>
            <w:tcW w:w="180" w:type="dxa"/>
            <w:vAlign w:val="bottom"/>
          </w:tcPr>
          <w:p>
            <w:pPr>
              <w:spacing w:after="0"/>
              <w:rPr>
                <w:sz w:val="19"/>
                <w:szCs w:val="19"/>
                <w:color w:val="auto"/>
              </w:rPr>
            </w:pPr>
          </w:p>
        </w:tc>
        <w:tc>
          <w:tcPr>
            <w:tcW w:w="3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58,579</w:t>
            </w:r>
          </w:p>
        </w:tc>
        <w:tc>
          <w:tcPr>
            <w:tcW w:w="3720" w:type="dxa"/>
            <w:vAlign w:val="bottom"/>
          </w:tcPr>
          <w:p>
            <w:pPr>
              <w:spacing w:after="0"/>
              <w:rPr>
                <w:sz w:val="19"/>
                <w:szCs w:val="19"/>
                <w:color w:val="auto"/>
              </w:rPr>
            </w:pPr>
          </w:p>
        </w:tc>
      </w:tr>
      <w:tr>
        <w:trPr>
          <w:trHeight w:val="250"/>
        </w:trPr>
        <w:tc>
          <w:tcPr>
            <w:tcW w:w="5020" w:type="dxa"/>
            <w:vAlign w:val="bottom"/>
          </w:tcPr>
          <w:p>
            <w:pPr>
              <w:ind w:left="660"/>
              <w:spacing w:after="0"/>
              <w:rPr>
                <w:sz w:val="20"/>
                <w:szCs w:val="20"/>
                <w:color w:val="auto"/>
              </w:rPr>
            </w:pPr>
            <w:r>
              <w:rPr>
                <w:rFonts w:ascii="Arial" w:cs="Arial" w:eastAsia="Arial" w:hAnsi="Arial"/>
                <w:sz w:val="20"/>
                <w:szCs w:val="20"/>
                <w:color w:val="auto"/>
              </w:rPr>
              <w:t>Accrued promotional allowances</w:t>
            </w:r>
          </w:p>
        </w:tc>
        <w:tc>
          <w:tcPr>
            <w:tcW w:w="3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39,037</w:t>
            </w:r>
          </w:p>
        </w:tc>
        <w:tc>
          <w:tcPr>
            <w:tcW w:w="180" w:type="dxa"/>
            <w:vAlign w:val="bottom"/>
          </w:tcPr>
          <w:p>
            <w:pPr>
              <w:spacing w:after="0"/>
              <w:rPr>
                <w:sz w:val="21"/>
                <w:szCs w:val="21"/>
                <w:color w:val="auto"/>
              </w:rPr>
            </w:pPr>
          </w:p>
        </w:tc>
        <w:tc>
          <w:tcPr>
            <w:tcW w:w="3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27,544</w:t>
            </w:r>
          </w:p>
        </w:tc>
        <w:tc>
          <w:tcPr>
            <w:tcW w:w="3720" w:type="dxa"/>
            <w:vAlign w:val="bottom"/>
          </w:tcPr>
          <w:p>
            <w:pPr>
              <w:spacing w:after="0"/>
              <w:rPr>
                <w:sz w:val="21"/>
                <w:szCs w:val="21"/>
                <w:color w:val="auto"/>
              </w:rPr>
            </w:pPr>
          </w:p>
        </w:tc>
      </w:tr>
      <w:tr>
        <w:trPr>
          <w:trHeight w:val="428"/>
        </w:trPr>
        <w:tc>
          <w:tcPr>
            <w:tcW w:w="5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ind w:right="303"/>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132"/>
        </w:trPr>
        <w:tc>
          <w:tcPr>
            <w:tcW w:w="50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37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right="40" w:firstLine="648"/>
        <w:spacing w:after="0" w:line="282" w:lineRule="auto"/>
        <w:rPr>
          <w:sz w:val="20"/>
          <w:szCs w:val="20"/>
          <w:color w:val="auto"/>
        </w:rPr>
      </w:pPr>
      <w:r>
        <w:rPr>
          <w:rFonts w:ascii="Arial" w:cs="Arial" w:eastAsia="Arial" w:hAnsi="Arial"/>
          <w:sz w:val="18"/>
          <w:szCs w:val="18"/>
          <w:color w:val="auto"/>
        </w:rPr>
        <w:t>Two directors and officers of the Company and their families are principal owners of a company that provides promotional materials to the Company. Expenses incurred with such company in connection with promotional materials purchased during the three-months ended June 30, 2016 and 2015 were $0.2 million and $0.3 million, respectively. Expenses incurred with such company in connection with promotional materials purchased during the six-months ended June 30, 2016 and 2015 were $0.3 million and $1.2 million, respectively.</w:t>
      </w:r>
    </w:p>
    <w:p>
      <w:pPr>
        <w:spacing w:after="0" w:line="175" w:lineRule="exact"/>
        <w:rPr>
          <w:sz w:val="20"/>
          <w:szCs w:val="20"/>
          <w:color w:val="auto"/>
        </w:rPr>
      </w:pPr>
    </w:p>
    <w:p>
      <w:pPr>
        <w:ind w:left="640" w:hanging="632"/>
        <w:spacing w:after="0"/>
        <w:tabs>
          <w:tab w:leader="none" w:pos="6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SUBSEQUENT EVENTS</w:t>
      </w:r>
    </w:p>
    <w:p>
      <w:pPr>
        <w:spacing w:after="0" w:line="229"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On August 2, 2016, the Company’s Board of Directors authorized a new share repurchase program for the repurchase of up to $250.0 million of the Company’s outstanding common stock (the “August 2016 Repurchase Plan”). As of August 5, 2016, no shares have been repurchased under the August 2016 Repurchase Plan.</w:t>
      </w:r>
    </w:p>
    <w:p>
      <w:pPr>
        <w:spacing w:after="0" w:line="200" w:lineRule="exact"/>
        <w:rPr>
          <w:sz w:val="20"/>
          <w:szCs w:val="20"/>
          <w:color w:val="auto"/>
        </w:rPr>
      </w:pPr>
    </w:p>
    <w:p>
      <w:pPr>
        <w:jc w:val="both"/>
        <w:ind w:right="40" w:firstLine="648"/>
        <w:spacing w:after="0" w:line="260" w:lineRule="auto"/>
        <w:rPr>
          <w:sz w:val="20"/>
          <w:szCs w:val="20"/>
          <w:color w:val="auto"/>
        </w:rPr>
      </w:pPr>
      <w:r>
        <w:rPr>
          <w:rFonts w:ascii="Arial" w:cs="Arial" w:eastAsia="Arial" w:hAnsi="Arial"/>
          <w:sz w:val="19"/>
          <w:szCs w:val="19"/>
          <w:color w:val="auto"/>
        </w:rPr>
        <w:t>In July 2016, the Company entered into an agreement to acquire an approximately 75,425 square foot, free standing, three-story office building, including the real property thereunder and improvements thereon, located in Corona, CA adjacent to its current corporate headquarters, for a purchase price of approximately $12.6 million. The purchase is subject to various conditions precedent that must be satisfied prior to the closing. If the Company ultimately acquires the building, it intends to complete any necessary improvements and occupy the building as an extension of its existing corporate headquarters at some time in the future.</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Business</w:t>
      </w:r>
    </w:p>
    <w:p>
      <w:pPr>
        <w:spacing w:after="0" w:line="235" w:lineRule="exact"/>
        <w:rPr>
          <w:sz w:val="20"/>
          <w:szCs w:val="20"/>
          <w:color w:val="auto"/>
        </w:rPr>
      </w:pPr>
    </w:p>
    <w:p>
      <w:pPr>
        <w:jc w:val="both"/>
        <w:ind w:right="40" w:firstLine="648"/>
        <w:spacing w:after="0" w:line="246" w:lineRule="auto"/>
        <w:rPr>
          <w:sz w:val="20"/>
          <w:szCs w:val="20"/>
          <w:color w:val="auto"/>
        </w:rPr>
      </w:pPr>
      <w:r>
        <w:rPr>
          <w:rFonts w:ascii="Arial" w:cs="Arial" w:eastAsia="Arial" w:hAnsi="Arial"/>
          <w:sz w:val="20"/>
          <w:szCs w:val="20"/>
          <w:color w:val="auto"/>
        </w:rPr>
        <w:t>Monster Beverage Corporation was incorporated in Delaware on April 25, 1990. Our principal place of business is located at 1 Monster Way, Corona, California 92879 and our telephone number is (951) 739-6200. When this report uses the words “the Company”, “we”, “us”, and “our”, these words refer to Monster Beverage Corporation and its subsidiaries, unless the context otherwise requires. We are a holding company and conduct no operating business except through our consolidated subsidiaries.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Stock Repurchase</w:t>
      </w:r>
    </w:p>
    <w:p>
      <w:pPr>
        <w:spacing w:after="0" w:line="229"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9"/>
          <w:szCs w:val="19"/>
          <w:color w:val="auto"/>
        </w:rPr>
        <w:t>On April 28, 2016, the Board of Directors authorized us to commence a “modified Dutch auction” tender offer to repurchase up to $2.0 billion of our outstanding shares of common stock (the “Stock Repurchase”). The Stock Repurchase was authorized under our existing share repurchase authority and was funded with cash on hand. We commenced the tender offer in May 2016. On June 15, 2016, we accepted for payment an aggregate of 12,820,512 shares of common stock at a purchase price of $156.00 per share, for a total amount of $2.0 billion (excluding commissions), which exhausted the availability under all share repurchase plans. Such shares of common stock are included in common stock in treasury in the accompanying condensed consolidated balance sheet at June 30, 2016.</w:t>
      </w:r>
    </w:p>
    <w:p>
      <w:pPr>
        <w:spacing w:after="0" w:line="192" w:lineRule="exact"/>
        <w:rPr>
          <w:sz w:val="20"/>
          <w:szCs w:val="20"/>
          <w:color w:val="auto"/>
        </w:rPr>
      </w:pPr>
    </w:p>
    <w:p>
      <w:pPr>
        <w:jc w:val="both"/>
        <w:ind w:right="40" w:firstLine="648"/>
        <w:spacing w:after="0" w:line="260" w:lineRule="auto"/>
        <w:rPr>
          <w:sz w:val="20"/>
          <w:szCs w:val="20"/>
          <w:color w:val="auto"/>
        </w:rPr>
      </w:pPr>
      <w:r>
        <w:rPr>
          <w:rFonts w:ascii="Arial" w:cs="Arial" w:eastAsia="Arial" w:hAnsi="Arial"/>
          <w:sz w:val="20"/>
          <w:szCs w:val="20"/>
          <w:color w:val="auto"/>
        </w:rPr>
        <w:t>We incurred $1.5 million and $1.6 million in Stock Repurchase related expenses for the three- and six-months ended June 30, 2016, respectively.</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Acquisitions and Divestitures</w:t>
      </w:r>
    </w:p>
    <w:p>
      <w:pPr>
        <w:spacing w:after="0" w:line="229" w:lineRule="exact"/>
        <w:rPr>
          <w:sz w:val="20"/>
          <w:szCs w:val="20"/>
          <w:color w:val="auto"/>
        </w:rPr>
      </w:pPr>
    </w:p>
    <w:p>
      <w:pPr>
        <w:jc w:val="both"/>
        <w:ind w:right="40" w:firstLine="648"/>
        <w:spacing w:after="0" w:line="246" w:lineRule="auto"/>
        <w:rPr>
          <w:sz w:val="20"/>
          <w:szCs w:val="20"/>
          <w:color w:val="auto"/>
        </w:rPr>
      </w:pPr>
      <w:r>
        <w:rPr>
          <w:rFonts w:ascii="Arial" w:cs="Arial" w:eastAsia="Arial" w:hAnsi="Arial"/>
          <w:sz w:val="20"/>
          <w:szCs w:val="20"/>
          <w:color w:val="auto"/>
        </w:rPr>
        <w:t>On April 1, 2016, we completed our acquisition of flavor supplier and long-time business partner American Fruits &amp; Flavors (“AFF”), in an asset acquisition that brought our primary flavor supplier in-house, secured the intellectual property of our most important flavors in perpetuity and further enhanced our flavor development and global flavor footprint capabilities (the “AFF Transaction”). Pursuant to the terms of the AFF Transaction, we purchased AFF for $688.5 million in cash.</w:t>
      </w:r>
    </w:p>
    <w:p>
      <w:pPr>
        <w:spacing w:after="0" w:line="205" w:lineRule="exact"/>
        <w:rPr>
          <w:sz w:val="20"/>
          <w:szCs w:val="20"/>
          <w:color w:val="auto"/>
        </w:rPr>
      </w:pPr>
    </w:p>
    <w:p>
      <w:pPr>
        <w:jc w:val="both"/>
        <w:ind w:right="40" w:firstLine="648"/>
        <w:spacing w:after="0" w:line="243" w:lineRule="auto"/>
        <w:rPr>
          <w:sz w:val="20"/>
          <w:szCs w:val="20"/>
          <w:color w:val="auto"/>
        </w:rPr>
      </w:pPr>
      <w:r>
        <w:rPr>
          <w:rFonts w:ascii="Arial" w:cs="Arial" w:eastAsia="Arial" w:hAnsi="Arial"/>
          <w:sz w:val="20"/>
          <w:szCs w:val="20"/>
          <w:color w:val="auto"/>
        </w:rPr>
        <w:t>We accounted for the AFF Transaction in accordance with Financial Accounting Standards Board (“FASB”) Accounting Standards Codification (“ASC”) 805 “Business Combinations”. Inventory purchased under the AFF Transaction was recorded at fair value. Raw material cost savings from the AFF Transaction were minimally realized in the three-months ended June 30, 2016 as the Company’s inventory on hand prior to the AFF Transaction as well as the inventory acquired in the AFF Transaction which was recorded at fair value, were not recognized through cost of goods sold until the end of the second quarter. As of June 30, 2016, the Company’s inventory on hand is recorded at the cost to AFF.</w:t>
      </w:r>
    </w:p>
    <w:p>
      <w:pPr>
        <w:sectPr>
          <w:pgSz w:w="11900" w:h="16838" w:orient="portrait"/>
          <w:cols w:equalWidth="0" w:num="1">
            <w:col w:w="11460"/>
          </w:cols>
          <w:pgMar w:left="240" w:top="121" w:right="199" w:bottom="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color w:val="auto"/>
        </w:rPr>
        <w:t>We incurred $3.6 million and $4.5 million in AFF Transaction related expenses for the three- and six-months ended June 30, 2016.</w:t>
      </w:r>
    </w:p>
    <w:p>
      <w:pPr>
        <w:spacing w:after="0" w:line="252"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On June 12, 2015, we completed the transactions contemplated by the definitive agreements entered into with The Coca-Cola Company (“TCCC”) on August 14, 2014, which provided for a long-term strategic relationship in the global energy drink category (the “TCCC Transaction”).</w:t>
      </w:r>
    </w:p>
    <w:p>
      <w:pPr>
        <w:spacing w:after="0" w:line="200" w:lineRule="exact"/>
        <w:rPr>
          <w:sz w:val="20"/>
          <w:szCs w:val="20"/>
          <w:color w:val="auto"/>
        </w:rPr>
      </w:pPr>
    </w:p>
    <w:p>
      <w:pPr>
        <w:jc w:val="both"/>
        <w:ind w:right="40" w:firstLine="648"/>
        <w:spacing w:after="0" w:line="258" w:lineRule="auto"/>
        <w:rPr>
          <w:sz w:val="20"/>
          <w:szCs w:val="20"/>
          <w:color w:val="auto"/>
        </w:rPr>
      </w:pPr>
      <w:r>
        <w:rPr>
          <w:rFonts w:ascii="Arial" w:cs="Arial" w:eastAsia="Arial" w:hAnsi="Arial"/>
          <w:sz w:val="19"/>
          <w:szCs w:val="19"/>
          <w:color w:val="auto"/>
        </w:rPr>
        <w:t>In accordance with ASC No. 420 “Exit or Disposal Cost Obligations”, we expense distributor termination costs in the period in which the written notification of termination occurs. We incurred termination costs of $25.3 million and $12.2 million for the three-months ended June 30, 2016 and 2015, respectively. We incurred termination costs of $28.7 million and $218.2 million for the six-months ended June 30, 2016 and 2015, respectively. Such termination costs have been expensed in full and are included in operating expenses for the three- and six-months ended June 30, 2016 and 2015. In addition, we recognized as income $5.0 million in the second quarter of 2016 and $39.8 million in the first quarter of 2015, in each case, related to the accelerated amortization of the deferred revenue balances associated with certain of our prior distributors who were sent notices of termination during the first quarter of 2015.</w:t>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right="40" w:firstLine="648"/>
        <w:spacing w:after="0" w:line="260" w:lineRule="auto"/>
        <w:rPr>
          <w:sz w:val="20"/>
          <w:szCs w:val="20"/>
          <w:color w:val="auto"/>
        </w:rPr>
      </w:pPr>
      <w:r>
        <w:rPr>
          <w:rFonts w:ascii="Arial" w:cs="Arial" w:eastAsia="Arial" w:hAnsi="Arial"/>
          <w:sz w:val="20"/>
          <w:szCs w:val="20"/>
          <w:color w:val="auto"/>
        </w:rPr>
        <w:t>We incurred $11.5 million and $15.1 million in TCCC Transaction related expenses for the three- and six- months ended June 30, 2015, respectively.</w:t>
      </w:r>
    </w:p>
    <w:p>
      <w:pPr>
        <w:spacing w:after="0" w:line="190"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The following table summarizes the financial impact of the transactions discussed above for the three- and six-months ended June 30, 2016 and 2015:</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20"/>
                <w:szCs w:val="20"/>
                <w:color w:val="auto"/>
                <w:w w:val="91"/>
              </w:rPr>
              <w:t>Three-Months</w:t>
            </w:r>
          </w:p>
        </w:tc>
        <w:tc>
          <w:tcPr>
            <w:tcW w:w="1720" w:type="dxa"/>
            <w:vAlign w:val="bottom"/>
            <w:gridSpan w:val="3"/>
          </w:tcPr>
          <w:p>
            <w:pPr>
              <w:jc w:val="center"/>
              <w:ind w:right="240"/>
              <w:spacing w:after="0"/>
              <w:rPr>
                <w:sz w:val="20"/>
                <w:szCs w:val="20"/>
                <w:color w:val="auto"/>
              </w:rPr>
            </w:pPr>
            <w:r>
              <w:rPr>
                <w:rFonts w:ascii="Arial" w:cs="Arial" w:eastAsia="Arial" w:hAnsi="Arial"/>
                <w:sz w:val="20"/>
                <w:szCs w:val="20"/>
                <w:color w:val="auto"/>
                <w:w w:val="89"/>
              </w:rPr>
              <w:t>Three-Months</w:t>
            </w:r>
          </w:p>
        </w:tc>
        <w:tc>
          <w:tcPr>
            <w:tcW w:w="200" w:type="dxa"/>
            <w:vAlign w:val="bottom"/>
          </w:tcPr>
          <w:p>
            <w:pPr>
              <w:spacing w:after="0"/>
              <w:rPr>
                <w:sz w:val="19"/>
                <w:szCs w:val="19"/>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20"/>
                <w:szCs w:val="20"/>
                <w:color w:val="auto"/>
                <w:w w:val="93"/>
              </w:rPr>
              <w:t>Six-Months</w:t>
            </w:r>
          </w:p>
        </w:tc>
        <w:tc>
          <w:tcPr>
            <w:tcW w:w="200" w:type="dxa"/>
            <w:vAlign w:val="bottom"/>
          </w:tcPr>
          <w:p>
            <w:pPr>
              <w:spacing w:after="0"/>
              <w:rPr>
                <w:sz w:val="19"/>
                <w:szCs w:val="19"/>
                <w:color w:val="auto"/>
              </w:rPr>
            </w:pPr>
          </w:p>
        </w:tc>
        <w:tc>
          <w:tcPr>
            <w:tcW w:w="1160" w:type="dxa"/>
            <w:vAlign w:val="bottom"/>
          </w:tcPr>
          <w:p>
            <w:pPr>
              <w:jc w:val="right"/>
              <w:ind w:right="121"/>
              <w:spacing w:after="0"/>
              <w:rPr>
                <w:sz w:val="20"/>
                <w:szCs w:val="20"/>
                <w:color w:val="auto"/>
              </w:rPr>
            </w:pPr>
            <w:r>
              <w:rPr>
                <w:rFonts w:ascii="Arial" w:cs="Arial" w:eastAsia="Arial" w:hAnsi="Arial"/>
                <w:sz w:val="20"/>
                <w:szCs w:val="20"/>
                <w:color w:val="auto"/>
                <w:w w:val="91"/>
              </w:rPr>
              <w:t>Six-Months</w:t>
            </w:r>
          </w:p>
        </w:tc>
        <w:tc>
          <w:tcPr>
            <w:tcW w:w="0" w:type="dxa"/>
            <w:vAlign w:val="bottom"/>
          </w:tcPr>
          <w:p>
            <w:pPr>
              <w:spacing w:after="0"/>
              <w:rPr>
                <w:sz w:val="1"/>
                <w:szCs w:val="1"/>
                <w:color w:val="auto"/>
              </w:rPr>
            </w:pPr>
          </w:p>
        </w:tc>
      </w:tr>
      <w:tr>
        <w:trPr>
          <w:trHeight w:val="230"/>
        </w:trPr>
        <w:tc>
          <w:tcPr>
            <w:tcW w:w="492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Income Statement Items (in thousands):</w:t>
            </w:r>
          </w:p>
        </w:tc>
        <w:tc>
          <w:tcPr>
            <w:tcW w:w="200" w:type="dxa"/>
            <w:vAlign w:val="bottom"/>
          </w:tcPr>
          <w:p>
            <w:pPr>
              <w:spacing w:after="0"/>
              <w:rPr>
                <w:sz w:val="19"/>
                <w:szCs w:val="19"/>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20"/>
                <w:szCs w:val="20"/>
                <w:color w:val="auto"/>
                <w:w w:val="86"/>
              </w:rPr>
              <w:t>Ended</w:t>
            </w:r>
          </w:p>
        </w:tc>
        <w:tc>
          <w:tcPr>
            <w:tcW w:w="200" w:type="dxa"/>
            <w:vAlign w:val="bottom"/>
          </w:tcPr>
          <w:p>
            <w:pPr>
              <w:spacing w:after="0"/>
              <w:rPr>
                <w:sz w:val="19"/>
                <w:szCs w:val="19"/>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20"/>
                <w:szCs w:val="20"/>
                <w:color w:val="auto"/>
                <w:w w:val="86"/>
              </w:rPr>
              <w:t>Ended</w:t>
            </w:r>
          </w:p>
        </w:tc>
        <w:tc>
          <w:tcPr>
            <w:tcW w:w="200" w:type="dxa"/>
            <w:vAlign w:val="bottom"/>
          </w:tcPr>
          <w:p>
            <w:pPr>
              <w:spacing w:after="0"/>
              <w:rPr>
                <w:sz w:val="19"/>
                <w:szCs w:val="19"/>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20"/>
                <w:szCs w:val="20"/>
                <w:color w:val="auto"/>
                <w:w w:val="86"/>
              </w:rPr>
              <w:t>Ended</w:t>
            </w:r>
          </w:p>
        </w:tc>
        <w:tc>
          <w:tcPr>
            <w:tcW w:w="200" w:type="dxa"/>
            <w:vAlign w:val="bottom"/>
          </w:tcPr>
          <w:p>
            <w:pPr>
              <w:spacing w:after="0"/>
              <w:rPr>
                <w:sz w:val="19"/>
                <w:szCs w:val="19"/>
                <w:color w:val="auto"/>
              </w:rPr>
            </w:pPr>
          </w:p>
        </w:tc>
        <w:tc>
          <w:tcPr>
            <w:tcW w:w="1160" w:type="dxa"/>
            <w:vAlign w:val="bottom"/>
          </w:tcPr>
          <w:p>
            <w:pPr>
              <w:jc w:val="right"/>
              <w:ind w:right="321"/>
              <w:spacing w:after="0"/>
              <w:rPr>
                <w:sz w:val="20"/>
                <w:szCs w:val="20"/>
                <w:color w:val="auto"/>
              </w:rPr>
            </w:pPr>
            <w:r>
              <w:rPr>
                <w:rFonts w:ascii="Arial" w:cs="Arial" w:eastAsia="Arial" w:hAnsi="Arial"/>
                <w:sz w:val="20"/>
                <w:szCs w:val="20"/>
                <w:color w:val="auto"/>
              </w:rPr>
              <w:t>Ended</w:t>
            </w:r>
          </w:p>
        </w:tc>
        <w:tc>
          <w:tcPr>
            <w:tcW w:w="0" w:type="dxa"/>
            <w:vAlign w:val="bottom"/>
          </w:tcPr>
          <w:p>
            <w:pPr>
              <w:spacing w:after="0"/>
              <w:rPr>
                <w:sz w:val="1"/>
                <w:szCs w:val="1"/>
                <w:color w:val="auto"/>
              </w:rPr>
            </w:pPr>
          </w:p>
        </w:tc>
      </w:tr>
      <w:tr>
        <w:trPr>
          <w:trHeight w:val="206"/>
        </w:trPr>
        <w:tc>
          <w:tcPr>
            <w:tcW w:w="49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jc w:val="center"/>
              <w:ind w:right="440"/>
              <w:spacing w:after="0" w:line="206" w:lineRule="exact"/>
              <w:rPr>
                <w:sz w:val="20"/>
                <w:szCs w:val="20"/>
                <w:color w:val="auto"/>
              </w:rPr>
            </w:pPr>
            <w:r>
              <w:rPr>
                <w:rFonts w:ascii="Arial" w:cs="Arial" w:eastAsia="Arial" w:hAnsi="Arial"/>
                <w:sz w:val="20"/>
                <w:szCs w:val="20"/>
                <w:color w:val="auto"/>
                <w:w w:val="86"/>
              </w:rPr>
              <w:t>June 30, 2016</w:t>
            </w:r>
          </w:p>
        </w:tc>
        <w:tc>
          <w:tcPr>
            <w:tcW w:w="200" w:type="dxa"/>
            <w:vAlign w:val="bottom"/>
          </w:tcPr>
          <w:p>
            <w:pPr>
              <w:spacing w:after="0"/>
              <w:rPr>
                <w:sz w:val="17"/>
                <w:szCs w:val="17"/>
                <w:color w:val="auto"/>
              </w:rPr>
            </w:pPr>
          </w:p>
        </w:tc>
        <w:tc>
          <w:tcPr>
            <w:tcW w:w="1520" w:type="dxa"/>
            <w:vAlign w:val="bottom"/>
            <w:gridSpan w:val="2"/>
          </w:tcPr>
          <w:p>
            <w:pPr>
              <w:jc w:val="center"/>
              <w:ind w:right="420"/>
              <w:spacing w:after="0" w:line="206" w:lineRule="exact"/>
              <w:rPr>
                <w:sz w:val="20"/>
                <w:szCs w:val="20"/>
                <w:color w:val="auto"/>
              </w:rPr>
            </w:pPr>
            <w:r>
              <w:rPr>
                <w:rFonts w:ascii="Arial" w:cs="Arial" w:eastAsia="Arial" w:hAnsi="Arial"/>
                <w:sz w:val="20"/>
                <w:szCs w:val="20"/>
                <w:color w:val="auto"/>
                <w:w w:val="86"/>
              </w:rPr>
              <w:t>June 30, 2015</w:t>
            </w:r>
          </w:p>
        </w:tc>
        <w:tc>
          <w:tcPr>
            <w:tcW w:w="1580" w:type="dxa"/>
            <w:vAlign w:val="bottom"/>
            <w:gridSpan w:val="3"/>
          </w:tcPr>
          <w:p>
            <w:pPr>
              <w:jc w:val="center"/>
              <w:ind w:right="200"/>
              <w:spacing w:after="0" w:line="206" w:lineRule="exact"/>
              <w:rPr>
                <w:sz w:val="20"/>
                <w:szCs w:val="20"/>
                <w:color w:val="auto"/>
              </w:rPr>
            </w:pPr>
            <w:r>
              <w:rPr>
                <w:rFonts w:ascii="Arial" w:cs="Arial" w:eastAsia="Arial" w:hAnsi="Arial"/>
                <w:sz w:val="20"/>
                <w:szCs w:val="20"/>
                <w:color w:val="auto"/>
                <w:w w:val="86"/>
              </w:rPr>
              <w:t>June 30, 2016</w:t>
            </w:r>
          </w:p>
        </w:tc>
        <w:tc>
          <w:tcPr>
            <w:tcW w:w="1360" w:type="dxa"/>
            <w:vAlign w:val="bottom"/>
            <w:gridSpan w:val="2"/>
          </w:tcPr>
          <w:p>
            <w:pPr>
              <w:ind w:left="120"/>
              <w:spacing w:after="0" w:line="206" w:lineRule="exact"/>
              <w:rPr>
                <w:sz w:val="20"/>
                <w:szCs w:val="20"/>
                <w:color w:val="auto"/>
              </w:rPr>
            </w:pPr>
            <w:r>
              <w:rPr>
                <w:rFonts w:ascii="Arial" w:cs="Arial" w:eastAsia="Arial" w:hAnsi="Arial"/>
                <w:sz w:val="20"/>
                <w:szCs w:val="20"/>
                <w:color w:val="auto"/>
                <w:w w:val="96"/>
              </w:rPr>
              <w:t>June 30, 2015</w:t>
            </w:r>
          </w:p>
        </w:tc>
        <w:tc>
          <w:tcPr>
            <w:tcW w:w="0" w:type="dxa"/>
            <w:vAlign w:val="bottom"/>
          </w:tcPr>
          <w:p>
            <w:pPr>
              <w:spacing w:after="0"/>
              <w:rPr>
                <w:sz w:val="1"/>
                <w:szCs w:val="1"/>
                <w:color w:val="auto"/>
              </w:rPr>
            </w:pPr>
          </w:p>
        </w:tc>
      </w:tr>
      <w:tr>
        <w:trPr>
          <w:trHeight w:val="21"/>
        </w:trPr>
        <w:tc>
          <w:tcPr>
            <w:tcW w:w="33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20"/>
                <w:szCs w:val="20"/>
                <w:color w:val="auto"/>
              </w:rPr>
              <w:t>Included in Net Sales:</w:t>
            </w:r>
          </w:p>
        </w:tc>
        <w:tc>
          <w:tcPr>
            <w:tcW w:w="154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5"/>
        </w:trPr>
        <w:tc>
          <w:tcPr>
            <w:tcW w:w="338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20" w:type="dxa"/>
            <w:vAlign w:val="bottom"/>
            <w:gridSpan w:val="2"/>
          </w:tcPr>
          <w:p>
            <w:pPr>
              <w:ind w:left="340"/>
              <w:spacing w:after="0"/>
              <w:rPr>
                <w:sz w:val="20"/>
                <w:szCs w:val="20"/>
                <w:color w:val="auto"/>
              </w:rPr>
            </w:pPr>
            <w:r>
              <w:rPr>
                <w:rFonts w:ascii="Arial" w:cs="Arial" w:eastAsia="Arial" w:hAnsi="Arial"/>
                <w:sz w:val="20"/>
                <w:szCs w:val="20"/>
                <w:color w:val="auto"/>
              </w:rPr>
              <w:t>Accelerated recognition of deferred revenue</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340" w:type="dxa"/>
            <w:vAlign w:val="bottom"/>
          </w:tcPr>
          <w:p>
            <w:pPr>
              <w:jc w:val="right"/>
              <w:ind w:right="21"/>
              <w:spacing w:after="0"/>
              <w:rPr>
                <w:sz w:val="20"/>
                <w:szCs w:val="20"/>
                <w:color w:val="auto"/>
              </w:rPr>
            </w:pPr>
            <w:r>
              <w:rPr>
                <w:rFonts w:ascii="Arial" w:cs="Arial" w:eastAsia="Arial" w:hAnsi="Arial"/>
                <w:sz w:val="20"/>
                <w:szCs w:val="20"/>
                <w:color w:val="auto"/>
              </w:rPr>
              <w:t>4,963</w:t>
            </w:r>
          </w:p>
        </w:tc>
        <w:tc>
          <w:tcPr>
            <w:tcW w:w="2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4,963</w:t>
            </w:r>
          </w:p>
        </w:tc>
        <w:tc>
          <w:tcPr>
            <w:tcW w:w="220" w:type="dxa"/>
            <w:vAlign w:val="bottom"/>
          </w:tcPr>
          <w:p>
            <w:pPr>
              <w:spacing w:after="0"/>
              <w:rPr>
                <w:sz w:val="21"/>
                <w:szCs w:val="21"/>
                <w:color w:val="auto"/>
              </w:rPr>
            </w:pPr>
          </w:p>
        </w:tc>
        <w:tc>
          <w:tcPr>
            <w:tcW w:w="200" w:type="dxa"/>
            <w:vAlign w:val="bottom"/>
          </w:tcPr>
          <w:p>
            <w:pPr>
              <w:ind w:left="100"/>
              <w:spacing w:after="0"/>
              <w:rPr>
                <w:sz w:val="20"/>
                <w:szCs w:val="20"/>
                <w:color w:val="auto"/>
              </w:rPr>
            </w:pPr>
            <w:r>
              <w:rPr>
                <w:rFonts w:ascii="Arial" w:cs="Arial" w:eastAsia="Arial" w:hAnsi="Arial"/>
                <w:sz w:val="20"/>
                <w:szCs w:val="20"/>
                <w:color w:val="auto"/>
                <w:w w:val="71"/>
              </w:rPr>
              <w:t>$</w:t>
            </w: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39,761</w:t>
            </w:r>
          </w:p>
        </w:tc>
        <w:tc>
          <w:tcPr>
            <w:tcW w:w="0" w:type="dxa"/>
            <w:vAlign w:val="bottom"/>
          </w:tcPr>
          <w:p>
            <w:pPr>
              <w:spacing w:after="0"/>
              <w:rPr>
                <w:sz w:val="1"/>
                <w:szCs w:val="1"/>
                <w:color w:val="auto"/>
              </w:rPr>
            </w:pPr>
          </w:p>
        </w:tc>
      </w:tr>
      <w:tr>
        <w:trPr>
          <w:trHeight w:val="357"/>
        </w:trPr>
        <w:tc>
          <w:tcPr>
            <w:tcW w:w="4920" w:type="dxa"/>
            <w:vAlign w:val="bottom"/>
            <w:gridSpan w:val="2"/>
          </w:tcPr>
          <w:p>
            <w:pPr>
              <w:spacing w:after="0"/>
              <w:rPr>
                <w:sz w:val="20"/>
                <w:szCs w:val="20"/>
                <w:color w:val="auto"/>
              </w:rPr>
            </w:pPr>
            <w:r>
              <w:rPr>
                <w:rFonts w:ascii="Arial" w:cs="Arial" w:eastAsia="Arial" w:hAnsi="Arial"/>
                <w:sz w:val="20"/>
                <w:szCs w:val="20"/>
                <w:color w:val="auto"/>
              </w:rPr>
              <w:t>Included in Operating Expenses:</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ind w:left="340"/>
              <w:spacing w:after="0"/>
              <w:rPr>
                <w:sz w:val="20"/>
                <w:szCs w:val="20"/>
                <w:color w:val="auto"/>
              </w:rPr>
            </w:pPr>
            <w:r>
              <w:rPr>
                <w:rFonts w:ascii="Arial" w:cs="Arial" w:eastAsia="Arial" w:hAnsi="Arial"/>
                <w:sz w:val="20"/>
                <w:szCs w:val="20"/>
                <w:color w:val="auto"/>
              </w:rPr>
              <w:t>Stock Repurchase expenses</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(1,462)</w:t>
            </w:r>
          </w:p>
        </w:tc>
        <w:tc>
          <w:tcPr>
            <w:tcW w:w="2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(1,556)</w:t>
            </w:r>
          </w:p>
        </w:tc>
        <w:tc>
          <w:tcPr>
            <w:tcW w:w="220" w:type="dxa"/>
            <w:vAlign w:val="bottom"/>
          </w:tcPr>
          <w:p>
            <w:pPr>
              <w:spacing w:after="0"/>
              <w:rPr>
                <w:sz w:val="19"/>
                <w:szCs w:val="19"/>
                <w:color w:val="auto"/>
              </w:rPr>
            </w:pPr>
          </w:p>
        </w:tc>
        <w:tc>
          <w:tcPr>
            <w:tcW w:w="200" w:type="dxa"/>
            <w:vAlign w:val="bottom"/>
          </w:tcPr>
          <w:p>
            <w:pPr>
              <w:ind w:left="100"/>
              <w:spacing w:after="0"/>
              <w:rPr>
                <w:sz w:val="20"/>
                <w:szCs w:val="20"/>
                <w:color w:val="auto"/>
              </w:rPr>
            </w:pPr>
            <w:r>
              <w:rPr>
                <w:rFonts w:ascii="Arial" w:cs="Arial" w:eastAsia="Arial" w:hAnsi="Arial"/>
                <w:sz w:val="20"/>
                <w:szCs w:val="20"/>
                <w:color w:val="auto"/>
                <w:w w:val="71"/>
              </w:rPr>
              <w:t>$</w:t>
            </w: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4920" w:type="dxa"/>
            <w:vAlign w:val="bottom"/>
            <w:gridSpan w:val="2"/>
          </w:tcPr>
          <w:p>
            <w:pPr>
              <w:ind w:left="340"/>
              <w:spacing w:after="0"/>
              <w:rPr>
                <w:sz w:val="20"/>
                <w:szCs w:val="20"/>
                <w:color w:val="auto"/>
              </w:rPr>
            </w:pPr>
            <w:r>
              <w:rPr>
                <w:rFonts w:ascii="Arial" w:cs="Arial" w:eastAsia="Arial" w:hAnsi="Arial"/>
                <w:sz w:val="20"/>
                <w:szCs w:val="20"/>
                <w:color w:val="auto"/>
              </w:rPr>
              <w:t>AFF Transaction expenses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(3,631)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(4,483)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4920" w:type="dxa"/>
            <w:vAlign w:val="bottom"/>
            <w:gridSpan w:val="2"/>
          </w:tcPr>
          <w:p>
            <w:pPr>
              <w:ind w:left="340"/>
              <w:spacing w:after="0"/>
              <w:rPr>
                <w:sz w:val="20"/>
                <w:szCs w:val="20"/>
                <w:color w:val="auto"/>
              </w:rPr>
            </w:pPr>
            <w:r>
              <w:rPr>
                <w:rFonts w:ascii="Arial" w:cs="Arial" w:eastAsia="Arial" w:hAnsi="Arial"/>
                <w:sz w:val="20"/>
                <w:szCs w:val="20"/>
                <w:color w:val="auto"/>
              </w:rPr>
              <w:t>Distributor termination costs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(25,261)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(12,207)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(28,701)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(218,187)</w:t>
            </w:r>
          </w:p>
        </w:tc>
        <w:tc>
          <w:tcPr>
            <w:tcW w:w="0" w:type="dxa"/>
            <w:vAlign w:val="bottom"/>
          </w:tcPr>
          <w:p>
            <w:pPr>
              <w:spacing w:after="0"/>
              <w:rPr>
                <w:sz w:val="1"/>
                <w:szCs w:val="1"/>
                <w:color w:val="auto"/>
              </w:rPr>
            </w:pPr>
          </w:p>
        </w:tc>
      </w:tr>
      <w:tr>
        <w:trPr>
          <w:trHeight w:val="250"/>
        </w:trPr>
        <w:tc>
          <w:tcPr>
            <w:tcW w:w="4920" w:type="dxa"/>
            <w:vAlign w:val="bottom"/>
            <w:gridSpan w:val="2"/>
          </w:tcPr>
          <w:p>
            <w:pPr>
              <w:ind w:left="340"/>
              <w:spacing w:after="0"/>
              <w:rPr>
                <w:sz w:val="20"/>
                <w:szCs w:val="20"/>
                <w:color w:val="auto"/>
              </w:rPr>
            </w:pPr>
            <w:r>
              <w:rPr>
                <w:rFonts w:ascii="Arial" w:cs="Arial" w:eastAsia="Arial" w:hAnsi="Arial"/>
                <w:sz w:val="20"/>
                <w:szCs w:val="20"/>
                <w:color w:val="auto"/>
              </w:rPr>
              <w:t>TCCC Transaction expenses</w:t>
            </w:r>
          </w:p>
        </w:tc>
        <w:tc>
          <w:tcPr>
            <w:tcW w:w="200" w:type="dxa"/>
            <w:vAlign w:val="bottom"/>
          </w:tcPr>
          <w:p>
            <w:pPr>
              <w:spacing w:after="0"/>
              <w:rPr>
                <w:sz w:val="21"/>
                <w:szCs w:val="21"/>
                <w:color w:val="auto"/>
              </w:rPr>
            </w:pPr>
          </w:p>
        </w:tc>
        <w:tc>
          <w:tcPr>
            <w:tcW w:w="1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(11,536)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(15,134)</w:t>
            </w:r>
          </w:p>
        </w:tc>
        <w:tc>
          <w:tcPr>
            <w:tcW w:w="0" w:type="dxa"/>
            <w:vAlign w:val="bottom"/>
          </w:tcPr>
          <w:p>
            <w:pPr>
              <w:spacing w:after="0"/>
              <w:rPr>
                <w:sz w:val="1"/>
                <w:szCs w:val="1"/>
                <w:color w:val="auto"/>
              </w:rPr>
            </w:pPr>
          </w:p>
        </w:tc>
      </w:tr>
      <w:tr>
        <w:trPr>
          <w:trHeight w:val="378"/>
        </w:trPr>
        <w:tc>
          <w:tcPr>
            <w:tcW w:w="4920" w:type="dxa"/>
            <w:vAlign w:val="bottom"/>
            <w:gridSpan w:val="2"/>
          </w:tcPr>
          <w:p>
            <w:pPr>
              <w:spacing w:after="0"/>
              <w:rPr>
                <w:sz w:val="20"/>
                <w:szCs w:val="20"/>
                <w:color w:val="auto"/>
              </w:rPr>
            </w:pPr>
            <w:r>
              <w:rPr>
                <w:rFonts w:ascii="Arial" w:cs="Arial" w:eastAsia="Arial" w:hAnsi="Arial"/>
                <w:sz w:val="20"/>
                <w:szCs w:val="20"/>
                <w:color w:val="auto"/>
              </w:rPr>
              <w:t>Gain on sale of Monster Non-Energy</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ind w:right="21"/>
              <w:spacing w:after="0"/>
              <w:rPr>
                <w:sz w:val="20"/>
                <w:szCs w:val="20"/>
                <w:color w:val="auto"/>
              </w:rPr>
            </w:pPr>
            <w:r>
              <w:rPr>
                <w:rFonts w:ascii="Arial" w:cs="Arial" w:eastAsia="Arial" w:hAnsi="Arial"/>
                <w:sz w:val="20"/>
                <w:szCs w:val="20"/>
                <w:color w:val="auto"/>
              </w:rPr>
              <w:t>161,470</w:t>
            </w:r>
          </w:p>
        </w:tc>
        <w:tc>
          <w:tcPr>
            <w:tcW w:w="2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4"/>
                <w:szCs w:val="24"/>
                <w:color w:val="auto"/>
              </w:rPr>
            </w:pPr>
          </w:p>
        </w:tc>
        <w:tc>
          <w:tcPr>
            <w:tcW w:w="200" w:type="dxa"/>
            <w:vAlign w:val="bottom"/>
          </w:tcPr>
          <w:p>
            <w:pPr>
              <w:ind w:left="100"/>
              <w:spacing w:after="0"/>
              <w:rPr>
                <w:sz w:val="20"/>
                <w:szCs w:val="20"/>
                <w:color w:val="auto"/>
              </w:rPr>
            </w:pPr>
            <w:r>
              <w:rPr>
                <w:rFonts w:ascii="Arial" w:cs="Arial" w:eastAsia="Arial" w:hAnsi="Arial"/>
                <w:sz w:val="20"/>
                <w:szCs w:val="20"/>
                <w:color w:val="auto"/>
                <w:w w:val="71"/>
              </w:rPr>
              <w:t>$</w:t>
            </w: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161,470</w:t>
            </w:r>
          </w:p>
        </w:tc>
        <w:tc>
          <w:tcPr>
            <w:tcW w:w="0" w:type="dxa"/>
            <w:vAlign w:val="bottom"/>
          </w:tcPr>
          <w:p>
            <w:pPr>
              <w:spacing w:after="0"/>
              <w:rPr>
                <w:sz w:val="1"/>
                <w:szCs w:val="1"/>
                <w:color w:val="auto"/>
              </w:rPr>
            </w:pPr>
          </w:p>
        </w:tc>
      </w:tr>
      <w:tr>
        <w:trPr>
          <w:trHeight w:val="145"/>
        </w:trPr>
        <w:tc>
          <w:tcPr>
            <w:tcW w:w="4920" w:type="dxa"/>
            <w:vAlign w:val="bottom"/>
            <w:gridSpan w:val="2"/>
            <w:vMerge w:val="restart"/>
          </w:tcPr>
          <w:p>
            <w:pPr>
              <w:spacing w:after="0"/>
              <w:rPr>
                <w:sz w:val="20"/>
                <w:szCs w:val="20"/>
                <w:color w:val="auto"/>
              </w:rPr>
            </w:pPr>
            <w:r>
              <w:rPr>
                <w:rFonts w:ascii="Arial" w:cs="Arial" w:eastAsia="Arial" w:hAnsi="Arial"/>
                <w:sz w:val="20"/>
                <w:szCs w:val="20"/>
                <w:color w:val="auto"/>
              </w:rPr>
              <w:t>Net Impact on Operating Income</w:t>
            </w:r>
          </w:p>
        </w:tc>
        <w:tc>
          <w:tcPr>
            <w:tcW w:w="2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920" w:type="dxa"/>
            <w:vAlign w:val="bottom"/>
            <w:gridSpan w:val="2"/>
            <w:vMerge w:val="continue"/>
          </w:tcPr>
          <w:p>
            <w:pPr>
              <w:spacing w:after="0"/>
              <w:rPr>
                <w:sz w:val="19"/>
                <w:szCs w:val="19"/>
                <w:color w:val="auto"/>
              </w:rPr>
            </w:pPr>
          </w:p>
        </w:tc>
        <w:tc>
          <w:tcPr>
            <w:tcW w:w="2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3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(25,391)</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137,727</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(29,777)</w:t>
            </w:r>
          </w:p>
        </w:tc>
        <w:tc>
          <w:tcPr>
            <w:tcW w:w="220" w:type="dxa"/>
            <w:vAlign w:val="bottom"/>
          </w:tcPr>
          <w:p>
            <w:pPr>
              <w:spacing w:after="0"/>
              <w:rPr>
                <w:sz w:val="19"/>
                <w:szCs w:val="19"/>
                <w:color w:val="auto"/>
              </w:rPr>
            </w:pPr>
          </w:p>
        </w:tc>
        <w:tc>
          <w:tcPr>
            <w:tcW w:w="200" w:type="dxa"/>
            <w:vAlign w:val="bottom"/>
            <w:tcBorders>
              <w:bottom w:val="single" w:sz="8" w:color="auto"/>
            </w:tcBorders>
          </w:tcPr>
          <w:p>
            <w:pPr>
              <w:ind w:left="100"/>
              <w:spacing w:after="0" w:line="223" w:lineRule="exact"/>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(32,090)</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Overview</w:t>
      </w:r>
    </w:p>
    <w:p>
      <w:pPr>
        <w:spacing w:after="0" w:line="229"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We develop, market, sell and distribute energy drink beverages and/or concentrates for energy drink beverages, primarily under the following brand names: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53"/>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520" w:type="dxa"/>
            <w:vAlign w:val="bottom"/>
          </w:tcPr>
          <w:p>
            <w:pPr>
              <w:ind w:left="280"/>
              <w:spacing w:after="0"/>
              <w:rPr>
                <w:sz w:val="20"/>
                <w:szCs w:val="20"/>
                <w:color w:val="auto"/>
              </w:rPr>
            </w:pPr>
            <w:r>
              <w:rPr>
                <w:rFonts w:ascii="Arial" w:cs="Arial" w:eastAsia="Arial" w:hAnsi="Arial"/>
                <w:sz w:val="20"/>
                <w:szCs w:val="20"/>
                <w:color w:val="auto"/>
              </w:rPr>
              <w:t>Monster Energy®</w:t>
            </w:r>
          </w:p>
        </w:tc>
        <w:tc>
          <w:tcPr>
            <w:tcW w:w="1160" w:type="dxa"/>
            <w:vAlign w:val="bottom"/>
          </w:tcPr>
          <w:p>
            <w:pPr>
              <w:ind w:left="1000"/>
              <w:spacing w:after="0"/>
              <w:rPr>
                <w:sz w:val="20"/>
                <w:szCs w:val="20"/>
                <w:color w:val="auto"/>
              </w:rPr>
            </w:pPr>
            <w:r>
              <w:rPr>
                <w:rFonts w:ascii="Arial" w:cs="Arial" w:eastAsia="Arial" w:hAnsi="Arial"/>
                <w:sz w:val="22"/>
                <w:szCs w:val="22"/>
                <w:color w:val="auto"/>
              </w:rPr>
              <w:t>·</w:t>
            </w:r>
          </w:p>
        </w:tc>
        <w:tc>
          <w:tcPr>
            <w:tcW w:w="2060" w:type="dxa"/>
            <w:vAlign w:val="bottom"/>
          </w:tcPr>
          <w:p>
            <w:pPr>
              <w:ind w:left="100"/>
              <w:spacing w:after="0"/>
              <w:rPr>
                <w:sz w:val="20"/>
                <w:szCs w:val="20"/>
                <w:color w:val="auto"/>
              </w:rPr>
            </w:pPr>
            <w:r>
              <w:rPr>
                <w:rFonts w:ascii="Arial" w:cs="Arial" w:eastAsia="Arial" w:hAnsi="Arial"/>
                <w:sz w:val="20"/>
                <w:szCs w:val="20"/>
                <w:color w:val="auto"/>
              </w:rPr>
              <w:t>Nalu®</w:t>
            </w:r>
          </w:p>
        </w:tc>
      </w:tr>
      <w:tr>
        <w:trPr>
          <w:trHeight w:val="243"/>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520" w:type="dxa"/>
            <w:vAlign w:val="bottom"/>
          </w:tcPr>
          <w:p>
            <w:pPr>
              <w:ind w:left="280"/>
              <w:spacing w:after="0"/>
              <w:rPr>
                <w:sz w:val="20"/>
                <w:szCs w:val="20"/>
                <w:color w:val="auto"/>
              </w:rPr>
            </w:pPr>
            <w:r>
              <w:rPr>
                <w:rFonts w:ascii="Arial" w:cs="Arial" w:eastAsia="Arial" w:hAnsi="Arial"/>
                <w:sz w:val="20"/>
                <w:szCs w:val="20"/>
                <w:color w:val="auto"/>
              </w:rPr>
              <w:t>Monster Rehab®</w:t>
            </w:r>
          </w:p>
        </w:tc>
        <w:tc>
          <w:tcPr>
            <w:tcW w:w="1160" w:type="dxa"/>
            <w:vAlign w:val="bottom"/>
          </w:tcPr>
          <w:p>
            <w:pPr>
              <w:ind w:left="1000"/>
              <w:spacing w:after="0" w:line="243" w:lineRule="exact"/>
              <w:rPr>
                <w:sz w:val="20"/>
                <w:szCs w:val="20"/>
                <w:color w:val="auto"/>
              </w:rPr>
            </w:pPr>
            <w:r>
              <w:rPr>
                <w:rFonts w:ascii="Arial" w:cs="Arial" w:eastAsia="Arial" w:hAnsi="Arial"/>
                <w:sz w:val="22"/>
                <w:szCs w:val="22"/>
                <w:color w:val="auto"/>
              </w:rPr>
              <w:t>·</w:t>
            </w:r>
          </w:p>
        </w:tc>
        <w:tc>
          <w:tcPr>
            <w:tcW w:w="2060" w:type="dxa"/>
            <w:vAlign w:val="bottom"/>
          </w:tcPr>
          <w:p>
            <w:pPr>
              <w:ind w:left="100"/>
              <w:spacing w:after="0"/>
              <w:rPr>
                <w:sz w:val="20"/>
                <w:szCs w:val="20"/>
                <w:color w:val="auto"/>
              </w:rPr>
            </w:pPr>
            <w:r>
              <w:rPr>
                <w:rFonts w:ascii="Arial" w:cs="Arial" w:eastAsia="Arial" w:hAnsi="Arial"/>
                <w:sz w:val="20"/>
                <w:szCs w:val="20"/>
                <w:color w:val="auto"/>
              </w:rPr>
              <w:t>NOS®</w:t>
            </w:r>
          </w:p>
        </w:tc>
      </w:tr>
      <w:tr>
        <w:trPr>
          <w:trHeight w:val="243"/>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520" w:type="dxa"/>
            <w:vAlign w:val="bottom"/>
          </w:tcPr>
          <w:p>
            <w:pPr>
              <w:ind w:left="280"/>
              <w:spacing w:after="0"/>
              <w:rPr>
                <w:sz w:val="20"/>
                <w:szCs w:val="20"/>
                <w:color w:val="auto"/>
              </w:rPr>
            </w:pPr>
            <w:r>
              <w:rPr>
                <w:rFonts w:ascii="Arial" w:cs="Arial" w:eastAsia="Arial" w:hAnsi="Arial"/>
                <w:sz w:val="20"/>
                <w:szCs w:val="20"/>
                <w:color w:val="auto"/>
              </w:rPr>
              <w:t>Monster Energy Extra Strength Nitrous Technology®</w:t>
            </w:r>
          </w:p>
        </w:tc>
        <w:tc>
          <w:tcPr>
            <w:tcW w:w="1160" w:type="dxa"/>
            <w:vAlign w:val="bottom"/>
          </w:tcPr>
          <w:p>
            <w:pPr>
              <w:ind w:left="1000"/>
              <w:spacing w:after="0" w:line="243" w:lineRule="exact"/>
              <w:rPr>
                <w:sz w:val="20"/>
                <w:szCs w:val="20"/>
                <w:color w:val="auto"/>
              </w:rPr>
            </w:pPr>
            <w:r>
              <w:rPr>
                <w:rFonts w:ascii="Arial" w:cs="Arial" w:eastAsia="Arial" w:hAnsi="Arial"/>
                <w:sz w:val="22"/>
                <w:szCs w:val="22"/>
                <w:color w:val="auto"/>
              </w:rPr>
              <w:t>·</w:t>
            </w:r>
          </w:p>
        </w:tc>
        <w:tc>
          <w:tcPr>
            <w:tcW w:w="2060" w:type="dxa"/>
            <w:vAlign w:val="bottom"/>
          </w:tcPr>
          <w:p>
            <w:pPr>
              <w:ind w:left="100"/>
              <w:spacing w:after="0"/>
              <w:rPr>
                <w:sz w:val="20"/>
                <w:szCs w:val="20"/>
                <w:color w:val="auto"/>
              </w:rPr>
            </w:pPr>
            <w:r>
              <w:rPr>
                <w:rFonts w:ascii="Arial" w:cs="Arial" w:eastAsia="Arial" w:hAnsi="Arial"/>
                <w:sz w:val="20"/>
                <w:szCs w:val="20"/>
                <w:color w:val="auto"/>
              </w:rPr>
              <w:t>Full Throttle®</w:t>
            </w:r>
          </w:p>
        </w:tc>
      </w:tr>
      <w:tr>
        <w:trPr>
          <w:trHeight w:val="243"/>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520" w:type="dxa"/>
            <w:vAlign w:val="bottom"/>
          </w:tcPr>
          <w:p>
            <w:pPr>
              <w:ind w:left="280"/>
              <w:spacing w:after="0"/>
              <w:rPr>
                <w:sz w:val="20"/>
                <w:szCs w:val="20"/>
                <w:color w:val="auto"/>
              </w:rPr>
            </w:pPr>
            <w:r>
              <w:rPr>
                <w:rFonts w:ascii="Arial" w:cs="Arial" w:eastAsia="Arial" w:hAnsi="Arial"/>
                <w:sz w:val="20"/>
                <w:szCs w:val="20"/>
                <w:color w:val="auto"/>
              </w:rPr>
              <w:t>Java Monster®</w:t>
            </w:r>
          </w:p>
        </w:tc>
        <w:tc>
          <w:tcPr>
            <w:tcW w:w="1160" w:type="dxa"/>
            <w:vAlign w:val="bottom"/>
          </w:tcPr>
          <w:p>
            <w:pPr>
              <w:ind w:left="1000"/>
              <w:spacing w:after="0" w:line="243" w:lineRule="exact"/>
              <w:rPr>
                <w:sz w:val="20"/>
                <w:szCs w:val="20"/>
                <w:color w:val="auto"/>
              </w:rPr>
            </w:pPr>
            <w:r>
              <w:rPr>
                <w:rFonts w:ascii="Arial" w:cs="Arial" w:eastAsia="Arial" w:hAnsi="Arial"/>
                <w:sz w:val="22"/>
                <w:szCs w:val="22"/>
                <w:color w:val="auto"/>
              </w:rPr>
              <w:t>·</w:t>
            </w:r>
          </w:p>
        </w:tc>
        <w:tc>
          <w:tcPr>
            <w:tcW w:w="2060" w:type="dxa"/>
            <w:vAlign w:val="bottom"/>
          </w:tcPr>
          <w:p>
            <w:pPr>
              <w:ind w:left="100"/>
              <w:spacing w:after="0"/>
              <w:rPr>
                <w:sz w:val="20"/>
                <w:szCs w:val="20"/>
                <w:color w:val="auto"/>
              </w:rPr>
            </w:pPr>
            <w:r>
              <w:rPr>
                <w:rFonts w:ascii="Arial" w:cs="Arial" w:eastAsia="Arial" w:hAnsi="Arial"/>
                <w:sz w:val="20"/>
                <w:szCs w:val="20"/>
                <w:color w:val="auto"/>
              </w:rPr>
              <w:t>Burn®</w:t>
            </w:r>
          </w:p>
        </w:tc>
      </w:tr>
      <w:tr>
        <w:trPr>
          <w:trHeight w:val="243"/>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520" w:type="dxa"/>
            <w:vAlign w:val="bottom"/>
          </w:tcPr>
          <w:p>
            <w:pPr>
              <w:ind w:left="280"/>
              <w:spacing w:after="0"/>
              <w:rPr>
                <w:sz w:val="20"/>
                <w:szCs w:val="20"/>
                <w:color w:val="auto"/>
              </w:rPr>
            </w:pPr>
            <w:r>
              <w:rPr>
                <w:rFonts w:ascii="Arial" w:cs="Arial" w:eastAsia="Arial" w:hAnsi="Arial"/>
                <w:sz w:val="20"/>
                <w:szCs w:val="20"/>
                <w:color w:val="auto"/>
              </w:rPr>
              <w:t>Muscle Monster®</w:t>
            </w:r>
          </w:p>
        </w:tc>
        <w:tc>
          <w:tcPr>
            <w:tcW w:w="1160" w:type="dxa"/>
            <w:vAlign w:val="bottom"/>
          </w:tcPr>
          <w:p>
            <w:pPr>
              <w:ind w:left="1000"/>
              <w:spacing w:after="0" w:line="243" w:lineRule="exact"/>
              <w:rPr>
                <w:sz w:val="20"/>
                <w:szCs w:val="20"/>
                <w:color w:val="auto"/>
              </w:rPr>
            </w:pPr>
            <w:r>
              <w:rPr>
                <w:rFonts w:ascii="Arial" w:cs="Arial" w:eastAsia="Arial" w:hAnsi="Arial"/>
                <w:sz w:val="22"/>
                <w:szCs w:val="22"/>
                <w:color w:val="auto"/>
              </w:rPr>
              <w:t>·</w:t>
            </w:r>
          </w:p>
        </w:tc>
        <w:tc>
          <w:tcPr>
            <w:tcW w:w="2060" w:type="dxa"/>
            <w:vAlign w:val="bottom"/>
          </w:tcPr>
          <w:p>
            <w:pPr>
              <w:ind w:left="100"/>
              <w:spacing w:after="0"/>
              <w:rPr>
                <w:sz w:val="20"/>
                <w:szCs w:val="20"/>
                <w:color w:val="auto"/>
              </w:rPr>
            </w:pPr>
            <w:r>
              <w:rPr>
                <w:rFonts w:ascii="Arial" w:cs="Arial" w:eastAsia="Arial" w:hAnsi="Arial"/>
                <w:sz w:val="20"/>
                <w:szCs w:val="20"/>
                <w:color w:val="auto"/>
              </w:rPr>
              <w:t>Mother®</w:t>
            </w:r>
          </w:p>
        </w:tc>
      </w:tr>
      <w:tr>
        <w:trPr>
          <w:trHeight w:val="243"/>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520" w:type="dxa"/>
            <w:vAlign w:val="bottom"/>
          </w:tcPr>
          <w:p>
            <w:pPr>
              <w:ind w:left="280"/>
              <w:spacing w:after="0"/>
              <w:rPr>
                <w:sz w:val="20"/>
                <w:szCs w:val="20"/>
                <w:color w:val="auto"/>
              </w:rPr>
            </w:pPr>
            <w:r>
              <w:rPr>
                <w:rFonts w:ascii="Arial" w:cs="Arial" w:eastAsia="Arial" w:hAnsi="Arial"/>
                <w:sz w:val="20"/>
                <w:szCs w:val="20"/>
                <w:color w:val="auto"/>
              </w:rPr>
              <w:t>Mega Monster Energy®</w:t>
            </w:r>
          </w:p>
        </w:tc>
        <w:tc>
          <w:tcPr>
            <w:tcW w:w="1160" w:type="dxa"/>
            <w:vAlign w:val="bottom"/>
          </w:tcPr>
          <w:p>
            <w:pPr>
              <w:ind w:left="1000"/>
              <w:spacing w:after="0" w:line="243" w:lineRule="exact"/>
              <w:rPr>
                <w:sz w:val="20"/>
                <w:szCs w:val="20"/>
                <w:color w:val="auto"/>
              </w:rPr>
            </w:pPr>
            <w:r>
              <w:rPr>
                <w:rFonts w:ascii="Arial" w:cs="Arial" w:eastAsia="Arial" w:hAnsi="Arial"/>
                <w:sz w:val="22"/>
                <w:szCs w:val="22"/>
                <w:color w:val="auto"/>
              </w:rPr>
              <w:t>·</w:t>
            </w:r>
          </w:p>
        </w:tc>
        <w:tc>
          <w:tcPr>
            <w:tcW w:w="2060" w:type="dxa"/>
            <w:vAlign w:val="bottom"/>
          </w:tcPr>
          <w:p>
            <w:pPr>
              <w:ind w:left="100"/>
              <w:spacing w:after="0"/>
              <w:rPr>
                <w:sz w:val="20"/>
                <w:szCs w:val="20"/>
                <w:color w:val="auto"/>
              </w:rPr>
            </w:pPr>
            <w:r>
              <w:rPr>
                <w:rFonts w:ascii="Arial" w:cs="Arial" w:eastAsia="Arial" w:hAnsi="Arial"/>
                <w:sz w:val="20"/>
                <w:szCs w:val="20"/>
                <w:color w:val="auto"/>
              </w:rPr>
              <w:t>Ultra®</w:t>
            </w:r>
          </w:p>
        </w:tc>
      </w:tr>
      <w:tr>
        <w:trPr>
          <w:trHeight w:val="243"/>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520" w:type="dxa"/>
            <w:vAlign w:val="bottom"/>
          </w:tcPr>
          <w:p>
            <w:pPr>
              <w:ind w:left="280"/>
              <w:spacing w:after="0"/>
              <w:rPr>
                <w:sz w:val="20"/>
                <w:szCs w:val="20"/>
                <w:color w:val="auto"/>
              </w:rPr>
            </w:pPr>
            <w:r>
              <w:rPr>
                <w:rFonts w:ascii="Arial" w:cs="Arial" w:eastAsia="Arial" w:hAnsi="Arial"/>
                <w:sz w:val="20"/>
                <w:szCs w:val="20"/>
                <w:color w:val="auto"/>
              </w:rPr>
              <w:t>Punch Monster®</w:t>
            </w:r>
          </w:p>
        </w:tc>
        <w:tc>
          <w:tcPr>
            <w:tcW w:w="3220" w:type="dxa"/>
            <w:vAlign w:val="bottom"/>
            <w:gridSpan w:val="2"/>
          </w:tcPr>
          <w:p>
            <w:pPr>
              <w:ind w:left="1000"/>
              <w:spacing w:after="0" w:line="243" w:lineRule="exact"/>
              <w:rPr>
                <w:sz w:val="20"/>
                <w:szCs w:val="20"/>
                <w:color w:val="auto"/>
              </w:rPr>
            </w:pPr>
            <w:r>
              <w:rPr>
                <w:rFonts w:ascii="Arial" w:cs="Arial" w:eastAsia="Arial" w:hAnsi="Arial"/>
                <w:sz w:val="22"/>
                <w:szCs w:val="22"/>
                <w:color w:val="auto"/>
                <w:w w:val="98"/>
              </w:rPr>
              <w:t xml:space="preserve">·  </w:t>
            </w:r>
            <w:r>
              <w:rPr>
                <w:rFonts w:ascii="Arial" w:cs="Arial" w:eastAsia="Arial" w:hAnsi="Arial"/>
                <w:sz w:val="19"/>
                <w:szCs w:val="19"/>
                <w:color w:val="auto"/>
                <w:w w:val="98"/>
              </w:rPr>
              <w:t>Play® and Power Play®</w:t>
            </w:r>
          </w:p>
        </w:tc>
      </w:tr>
      <w:tr>
        <w:trPr>
          <w:trHeight w:val="243"/>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520" w:type="dxa"/>
            <w:vAlign w:val="bottom"/>
          </w:tcPr>
          <w:p>
            <w:pPr>
              <w:ind w:left="280"/>
              <w:spacing w:after="0"/>
              <w:rPr>
                <w:sz w:val="20"/>
                <w:szCs w:val="20"/>
                <w:color w:val="auto"/>
              </w:rPr>
            </w:pPr>
            <w:r>
              <w:rPr>
                <w:rFonts w:ascii="Arial" w:cs="Arial" w:eastAsia="Arial" w:hAnsi="Arial"/>
                <w:sz w:val="20"/>
                <w:szCs w:val="20"/>
                <w:color w:val="auto"/>
              </w:rPr>
              <w:t>Juice Monster®</w:t>
            </w:r>
          </w:p>
        </w:tc>
        <w:tc>
          <w:tcPr>
            <w:tcW w:w="1160" w:type="dxa"/>
            <w:vAlign w:val="bottom"/>
          </w:tcPr>
          <w:p>
            <w:pPr>
              <w:ind w:left="1000"/>
              <w:spacing w:after="0" w:line="243" w:lineRule="exact"/>
              <w:rPr>
                <w:sz w:val="20"/>
                <w:szCs w:val="20"/>
                <w:color w:val="auto"/>
              </w:rPr>
            </w:pPr>
            <w:r>
              <w:rPr>
                <w:rFonts w:ascii="Arial" w:cs="Arial" w:eastAsia="Arial" w:hAnsi="Arial"/>
                <w:sz w:val="22"/>
                <w:szCs w:val="22"/>
                <w:color w:val="auto"/>
              </w:rPr>
              <w:t>·</w:t>
            </w:r>
          </w:p>
        </w:tc>
        <w:tc>
          <w:tcPr>
            <w:tcW w:w="2060" w:type="dxa"/>
            <w:vAlign w:val="bottom"/>
          </w:tcPr>
          <w:p>
            <w:pPr>
              <w:ind w:left="100"/>
              <w:spacing w:after="0"/>
              <w:rPr>
                <w:sz w:val="20"/>
                <w:szCs w:val="20"/>
                <w:color w:val="auto"/>
              </w:rPr>
            </w:pPr>
            <w:r>
              <w:rPr>
                <w:rFonts w:ascii="Arial" w:cs="Arial" w:eastAsia="Arial" w:hAnsi="Arial"/>
                <w:sz w:val="20"/>
                <w:szCs w:val="20"/>
                <w:color w:val="auto"/>
              </w:rPr>
              <w:t>Gladiator®</w:t>
            </w:r>
          </w:p>
        </w:tc>
      </w:tr>
      <w:tr>
        <w:trPr>
          <w:trHeight w:val="243"/>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520" w:type="dxa"/>
            <w:vAlign w:val="bottom"/>
          </w:tcPr>
          <w:p>
            <w:pPr>
              <w:ind w:left="280"/>
              <w:spacing w:after="0"/>
              <w:rPr>
                <w:sz w:val="20"/>
                <w:szCs w:val="20"/>
                <w:color w:val="auto"/>
              </w:rPr>
            </w:pPr>
            <w:r>
              <w:rPr>
                <w:rFonts w:ascii="Arial" w:cs="Arial" w:eastAsia="Arial" w:hAnsi="Arial"/>
                <w:sz w:val="20"/>
                <w:szCs w:val="20"/>
                <w:color w:val="auto"/>
              </w:rPr>
              <w:t>M3®</w:t>
            </w:r>
          </w:p>
        </w:tc>
        <w:tc>
          <w:tcPr>
            <w:tcW w:w="1160" w:type="dxa"/>
            <w:vAlign w:val="bottom"/>
          </w:tcPr>
          <w:p>
            <w:pPr>
              <w:ind w:left="1000"/>
              <w:spacing w:after="0" w:line="243" w:lineRule="exact"/>
              <w:rPr>
                <w:sz w:val="20"/>
                <w:szCs w:val="20"/>
                <w:color w:val="auto"/>
              </w:rPr>
            </w:pPr>
            <w:r>
              <w:rPr>
                <w:rFonts w:ascii="Arial" w:cs="Arial" w:eastAsia="Arial" w:hAnsi="Arial"/>
                <w:sz w:val="22"/>
                <w:szCs w:val="22"/>
                <w:color w:val="auto"/>
              </w:rPr>
              <w:t>·</w:t>
            </w:r>
          </w:p>
        </w:tc>
        <w:tc>
          <w:tcPr>
            <w:tcW w:w="2060" w:type="dxa"/>
            <w:vAlign w:val="bottom"/>
          </w:tcPr>
          <w:p>
            <w:pPr>
              <w:ind w:left="100"/>
              <w:spacing w:after="0"/>
              <w:rPr>
                <w:sz w:val="20"/>
                <w:szCs w:val="20"/>
                <w:color w:val="auto"/>
              </w:rPr>
            </w:pPr>
            <w:r>
              <w:rPr>
                <w:rFonts w:ascii="Arial" w:cs="Arial" w:eastAsia="Arial" w:hAnsi="Arial"/>
                <w:sz w:val="20"/>
                <w:szCs w:val="20"/>
                <w:color w:val="auto"/>
              </w:rPr>
              <w:t>Relentless®</w:t>
            </w:r>
          </w:p>
        </w:tc>
      </w:tr>
      <w:tr>
        <w:trPr>
          <w:trHeight w:val="243"/>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520" w:type="dxa"/>
            <w:vAlign w:val="bottom"/>
          </w:tcPr>
          <w:p>
            <w:pPr>
              <w:ind w:left="280"/>
              <w:spacing w:after="0"/>
              <w:rPr>
                <w:sz w:val="20"/>
                <w:szCs w:val="20"/>
                <w:color w:val="auto"/>
              </w:rPr>
            </w:pPr>
            <w:r>
              <w:rPr>
                <w:rFonts w:ascii="Arial" w:cs="Arial" w:eastAsia="Arial" w:hAnsi="Arial"/>
                <w:sz w:val="20"/>
                <w:szCs w:val="20"/>
                <w:color w:val="auto"/>
              </w:rPr>
              <w:t>Übermonster®</w:t>
            </w:r>
          </w:p>
        </w:tc>
        <w:tc>
          <w:tcPr>
            <w:tcW w:w="1160" w:type="dxa"/>
            <w:vAlign w:val="bottom"/>
          </w:tcPr>
          <w:p>
            <w:pPr>
              <w:ind w:left="1000"/>
              <w:spacing w:after="0" w:line="243" w:lineRule="exact"/>
              <w:rPr>
                <w:sz w:val="20"/>
                <w:szCs w:val="20"/>
                <w:color w:val="auto"/>
              </w:rPr>
            </w:pPr>
            <w:r>
              <w:rPr>
                <w:rFonts w:ascii="Arial" w:cs="Arial" w:eastAsia="Arial" w:hAnsi="Arial"/>
                <w:sz w:val="22"/>
                <w:szCs w:val="22"/>
                <w:color w:val="auto"/>
              </w:rPr>
              <w:t>·</w:t>
            </w:r>
          </w:p>
        </w:tc>
        <w:tc>
          <w:tcPr>
            <w:tcW w:w="2060" w:type="dxa"/>
            <w:vAlign w:val="bottom"/>
          </w:tcPr>
          <w:p>
            <w:pPr>
              <w:ind w:left="100"/>
              <w:spacing w:after="0"/>
              <w:rPr>
                <w:sz w:val="20"/>
                <w:szCs w:val="20"/>
                <w:color w:val="auto"/>
              </w:rPr>
            </w:pPr>
            <w:r>
              <w:rPr>
                <w:rFonts w:ascii="Arial" w:cs="Arial" w:eastAsia="Arial" w:hAnsi="Arial"/>
                <w:sz w:val="20"/>
                <w:szCs w:val="20"/>
                <w:color w:val="auto"/>
              </w:rPr>
              <w:t>Samurai®</w:t>
            </w:r>
          </w:p>
        </w:tc>
      </w:tr>
      <w:tr>
        <w:trPr>
          <w:trHeight w:val="275"/>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520" w:type="dxa"/>
            <w:vAlign w:val="bottom"/>
          </w:tcPr>
          <w:p>
            <w:pPr>
              <w:ind w:left="280"/>
              <w:spacing w:after="0"/>
              <w:rPr>
                <w:sz w:val="20"/>
                <w:szCs w:val="20"/>
                <w:color w:val="auto"/>
              </w:rPr>
            </w:pPr>
            <w:r>
              <w:rPr>
                <w:rFonts w:ascii="Arial" w:cs="Arial" w:eastAsia="Arial" w:hAnsi="Arial"/>
                <w:sz w:val="20"/>
                <w:szCs w:val="20"/>
                <w:color w:val="auto"/>
              </w:rPr>
              <w:t>BU®</w:t>
            </w:r>
          </w:p>
        </w:tc>
        <w:tc>
          <w:tcPr>
            <w:tcW w:w="1160" w:type="dxa"/>
            <w:vAlign w:val="bottom"/>
          </w:tcPr>
          <w:p>
            <w:pPr>
              <w:ind w:left="1000"/>
              <w:spacing w:after="0"/>
              <w:rPr>
                <w:sz w:val="20"/>
                <w:szCs w:val="20"/>
                <w:color w:val="auto"/>
              </w:rPr>
            </w:pPr>
            <w:r>
              <w:rPr>
                <w:rFonts w:ascii="Arial" w:cs="Arial" w:eastAsia="Arial" w:hAnsi="Arial"/>
                <w:sz w:val="22"/>
                <w:szCs w:val="22"/>
                <w:color w:val="auto"/>
              </w:rPr>
              <w:t>·</w:t>
            </w:r>
          </w:p>
        </w:tc>
        <w:tc>
          <w:tcPr>
            <w:tcW w:w="2060" w:type="dxa"/>
            <w:vAlign w:val="bottom"/>
          </w:tcPr>
          <w:p>
            <w:pPr>
              <w:ind w:left="100"/>
              <w:spacing w:after="0"/>
              <w:rPr>
                <w:sz w:val="20"/>
                <w:szCs w:val="20"/>
                <w:color w:val="auto"/>
              </w:rPr>
            </w:pPr>
            <w:r>
              <w:rPr>
                <w:rFonts w:ascii="Arial" w:cs="Arial" w:eastAsia="Arial" w:hAnsi="Arial"/>
                <w:sz w:val="20"/>
                <w:szCs w:val="20"/>
                <w:color w:val="auto"/>
              </w:rPr>
              <w:t>BPM®</w:t>
            </w:r>
          </w:p>
        </w:tc>
      </w:tr>
    </w:tbl>
    <w:p>
      <w:pPr>
        <w:spacing w:after="0" w:line="203"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Our Monster Energy® brand energy drinks, which represented 89.8% and 93.9% of our net sales for the three-months ended June 30, 2016 and 2015, respectively, primarily include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60" w:type="dxa"/>
            <w:vAlign w:val="bottom"/>
          </w:tcPr>
          <w:p>
            <w:pPr>
              <w:jc w:val="right"/>
              <w:ind w:right="172"/>
              <w:spacing w:after="0"/>
              <w:rPr>
                <w:sz w:val="20"/>
                <w:szCs w:val="20"/>
                <w:color w:val="auto"/>
              </w:rPr>
            </w:pPr>
            <w:r>
              <w:rPr>
                <w:rFonts w:ascii="Arial" w:cs="Arial" w:eastAsia="Arial" w:hAnsi="Arial"/>
                <w:sz w:val="22"/>
                <w:szCs w:val="22"/>
                <w:color w:val="auto"/>
              </w:rPr>
              <w:t>·</w:t>
            </w:r>
          </w:p>
        </w:tc>
        <w:tc>
          <w:tcPr>
            <w:tcW w:w="3700" w:type="dxa"/>
            <w:vAlign w:val="bottom"/>
          </w:tcPr>
          <w:p>
            <w:pPr>
              <w:ind w:left="280"/>
              <w:spacing w:after="0"/>
              <w:rPr>
                <w:sz w:val="20"/>
                <w:szCs w:val="20"/>
                <w:color w:val="auto"/>
              </w:rPr>
            </w:pPr>
            <w:r>
              <w:rPr>
                <w:rFonts w:ascii="Arial" w:cs="Arial" w:eastAsia="Arial" w:hAnsi="Arial"/>
                <w:sz w:val="20"/>
                <w:szCs w:val="20"/>
                <w:color w:val="auto"/>
              </w:rPr>
              <w:t>Monster Energy®</w:t>
            </w:r>
          </w:p>
        </w:tc>
        <w:tc>
          <w:tcPr>
            <w:tcW w:w="3160" w:type="dxa"/>
            <w:vAlign w:val="bottom"/>
          </w:tcPr>
          <w:p>
            <w:pPr>
              <w:jc w:val="right"/>
              <w:ind w:right="176"/>
              <w:spacing w:after="0"/>
              <w:rPr>
                <w:sz w:val="20"/>
                <w:szCs w:val="20"/>
                <w:color w:val="auto"/>
              </w:rPr>
            </w:pPr>
            <w:r>
              <w:rPr>
                <w:rFonts w:ascii="Arial" w:cs="Arial" w:eastAsia="Arial" w:hAnsi="Arial"/>
                <w:sz w:val="22"/>
                <w:szCs w:val="22"/>
                <w:color w:val="auto"/>
              </w:rPr>
              <w:t>·</w:t>
            </w:r>
          </w:p>
        </w:tc>
        <w:tc>
          <w:tcPr>
            <w:tcW w:w="3940" w:type="dxa"/>
            <w:vAlign w:val="bottom"/>
          </w:tcPr>
          <w:p>
            <w:pPr>
              <w:ind w:left="260"/>
              <w:spacing w:after="0"/>
              <w:rPr>
                <w:sz w:val="20"/>
                <w:szCs w:val="20"/>
                <w:color w:val="auto"/>
              </w:rPr>
            </w:pPr>
            <w:r>
              <w:rPr>
                <w:rFonts w:ascii="Arial" w:cs="Arial" w:eastAsia="Arial" w:hAnsi="Arial"/>
                <w:sz w:val="20"/>
                <w:szCs w:val="20"/>
                <w:color w:val="auto"/>
              </w:rPr>
              <w:t>Java Monster® Kona Blend</w:t>
            </w:r>
          </w:p>
        </w:tc>
      </w:tr>
      <w:tr>
        <w:trPr>
          <w:trHeight w:val="243"/>
        </w:trPr>
        <w:tc>
          <w:tcPr>
            <w:tcW w:w="6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w:t>
            </w:r>
          </w:p>
        </w:tc>
        <w:tc>
          <w:tcPr>
            <w:tcW w:w="3700" w:type="dxa"/>
            <w:vAlign w:val="bottom"/>
          </w:tcPr>
          <w:p>
            <w:pPr>
              <w:ind w:left="280"/>
              <w:spacing w:after="0"/>
              <w:rPr>
                <w:sz w:val="20"/>
                <w:szCs w:val="20"/>
                <w:color w:val="auto"/>
              </w:rPr>
            </w:pPr>
            <w:r>
              <w:rPr>
                <w:rFonts w:ascii="Arial" w:cs="Arial" w:eastAsia="Arial" w:hAnsi="Arial"/>
                <w:sz w:val="20"/>
                <w:szCs w:val="20"/>
                <w:color w:val="auto"/>
              </w:rPr>
              <w:t>Lo-Carb Monster Energy®</w:t>
            </w:r>
          </w:p>
        </w:tc>
        <w:tc>
          <w:tcPr>
            <w:tcW w:w="3160" w:type="dxa"/>
            <w:vAlign w:val="bottom"/>
          </w:tcPr>
          <w:p>
            <w:pPr>
              <w:jc w:val="right"/>
              <w:ind w:right="176"/>
              <w:spacing w:after="0" w:line="243" w:lineRule="exact"/>
              <w:rPr>
                <w:sz w:val="20"/>
                <w:szCs w:val="20"/>
                <w:color w:val="auto"/>
              </w:rPr>
            </w:pPr>
            <w:r>
              <w:rPr>
                <w:rFonts w:ascii="Arial" w:cs="Arial" w:eastAsia="Arial" w:hAnsi="Arial"/>
                <w:sz w:val="22"/>
                <w:szCs w:val="22"/>
                <w:color w:val="auto"/>
              </w:rPr>
              <w:t>·</w:t>
            </w:r>
          </w:p>
        </w:tc>
        <w:tc>
          <w:tcPr>
            <w:tcW w:w="3940" w:type="dxa"/>
            <w:vAlign w:val="bottom"/>
          </w:tcPr>
          <w:p>
            <w:pPr>
              <w:ind w:left="260"/>
              <w:spacing w:after="0"/>
              <w:rPr>
                <w:sz w:val="20"/>
                <w:szCs w:val="20"/>
                <w:color w:val="auto"/>
              </w:rPr>
            </w:pPr>
            <w:r>
              <w:rPr>
                <w:rFonts w:ascii="Arial" w:cs="Arial" w:eastAsia="Arial" w:hAnsi="Arial"/>
                <w:sz w:val="20"/>
                <w:szCs w:val="20"/>
                <w:color w:val="auto"/>
              </w:rPr>
              <w:t>Java Monster® Loca Moca®</w:t>
            </w:r>
          </w:p>
        </w:tc>
      </w:tr>
      <w:tr>
        <w:trPr>
          <w:trHeight w:val="243"/>
        </w:trPr>
        <w:tc>
          <w:tcPr>
            <w:tcW w:w="66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w:t>
            </w:r>
          </w:p>
        </w:tc>
        <w:tc>
          <w:tcPr>
            <w:tcW w:w="3700" w:type="dxa"/>
            <w:vAlign w:val="bottom"/>
          </w:tcPr>
          <w:p>
            <w:pPr>
              <w:ind w:left="280"/>
              <w:spacing w:after="0"/>
              <w:rPr>
                <w:sz w:val="20"/>
                <w:szCs w:val="20"/>
                <w:color w:val="auto"/>
              </w:rPr>
            </w:pPr>
            <w:r>
              <w:rPr>
                <w:rFonts w:ascii="Arial" w:cs="Arial" w:eastAsia="Arial" w:hAnsi="Arial"/>
                <w:sz w:val="20"/>
                <w:szCs w:val="20"/>
                <w:color w:val="auto"/>
              </w:rPr>
              <w:t>Monster Assault®</w:t>
            </w:r>
          </w:p>
        </w:tc>
        <w:tc>
          <w:tcPr>
            <w:tcW w:w="3160" w:type="dxa"/>
            <w:vAlign w:val="bottom"/>
          </w:tcPr>
          <w:p>
            <w:pPr>
              <w:jc w:val="right"/>
              <w:ind w:right="176"/>
              <w:spacing w:after="0" w:line="243" w:lineRule="exact"/>
              <w:rPr>
                <w:sz w:val="20"/>
                <w:szCs w:val="20"/>
                <w:color w:val="auto"/>
              </w:rPr>
            </w:pPr>
            <w:r>
              <w:rPr>
                <w:rFonts w:ascii="Arial" w:cs="Arial" w:eastAsia="Arial" w:hAnsi="Arial"/>
                <w:sz w:val="22"/>
                <w:szCs w:val="22"/>
                <w:color w:val="auto"/>
              </w:rPr>
              <w:t>·</w:t>
            </w:r>
          </w:p>
        </w:tc>
        <w:tc>
          <w:tcPr>
            <w:tcW w:w="3940" w:type="dxa"/>
            <w:vAlign w:val="bottom"/>
          </w:tcPr>
          <w:p>
            <w:pPr>
              <w:ind w:left="260"/>
              <w:spacing w:after="0"/>
              <w:rPr>
                <w:sz w:val="20"/>
                <w:szCs w:val="20"/>
                <w:color w:val="auto"/>
              </w:rPr>
            </w:pPr>
            <w:r>
              <w:rPr>
                <w:rFonts w:ascii="Arial" w:cs="Arial" w:eastAsia="Arial" w:hAnsi="Arial"/>
                <w:sz w:val="20"/>
                <w:szCs w:val="20"/>
                <w:color w:val="auto"/>
              </w:rPr>
              <w:t>Java Monster® Mean Bean®</w:t>
            </w:r>
          </w:p>
        </w:tc>
      </w:tr>
      <w:tr>
        <w:trPr>
          <w:trHeight w:val="275"/>
        </w:trPr>
        <w:tc>
          <w:tcPr>
            <w:tcW w:w="660" w:type="dxa"/>
            <w:vAlign w:val="bottom"/>
          </w:tcPr>
          <w:p>
            <w:pPr>
              <w:jc w:val="right"/>
              <w:ind w:right="172"/>
              <w:spacing w:after="0"/>
              <w:rPr>
                <w:sz w:val="20"/>
                <w:szCs w:val="20"/>
                <w:color w:val="auto"/>
              </w:rPr>
            </w:pPr>
            <w:r>
              <w:rPr>
                <w:rFonts w:ascii="Arial" w:cs="Arial" w:eastAsia="Arial" w:hAnsi="Arial"/>
                <w:sz w:val="22"/>
                <w:szCs w:val="22"/>
                <w:color w:val="auto"/>
              </w:rPr>
              <w:t>·</w:t>
            </w:r>
          </w:p>
        </w:tc>
        <w:tc>
          <w:tcPr>
            <w:tcW w:w="3700" w:type="dxa"/>
            <w:vAlign w:val="bottom"/>
          </w:tcPr>
          <w:p>
            <w:pPr>
              <w:ind w:left="280"/>
              <w:spacing w:after="0"/>
              <w:rPr>
                <w:sz w:val="20"/>
                <w:szCs w:val="20"/>
                <w:color w:val="auto"/>
              </w:rPr>
            </w:pPr>
            <w:r>
              <w:rPr>
                <w:rFonts w:ascii="Arial" w:cs="Arial" w:eastAsia="Arial" w:hAnsi="Arial"/>
                <w:sz w:val="20"/>
                <w:szCs w:val="20"/>
                <w:color w:val="auto"/>
              </w:rPr>
              <w:t>Juice Monster® Khaos®</w:t>
            </w:r>
          </w:p>
        </w:tc>
        <w:tc>
          <w:tcPr>
            <w:tcW w:w="3160" w:type="dxa"/>
            <w:vAlign w:val="bottom"/>
          </w:tcPr>
          <w:p>
            <w:pPr>
              <w:jc w:val="right"/>
              <w:ind w:right="176"/>
              <w:spacing w:after="0"/>
              <w:rPr>
                <w:sz w:val="20"/>
                <w:szCs w:val="20"/>
                <w:color w:val="auto"/>
              </w:rPr>
            </w:pPr>
            <w:r>
              <w:rPr>
                <w:rFonts w:ascii="Arial" w:cs="Arial" w:eastAsia="Arial" w:hAnsi="Arial"/>
                <w:sz w:val="22"/>
                <w:szCs w:val="22"/>
                <w:color w:val="auto"/>
              </w:rPr>
              <w:t>·</w:t>
            </w:r>
          </w:p>
        </w:tc>
        <w:tc>
          <w:tcPr>
            <w:tcW w:w="3940" w:type="dxa"/>
            <w:vAlign w:val="bottom"/>
          </w:tcPr>
          <w:p>
            <w:pPr>
              <w:ind w:left="260"/>
              <w:spacing w:after="0"/>
              <w:rPr>
                <w:sz w:val="20"/>
                <w:szCs w:val="20"/>
                <w:color w:val="auto"/>
              </w:rPr>
            </w:pPr>
            <w:r>
              <w:rPr>
                <w:rFonts w:ascii="Arial" w:cs="Arial" w:eastAsia="Arial" w:hAnsi="Arial"/>
                <w:sz w:val="20"/>
                <w:szCs w:val="20"/>
                <w:color w:val="auto"/>
              </w:rPr>
              <w:t>Java Monster® Vanilla Light</w:t>
            </w:r>
          </w:p>
        </w:tc>
      </w:tr>
      <w:tr>
        <w:trPr>
          <w:trHeight w:val="422"/>
        </w:trPr>
        <w:tc>
          <w:tcPr>
            <w:tcW w:w="6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160" w:type="dxa"/>
            <w:vAlign w:val="bottom"/>
          </w:tcPr>
          <w:p>
            <w:pPr>
              <w:jc w:val="right"/>
              <w:ind w:right="1616"/>
              <w:spacing w:after="0"/>
              <w:rPr>
                <w:sz w:val="20"/>
                <w:szCs w:val="20"/>
                <w:color w:val="auto"/>
              </w:rPr>
            </w:pPr>
            <w:r>
              <w:rPr>
                <w:rFonts w:ascii="Arial" w:cs="Arial" w:eastAsia="Arial" w:hAnsi="Arial"/>
                <w:sz w:val="18"/>
                <w:szCs w:val="18"/>
                <w:color w:val="auto"/>
              </w:rPr>
              <w:t>34</w:t>
            </w:r>
          </w:p>
        </w:tc>
        <w:tc>
          <w:tcPr>
            <w:tcW w:w="3940" w:type="dxa"/>
            <w:vAlign w:val="bottom"/>
          </w:tcPr>
          <w:p>
            <w:pPr>
              <w:spacing w:after="0"/>
              <w:rPr>
                <w:sz w:val="24"/>
                <w:szCs w:val="24"/>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3700" w:type="dxa"/>
            <w:vAlign w:val="bottom"/>
            <w:tcBorders>
              <w:bottom w:val="single" w:sz="8" w:color="808080"/>
            </w:tcBorders>
          </w:tcPr>
          <w:p>
            <w:pPr>
              <w:spacing w:after="0"/>
              <w:rPr>
                <w:sz w:val="11"/>
                <w:szCs w:val="11"/>
                <w:color w:val="auto"/>
              </w:rPr>
            </w:pPr>
          </w:p>
        </w:tc>
        <w:tc>
          <w:tcPr>
            <w:tcW w:w="3160" w:type="dxa"/>
            <w:vAlign w:val="bottom"/>
            <w:tcBorders>
              <w:bottom w:val="single" w:sz="8" w:color="808080"/>
            </w:tcBorders>
          </w:tcPr>
          <w:p>
            <w:pPr>
              <w:spacing w:after="0"/>
              <w:rPr>
                <w:sz w:val="11"/>
                <w:szCs w:val="11"/>
                <w:color w:val="auto"/>
              </w:rPr>
            </w:pPr>
          </w:p>
        </w:tc>
        <w:tc>
          <w:tcPr>
            <w:tcW w:w="39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352" w:right="199" w:bottom="0" w:gutter="0" w:footer="0" w:header="0"/>
        </w:sectPr>
      </w:pPr>
    </w:p>
    <w:bookmarkStart w:id="23" w:name="page24"/>
    <w:bookmarkEnd w:id="23"/>
    <w:tbl>
      <w:tblPr>
        <w:tblLayout w:type="fixed"/>
        <w:tblInd w:w="340" w:type="dxa"/>
        <w:tblCellMar>
          <w:top w:w="0" w:type="dxa"/>
          <w:left w:w="0" w:type="dxa"/>
          <w:bottom w:w="0" w:type="dxa"/>
          <w:right w:w="0" w:type="dxa"/>
        </w:tblCellMar>
      </w:tblPr>
      <w:tr>
        <w:trPr>
          <w:trHeight w:val="253"/>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720" w:type="dxa"/>
            <w:vAlign w:val="bottom"/>
          </w:tcPr>
          <w:p>
            <w:pPr>
              <w:ind w:left="280"/>
              <w:spacing w:after="0"/>
              <w:rPr>
                <w:sz w:val="20"/>
                <w:szCs w:val="20"/>
                <w:color w:val="auto"/>
              </w:rPr>
            </w:pPr>
            <w:r>
              <w:rPr>
                <w:rFonts w:ascii="Arial" w:cs="Arial" w:eastAsia="Arial" w:hAnsi="Arial"/>
                <w:sz w:val="20"/>
                <w:szCs w:val="20"/>
                <w:color w:val="auto"/>
              </w:rPr>
              <w:t>Juice Monster® Ripper®</w:t>
            </w:r>
          </w:p>
        </w:tc>
        <w:tc>
          <w:tcPr>
            <w:tcW w:w="1140" w:type="dxa"/>
            <w:vAlign w:val="bottom"/>
          </w:tcPr>
          <w:p>
            <w:pPr>
              <w:jc w:val="right"/>
              <w:ind w:right="172"/>
              <w:spacing w:after="0"/>
              <w:rPr>
                <w:sz w:val="20"/>
                <w:szCs w:val="20"/>
                <w:color w:val="auto"/>
              </w:rPr>
            </w:pPr>
            <w:r>
              <w:rPr>
                <w:rFonts w:ascii="Arial" w:cs="Arial" w:eastAsia="Arial" w:hAnsi="Arial"/>
                <w:sz w:val="22"/>
                <w:szCs w:val="22"/>
                <w:color w:val="auto"/>
              </w:rPr>
              <w:t>·</w:t>
            </w:r>
          </w:p>
        </w:tc>
        <w:tc>
          <w:tcPr>
            <w:tcW w:w="3680" w:type="dxa"/>
            <w:vAlign w:val="bottom"/>
          </w:tcPr>
          <w:p>
            <w:pPr>
              <w:ind w:left="260"/>
              <w:spacing w:after="0"/>
              <w:rPr>
                <w:sz w:val="20"/>
                <w:szCs w:val="20"/>
                <w:color w:val="auto"/>
              </w:rPr>
            </w:pPr>
            <w:r>
              <w:rPr>
                <w:rFonts w:ascii="Arial" w:cs="Arial" w:eastAsia="Arial" w:hAnsi="Arial"/>
                <w:sz w:val="20"/>
                <w:szCs w:val="20"/>
                <w:color w:val="auto"/>
              </w:rPr>
              <w:t>Java Monster® Irish Blend®</w:t>
            </w:r>
          </w:p>
        </w:tc>
        <w:tc>
          <w:tcPr>
            <w:tcW w:w="0" w:type="dxa"/>
            <w:vAlign w:val="bottom"/>
          </w:tcPr>
          <w:p>
            <w:pPr>
              <w:spacing w:after="0"/>
              <w:rPr>
                <w:sz w:val="1"/>
                <w:szCs w:val="1"/>
                <w:color w:val="auto"/>
              </w:rPr>
            </w:pPr>
          </w:p>
        </w:tc>
      </w:tr>
      <w:tr>
        <w:trPr>
          <w:trHeight w:val="243"/>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720" w:type="dxa"/>
            <w:vAlign w:val="bottom"/>
          </w:tcPr>
          <w:p>
            <w:pPr>
              <w:ind w:left="280"/>
              <w:spacing w:after="0"/>
              <w:rPr>
                <w:sz w:val="20"/>
                <w:szCs w:val="20"/>
                <w:color w:val="auto"/>
              </w:rPr>
            </w:pPr>
            <w:r>
              <w:rPr>
                <w:rFonts w:ascii="Arial" w:cs="Arial" w:eastAsia="Arial" w:hAnsi="Arial"/>
                <w:sz w:val="20"/>
                <w:szCs w:val="20"/>
                <w:color w:val="auto"/>
              </w:rPr>
              <w:t>Juice Monster® Pipeline Punch™</w:t>
            </w:r>
          </w:p>
        </w:tc>
        <w:tc>
          <w:tcPr>
            <w:tcW w:w="114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w:t>
            </w:r>
          </w:p>
        </w:tc>
        <w:tc>
          <w:tcPr>
            <w:tcW w:w="3680" w:type="dxa"/>
            <w:vAlign w:val="bottom"/>
          </w:tcPr>
          <w:p>
            <w:pPr>
              <w:ind w:left="260"/>
              <w:spacing w:after="0"/>
              <w:rPr>
                <w:sz w:val="20"/>
                <w:szCs w:val="20"/>
                <w:color w:val="auto"/>
              </w:rPr>
            </w:pPr>
            <w:r>
              <w:rPr>
                <w:rFonts w:ascii="Arial" w:cs="Arial" w:eastAsia="Arial" w:hAnsi="Arial"/>
                <w:sz w:val="20"/>
                <w:szCs w:val="20"/>
                <w:color w:val="auto"/>
              </w:rPr>
              <w:t>Java Monster® Salted Caramel</w:t>
            </w:r>
          </w:p>
        </w:tc>
        <w:tc>
          <w:tcPr>
            <w:tcW w:w="0" w:type="dxa"/>
            <w:vAlign w:val="bottom"/>
          </w:tcPr>
          <w:p>
            <w:pPr>
              <w:spacing w:after="0"/>
              <w:rPr>
                <w:sz w:val="1"/>
                <w:szCs w:val="1"/>
                <w:color w:val="auto"/>
              </w:rPr>
            </w:pPr>
          </w:p>
        </w:tc>
      </w:tr>
      <w:tr>
        <w:trPr>
          <w:trHeight w:val="243"/>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720" w:type="dxa"/>
            <w:vAlign w:val="bottom"/>
          </w:tcPr>
          <w:p>
            <w:pPr>
              <w:ind w:left="280"/>
              <w:spacing w:after="0"/>
              <w:rPr>
                <w:sz w:val="20"/>
                <w:szCs w:val="20"/>
                <w:color w:val="auto"/>
              </w:rPr>
            </w:pPr>
            <w:r>
              <w:rPr>
                <w:rFonts w:ascii="Arial" w:cs="Arial" w:eastAsia="Arial" w:hAnsi="Arial"/>
                <w:sz w:val="20"/>
                <w:szCs w:val="20"/>
                <w:color w:val="auto"/>
              </w:rPr>
              <w:t>Monster Energy® Absolutely Zero</w:t>
            </w:r>
          </w:p>
        </w:tc>
        <w:tc>
          <w:tcPr>
            <w:tcW w:w="114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w:t>
            </w:r>
          </w:p>
        </w:tc>
        <w:tc>
          <w:tcPr>
            <w:tcW w:w="3680" w:type="dxa"/>
            <w:vAlign w:val="bottom"/>
          </w:tcPr>
          <w:p>
            <w:pPr>
              <w:ind w:left="260"/>
              <w:spacing w:after="0"/>
              <w:rPr>
                <w:sz w:val="20"/>
                <w:szCs w:val="20"/>
                <w:color w:val="auto"/>
              </w:rPr>
            </w:pPr>
            <w:r>
              <w:rPr>
                <w:rFonts w:ascii="Arial" w:cs="Arial" w:eastAsia="Arial" w:hAnsi="Arial"/>
                <w:sz w:val="20"/>
                <w:szCs w:val="20"/>
                <w:color w:val="auto"/>
              </w:rPr>
              <w:t>Mega Monster Energy®</w:t>
            </w:r>
          </w:p>
        </w:tc>
        <w:tc>
          <w:tcPr>
            <w:tcW w:w="0" w:type="dxa"/>
            <w:vAlign w:val="bottom"/>
          </w:tcPr>
          <w:p>
            <w:pPr>
              <w:spacing w:after="0"/>
              <w:rPr>
                <w:sz w:val="1"/>
                <w:szCs w:val="1"/>
                <w:color w:val="auto"/>
              </w:rPr>
            </w:pPr>
          </w:p>
        </w:tc>
      </w:tr>
      <w:tr>
        <w:trPr>
          <w:trHeight w:val="243"/>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720" w:type="dxa"/>
            <w:vAlign w:val="bottom"/>
          </w:tcPr>
          <w:p>
            <w:pPr>
              <w:ind w:left="280"/>
              <w:spacing w:after="0"/>
              <w:rPr>
                <w:sz w:val="20"/>
                <w:szCs w:val="20"/>
                <w:color w:val="auto"/>
              </w:rPr>
            </w:pPr>
            <w:r>
              <w:rPr>
                <w:rFonts w:ascii="Arial" w:cs="Arial" w:eastAsia="Arial" w:hAnsi="Arial"/>
                <w:sz w:val="20"/>
                <w:szCs w:val="20"/>
                <w:color w:val="auto"/>
              </w:rPr>
              <w:t>Monster Energy® Import</w:t>
            </w:r>
          </w:p>
        </w:tc>
        <w:tc>
          <w:tcPr>
            <w:tcW w:w="114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w:t>
            </w:r>
          </w:p>
        </w:tc>
        <w:tc>
          <w:tcPr>
            <w:tcW w:w="3680" w:type="dxa"/>
            <w:vAlign w:val="bottom"/>
          </w:tcPr>
          <w:p>
            <w:pPr>
              <w:ind w:left="260"/>
              <w:spacing w:after="0"/>
              <w:rPr>
                <w:sz w:val="20"/>
                <w:szCs w:val="20"/>
                <w:color w:val="auto"/>
              </w:rPr>
            </w:pPr>
            <w:r>
              <w:rPr>
                <w:rFonts w:ascii="Arial" w:cs="Arial" w:eastAsia="Arial" w:hAnsi="Arial"/>
                <w:sz w:val="20"/>
                <w:szCs w:val="20"/>
                <w:color w:val="auto"/>
                <w:w w:val="98"/>
              </w:rPr>
              <w:t>Monster Energy Extra Strength Nitrous</w:t>
            </w:r>
          </w:p>
        </w:tc>
        <w:tc>
          <w:tcPr>
            <w:tcW w:w="0" w:type="dxa"/>
            <w:vAlign w:val="bottom"/>
          </w:tcPr>
          <w:p>
            <w:pPr>
              <w:spacing w:after="0"/>
              <w:rPr>
                <w:sz w:val="1"/>
                <w:szCs w:val="1"/>
                <w:color w:val="auto"/>
              </w:rPr>
            </w:pPr>
          </w:p>
        </w:tc>
      </w:tr>
      <w:tr>
        <w:trPr>
          <w:trHeight w:val="243"/>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720" w:type="dxa"/>
            <w:vAlign w:val="bottom"/>
          </w:tcPr>
          <w:p>
            <w:pPr>
              <w:ind w:left="280"/>
              <w:spacing w:after="0"/>
              <w:rPr>
                <w:sz w:val="20"/>
                <w:szCs w:val="20"/>
                <w:color w:val="auto"/>
              </w:rPr>
            </w:pPr>
            <w:r>
              <w:rPr>
                <w:rFonts w:ascii="Arial" w:cs="Arial" w:eastAsia="Arial" w:hAnsi="Arial"/>
                <w:sz w:val="20"/>
                <w:szCs w:val="20"/>
                <w:color w:val="auto"/>
              </w:rPr>
              <w:t>Punch Monster® Baller’s Blend® (formerly Dub Edition)</w:t>
            </w:r>
          </w:p>
        </w:tc>
        <w:tc>
          <w:tcPr>
            <w:tcW w:w="1140" w:type="dxa"/>
            <w:vAlign w:val="bottom"/>
            <w:vMerge w:val="restart"/>
          </w:tcPr>
          <w:p>
            <w:pPr>
              <w:jc w:val="right"/>
              <w:ind w:right="172"/>
              <w:spacing w:after="0"/>
              <w:rPr>
                <w:sz w:val="20"/>
                <w:szCs w:val="20"/>
                <w:color w:val="auto"/>
              </w:rPr>
            </w:pPr>
            <w:r>
              <w:rPr>
                <w:rFonts w:ascii="Arial" w:cs="Arial" w:eastAsia="Arial" w:hAnsi="Arial"/>
                <w:sz w:val="22"/>
                <w:szCs w:val="22"/>
                <w:color w:val="auto"/>
              </w:rPr>
              <w:t>·</w:t>
            </w:r>
          </w:p>
        </w:tc>
        <w:tc>
          <w:tcPr>
            <w:tcW w:w="3680" w:type="dxa"/>
            <w:vAlign w:val="bottom"/>
          </w:tcPr>
          <w:p>
            <w:pPr>
              <w:ind w:left="300"/>
              <w:spacing w:after="0"/>
              <w:rPr>
                <w:sz w:val="20"/>
                <w:szCs w:val="20"/>
                <w:color w:val="auto"/>
              </w:rPr>
            </w:pPr>
            <w:r>
              <w:rPr>
                <w:rFonts w:ascii="Arial" w:cs="Arial" w:eastAsia="Arial" w:hAnsi="Arial"/>
                <w:sz w:val="20"/>
                <w:szCs w:val="20"/>
                <w:color w:val="auto"/>
              </w:rPr>
              <w:t>Technology® Super Dry™</w:t>
            </w:r>
          </w:p>
        </w:tc>
        <w:tc>
          <w:tcPr>
            <w:tcW w:w="0" w:type="dxa"/>
            <w:vAlign w:val="bottom"/>
          </w:tcPr>
          <w:p>
            <w:pPr>
              <w:spacing w:after="0"/>
              <w:rPr>
                <w:sz w:val="1"/>
                <w:szCs w:val="1"/>
                <w:color w:val="auto"/>
              </w:rPr>
            </w:pPr>
          </w:p>
        </w:tc>
      </w:tr>
      <w:tr>
        <w:trPr>
          <w:trHeight w:val="234"/>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720" w:type="dxa"/>
            <w:vAlign w:val="bottom"/>
          </w:tcPr>
          <w:p>
            <w:pPr>
              <w:ind w:left="280"/>
              <w:spacing w:after="0"/>
              <w:rPr>
                <w:sz w:val="20"/>
                <w:szCs w:val="20"/>
                <w:color w:val="auto"/>
              </w:rPr>
            </w:pPr>
            <w:r>
              <w:rPr>
                <w:rFonts w:ascii="Arial" w:cs="Arial" w:eastAsia="Arial" w:hAnsi="Arial"/>
                <w:sz w:val="20"/>
                <w:szCs w:val="20"/>
                <w:color w:val="auto"/>
              </w:rPr>
              <w:t>Punch Monster® Mad Dog (formerly Dub Edition)</w:t>
            </w:r>
          </w:p>
        </w:tc>
        <w:tc>
          <w:tcPr>
            <w:tcW w:w="1140" w:type="dxa"/>
            <w:vAlign w:val="bottom"/>
            <w:vMerge w:val="continue"/>
          </w:tcPr>
          <w:p>
            <w:pPr>
              <w:spacing w:after="0"/>
              <w:rPr>
                <w:sz w:val="20"/>
                <w:szCs w:val="20"/>
                <w:color w:val="auto"/>
              </w:rPr>
            </w:pPr>
          </w:p>
        </w:tc>
        <w:tc>
          <w:tcPr>
            <w:tcW w:w="3680" w:type="dxa"/>
            <w:vAlign w:val="bottom"/>
          </w:tcPr>
          <w:p>
            <w:pPr>
              <w:ind w:left="260"/>
              <w:spacing w:after="0"/>
              <w:rPr>
                <w:sz w:val="20"/>
                <w:szCs w:val="20"/>
                <w:color w:val="auto"/>
              </w:rPr>
            </w:pPr>
            <w:r>
              <w:rPr>
                <w:rFonts w:ascii="Arial" w:cs="Arial" w:eastAsia="Arial" w:hAnsi="Arial"/>
                <w:sz w:val="20"/>
                <w:szCs w:val="20"/>
                <w:color w:val="auto"/>
                <w:w w:val="98"/>
              </w:rPr>
              <w:t>Monster Energy Extra Strength Nitrous</w:t>
            </w:r>
          </w:p>
        </w:tc>
        <w:tc>
          <w:tcPr>
            <w:tcW w:w="0" w:type="dxa"/>
            <w:vAlign w:val="bottom"/>
          </w:tcPr>
          <w:p>
            <w:pPr>
              <w:spacing w:after="0"/>
              <w:rPr>
                <w:sz w:val="1"/>
                <w:szCs w:val="1"/>
                <w:color w:val="auto"/>
              </w:rPr>
            </w:pPr>
          </w:p>
        </w:tc>
      </w:tr>
      <w:tr>
        <w:trPr>
          <w:trHeight w:val="243"/>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720" w:type="dxa"/>
            <w:vAlign w:val="bottom"/>
          </w:tcPr>
          <w:p>
            <w:pPr>
              <w:ind w:left="280"/>
              <w:spacing w:after="0"/>
              <w:rPr>
                <w:sz w:val="20"/>
                <w:szCs w:val="20"/>
                <w:color w:val="auto"/>
              </w:rPr>
            </w:pPr>
            <w:r>
              <w:rPr>
                <w:rFonts w:ascii="Arial" w:cs="Arial" w:eastAsia="Arial" w:hAnsi="Arial"/>
                <w:sz w:val="20"/>
                <w:szCs w:val="20"/>
                <w:color w:val="auto"/>
              </w:rPr>
              <w:t>Monster Rehab® Tea + Lemonade + Energy</w:t>
            </w:r>
          </w:p>
        </w:tc>
        <w:tc>
          <w:tcPr>
            <w:tcW w:w="1140" w:type="dxa"/>
            <w:vAlign w:val="bottom"/>
            <w:vMerge w:val="restart"/>
          </w:tcPr>
          <w:p>
            <w:pPr>
              <w:jc w:val="right"/>
              <w:ind w:right="172"/>
              <w:spacing w:after="0"/>
              <w:rPr>
                <w:sz w:val="20"/>
                <w:szCs w:val="20"/>
                <w:color w:val="auto"/>
              </w:rPr>
            </w:pPr>
            <w:r>
              <w:rPr>
                <w:rFonts w:ascii="Arial" w:cs="Arial" w:eastAsia="Arial" w:hAnsi="Arial"/>
                <w:sz w:val="22"/>
                <w:szCs w:val="22"/>
                <w:color w:val="auto"/>
              </w:rPr>
              <w:t>·</w:t>
            </w:r>
          </w:p>
        </w:tc>
        <w:tc>
          <w:tcPr>
            <w:tcW w:w="3680" w:type="dxa"/>
            <w:vAlign w:val="bottom"/>
          </w:tcPr>
          <w:p>
            <w:pPr>
              <w:ind w:left="300"/>
              <w:spacing w:after="0"/>
              <w:rPr>
                <w:sz w:val="20"/>
                <w:szCs w:val="20"/>
                <w:color w:val="auto"/>
              </w:rPr>
            </w:pPr>
            <w:r>
              <w:rPr>
                <w:rFonts w:ascii="Arial" w:cs="Arial" w:eastAsia="Arial" w:hAnsi="Arial"/>
                <w:sz w:val="20"/>
                <w:szCs w:val="20"/>
                <w:color w:val="auto"/>
              </w:rPr>
              <w:t>Technology® Anti-Gravity®</w:t>
            </w:r>
          </w:p>
        </w:tc>
        <w:tc>
          <w:tcPr>
            <w:tcW w:w="0" w:type="dxa"/>
            <w:vAlign w:val="bottom"/>
          </w:tcPr>
          <w:p>
            <w:pPr>
              <w:spacing w:after="0"/>
              <w:rPr>
                <w:sz w:val="1"/>
                <w:szCs w:val="1"/>
                <w:color w:val="auto"/>
              </w:rPr>
            </w:pPr>
          </w:p>
        </w:tc>
      </w:tr>
      <w:tr>
        <w:trPr>
          <w:trHeight w:val="225"/>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720" w:type="dxa"/>
            <w:vAlign w:val="bottom"/>
          </w:tcPr>
          <w:p>
            <w:pPr>
              <w:ind w:left="280"/>
              <w:spacing w:after="0" w:line="225" w:lineRule="exact"/>
              <w:rPr>
                <w:sz w:val="20"/>
                <w:szCs w:val="20"/>
                <w:color w:val="auto"/>
              </w:rPr>
            </w:pPr>
            <w:r>
              <w:rPr>
                <w:rFonts w:ascii="Arial" w:cs="Arial" w:eastAsia="Arial" w:hAnsi="Arial"/>
                <w:sz w:val="20"/>
                <w:szCs w:val="20"/>
                <w:color w:val="auto"/>
              </w:rPr>
              <w:t>Monster Rehab® Raspberry Tea + Energy (formerly Rojo)</w:t>
            </w:r>
          </w:p>
        </w:tc>
        <w:tc>
          <w:tcPr>
            <w:tcW w:w="1140" w:type="dxa"/>
            <w:vAlign w:val="bottom"/>
            <w:vMerge w:val="continue"/>
          </w:tcPr>
          <w:p>
            <w:pPr>
              <w:spacing w:after="0"/>
              <w:rPr>
                <w:sz w:val="19"/>
                <w:szCs w:val="19"/>
                <w:color w:val="auto"/>
              </w:rPr>
            </w:pPr>
          </w:p>
        </w:tc>
        <w:tc>
          <w:tcPr>
            <w:tcW w:w="3680" w:type="dxa"/>
            <w:vAlign w:val="bottom"/>
          </w:tcPr>
          <w:p>
            <w:pPr>
              <w:ind w:left="260"/>
              <w:spacing w:after="0" w:line="225" w:lineRule="exact"/>
              <w:rPr>
                <w:sz w:val="20"/>
                <w:szCs w:val="20"/>
                <w:color w:val="auto"/>
              </w:rPr>
            </w:pPr>
            <w:r>
              <w:rPr>
                <w:rFonts w:ascii="Arial" w:cs="Arial" w:eastAsia="Arial" w:hAnsi="Arial"/>
                <w:sz w:val="20"/>
                <w:szCs w:val="20"/>
                <w:color w:val="auto"/>
                <w:w w:val="90"/>
              </w:rPr>
              <w:t>M3® Monster Energy® Super Concentrate</w:t>
            </w:r>
          </w:p>
        </w:tc>
        <w:tc>
          <w:tcPr>
            <w:tcW w:w="0" w:type="dxa"/>
            <w:vAlign w:val="bottom"/>
          </w:tcPr>
          <w:p>
            <w:pPr>
              <w:spacing w:after="0"/>
              <w:rPr>
                <w:sz w:val="1"/>
                <w:szCs w:val="1"/>
                <w:color w:val="auto"/>
              </w:rPr>
            </w:pPr>
          </w:p>
        </w:tc>
      </w:tr>
      <w:tr>
        <w:trPr>
          <w:trHeight w:val="243"/>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720" w:type="dxa"/>
            <w:vAlign w:val="bottom"/>
          </w:tcPr>
          <w:p>
            <w:pPr>
              <w:ind w:left="280"/>
              <w:spacing w:after="0"/>
              <w:rPr>
                <w:sz w:val="20"/>
                <w:szCs w:val="20"/>
                <w:color w:val="auto"/>
              </w:rPr>
            </w:pPr>
            <w:r>
              <w:rPr>
                <w:rFonts w:ascii="Arial" w:cs="Arial" w:eastAsia="Arial" w:hAnsi="Arial"/>
                <w:sz w:val="20"/>
                <w:szCs w:val="20"/>
                <w:color w:val="auto"/>
              </w:rPr>
              <w:t>Monster Rehab® Green Tea + Energy</w:t>
            </w:r>
          </w:p>
        </w:tc>
        <w:tc>
          <w:tcPr>
            <w:tcW w:w="114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w:t>
            </w:r>
          </w:p>
        </w:tc>
        <w:tc>
          <w:tcPr>
            <w:tcW w:w="3680" w:type="dxa"/>
            <w:vAlign w:val="bottom"/>
          </w:tcPr>
          <w:p>
            <w:pPr>
              <w:ind w:left="260"/>
              <w:spacing w:after="0"/>
              <w:rPr>
                <w:sz w:val="20"/>
                <w:szCs w:val="20"/>
                <w:color w:val="auto"/>
              </w:rPr>
            </w:pPr>
            <w:r>
              <w:rPr>
                <w:rFonts w:ascii="Arial" w:cs="Arial" w:eastAsia="Arial" w:hAnsi="Arial"/>
                <w:sz w:val="20"/>
                <w:szCs w:val="20"/>
                <w:color w:val="auto"/>
              </w:rPr>
              <w:t>Monster Energy Zero Ultra®</w:t>
            </w:r>
          </w:p>
        </w:tc>
        <w:tc>
          <w:tcPr>
            <w:tcW w:w="0" w:type="dxa"/>
            <w:vAlign w:val="bottom"/>
          </w:tcPr>
          <w:p>
            <w:pPr>
              <w:spacing w:after="0"/>
              <w:rPr>
                <w:sz w:val="1"/>
                <w:szCs w:val="1"/>
                <w:color w:val="auto"/>
              </w:rPr>
            </w:pPr>
          </w:p>
        </w:tc>
      </w:tr>
      <w:tr>
        <w:trPr>
          <w:trHeight w:val="243"/>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720" w:type="dxa"/>
            <w:vAlign w:val="bottom"/>
          </w:tcPr>
          <w:p>
            <w:pPr>
              <w:ind w:left="280"/>
              <w:spacing w:after="0"/>
              <w:rPr>
                <w:sz w:val="20"/>
                <w:szCs w:val="20"/>
                <w:color w:val="auto"/>
              </w:rPr>
            </w:pPr>
            <w:r>
              <w:rPr>
                <w:rFonts w:ascii="Arial" w:cs="Arial" w:eastAsia="Arial" w:hAnsi="Arial"/>
                <w:sz w:val="20"/>
                <w:szCs w:val="20"/>
                <w:color w:val="auto"/>
              </w:rPr>
              <w:t>Monster Rehab® Tea + Orangeade + Energy</w:t>
            </w:r>
          </w:p>
        </w:tc>
        <w:tc>
          <w:tcPr>
            <w:tcW w:w="114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w:t>
            </w:r>
          </w:p>
        </w:tc>
        <w:tc>
          <w:tcPr>
            <w:tcW w:w="3680" w:type="dxa"/>
            <w:vAlign w:val="bottom"/>
          </w:tcPr>
          <w:p>
            <w:pPr>
              <w:ind w:left="260"/>
              <w:spacing w:after="0"/>
              <w:rPr>
                <w:sz w:val="20"/>
                <w:szCs w:val="20"/>
                <w:color w:val="auto"/>
              </w:rPr>
            </w:pPr>
            <w:r>
              <w:rPr>
                <w:rFonts w:ascii="Arial" w:cs="Arial" w:eastAsia="Arial" w:hAnsi="Arial"/>
                <w:sz w:val="20"/>
                <w:szCs w:val="20"/>
                <w:color w:val="auto"/>
              </w:rPr>
              <w:t>Monster Energy Ultra Blue®</w:t>
            </w:r>
          </w:p>
        </w:tc>
        <w:tc>
          <w:tcPr>
            <w:tcW w:w="0" w:type="dxa"/>
            <w:vAlign w:val="bottom"/>
          </w:tcPr>
          <w:p>
            <w:pPr>
              <w:spacing w:after="0"/>
              <w:rPr>
                <w:sz w:val="1"/>
                <w:szCs w:val="1"/>
                <w:color w:val="auto"/>
              </w:rPr>
            </w:pPr>
          </w:p>
        </w:tc>
      </w:tr>
      <w:tr>
        <w:trPr>
          <w:trHeight w:val="243"/>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720" w:type="dxa"/>
            <w:vAlign w:val="bottom"/>
          </w:tcPr>
          <w:p>
            <w:pPr>
              <w:ind w:left="280"/>
              <w:spacing w:after="0"/>
              <w:rPr>
                <w:sz w:val="20"/>
                <w:szCs w:val="20"/>
                <w:color w:val="auto"/>
              </w:rPr>
            </w:pPr>
            <w:r>
              <w:rPr>
                <w:rFonts w:ascii="Arial" w:cs="Arial" w:eastAsia="Arial" w:hAnsi="Arial"/>
                <w:sz w:val="20"/>
                <w:szCs w:val="20"/>
                <w:color w:val="auto"/>
              </w:rPr>
              <w:t>Monster Rehab® Tea + Pink Lemonade + Energy</w:t>
            </w:r>
          </w:p>
        </w:tc>
        <w:tc>
          <w:tcPr>
            <w:tcW w:w="114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w:t>
            </w:r>
          </w:p>
        </w:tc>
        <w:tc>
          <w:tcPr>
            <w:tcW w:w="3680" w:type="dxa"/>
            <w:vAlign w:val="bottom"/>
          </w:tcPr>
          <w:p>
            <w:pPr>
              <w:ind w:left="260"/>
              <w:spacing w:after="0"/>
              <w:rPr>
                <w:sz w:val="20"/>
                <w:szCs w:val="20"/>
                <w:color w:val="auto"/>
              </w:rPr>
            </w:pPr>
            <w:r>
              <w:rPr>
                <w:rFonts w:ascii="Arial" w:cs="Arial" w:eastAsia="Arial" w:hAnsi="Arial"/>
                <w:sz w:val="20"/>
                <w:szCs w:val="20"/>
                <w:color w:val="auto"/>
              </w:rPr>
              <w:t>Monster Energy Ultra Red®</w:t>
            </w:r>
          </w:p>
        </w:tc>
        <w:tc>
          <w:tcPr>
            <w:tcW w:w="0" w:type="dxa"/>
            <w:vAlign w:val="bottom"/>
          </w:tcPr>
          <w:p>
            <w:pPr>
              <w:spacing w:after="0"/>
              <w:rPr>
                <w:sz w:val="1"/>
                <w:szCs w:val="1"/>
                <w:color w:val="auto"/>
              </w:rPr>
            </w:pPr>
          </w:p>
        </w:tc>
      </w:tr>
      <w:tr>
        <w:trPr>
          <w:trHeight w:val="243"/>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720" w:type="dxa"/>
            <w:vAlign w:val="bottom"/>
          </w:tcPr>
          <w:p>
            <w:pPr>
              <w:ind w:left="280"/>
              <w:spacing w:after="0"/>
              <w:rPr>
                <w:sz w:val="20"/>
                <w:szCs w:val="20"/>
                <w:color w:val="auto"/>
              </w:rPr>
            </w:pPr>
            <w:r>
              <w:rPr>
                <w:rFonts w:ascii="Arial" w:cs="Arial" w:eastAsia="Arial" w:hAnsi="Arial"/>
                <w:sz w:val="20"/>
                <w:szCs w:val="20"/>
                <w:color w:val="auto"/>
              </w:rPr>
              <w:t>Monster Rehab® Peach Tea + Energy</w:t>
            </w:r>
          </w:p>
        </w:tc>
        <w:tc>
          <w:tcPr>
            <w:tcW w:w="114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w:t>
            </w:r>
          </w:p>
        </w:tc>
        <w:tc>
          <w:tcPr>
            <w:tcW w:w="3680" w:type="dxa"/>
            <w:vAlign w:val="bottom"/>
          </w:tcPr>
          <w:p>
            <w:pPr>
              <w:ind w:left="260"/>
              <w:spacing w:after="0"/>
              <w:rPr>
                <w:sz w:val="20"/>
                <w:szCs w:val="20"/>
                <w:color w:val="auto"/>
              </w:rPr>
            </w:pPr>
            <w:r>
              <w:rPr>
                <w:rFonts w:ascii="Arial" w:cs="Arial" w:eastAsia="Arial" w:hAnsi="Arial"/>
                <w:sz w:val="20"/>
                <w:szCs w:val="20"/>
                <w:color w:val="auto"/>
              </w:rPr>
              <w:t>Monster Energy Ultra Black®</w:t>
            </w:r>
          </w:p>
        </w:tc>
        <w:tc>
          <w:tcPr>
            <w:tcW w:w="0" w:type="dxa"/>
            <w:vAlign w:val="bottom"/>
          </w:tcPr>
          <w:p>
            <w:pPr>
              <w:spacing w:after="0"/>
              <w:rPr>
                <w:sz w:val="1"/>
                <w:szCs w:val="1"/>
                <w:color w:val="auto"/>
              </w:rPr>
            </w:pPr>
          </w:p>
        </w:tc>
      </w:tr>
      <w:tr>
        <w:trPr>
          <w:trHeight w:val="243"/>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720" w:type="dxa"/>
            <w:vAlign w:val="bottom"/>
          </w:tcPr>
          <w:p>
            <w:pPr>
              <w:ind w:left="280"/>
              <w:spacing w:after="0"/>
              <w:rPr>
                <w:sz w:val="20"/>
                <w:szCs w:val="20"/>
                <w:color w:val="auto"/>
              </w:rPr>
            </w:pPr>
            <w:r>
              <w:rPr>
                <w:rFonts w:ascii="Arial" w:cs="Arial" w:eastAsia="Arial" w:hAnsi="Arial"/>
                <w:sz w:val="20"/>
                <w:szCs w:val="20"/>
                <w:color w:val="auto"/>
              </w:rPr>
              <w:t>Muscle Monster® Vanilla</w:t>
            </w:r>
          </w:p>
        </w:tc>
        <w:tc>
          <w:tcPr>
            <w:tcW w:w="114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w:t>
            </w:r>
          </w:p>
        </w:tc>
        <w:tc>
          <w:tcPr>
            <w:tcW w:w="3680" w:type="dxa"/>
            <w:vAlign w:val="bottom"/>
          </w:tcPr>
          <w:p>
            <w:pPr>
              <w:ind w:left="260"/>
              <w:spacing w:after="0"/>
              <w:rPr>
                <w:sz w:val="20"/>
                <w:szCs w:val="20"/>
                <w:color w:val="auto"/>
              </w:rPr>
            </w:pPr>
            <w:r>
              <w:rPr>
                <w:rFonts w:ascii="Arial" w:cs="Arial" w:eastAsia="Arial" w:hAnsi="Arial"/>
                <w:sz w:val="20"/>
                <w:szCs w:val="20"/>
                <w:color w:val="auto"/>
              </w:rPr>
              <w:t>Monster Energy Ultra Sunrise®</w:t>
            </w:r>
          </w:p>
        </w:tc>
        <w:tc>
          <w:tcPr>
            <w:tcW w:w="0" w:type="dxa"/>
            <w:vAlign w:val="bottom"/>
          </w:tcPr>
          <w:p>
            <w:pPr>
              <w:spacing w:after="0"/>
              <w:rPr>
                <w:sz w:val="1"/>
                <w:szCs w:val="1"/>
                <w:color w:val="auto"/>
              </w:rPr>
            </w:pPr>
          </w:p>
        </w:tc>
      </w:tr>
      <w:tr>
        <w:trPr>
          <w:trHeight w:val="243"/>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720" w:type="dxa"/>
            <w:vAlign w:val="bottom"/>
          </w:tcPr>
          <w:p>
            <w:pPr>
              <w:ind w:left="280"/>
              <w:spacing w:after="0"/>
              <w:rPr>
                <w:sz w:val="20"/>
                <w:szCs w:val="20"/>
                <w:color w:val="auto"/>
              </w:rPr>
            </w:pPr>
            <w:r>
              <w:rPr>
                <w:rFonts w:ascii="Arial" w:cs="Arial" w:eastAsia="Arial" w:hAnsi="Arial"/>
                <w:sz w:val="20"/>
                <w:szCs w:val="20"/>
                <w:color w:val="auto"/>
              </w:rPr>
              <w:t>Muscle Monster® Chocolate</w:t>
            </w:r>
          </w:p>
        </w:tc>
        <w:tc>
          <w:tcPr>
            <w:tcW w:w="114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w:t>
            </w:r>
          </w:p>
        </w:tc>
        <w:tc>
          <w:tcPr>
            <w:tcW w:w="3680" w:type="dxa"/>
            <w:vAlign w:val="bottom"/>
          </w:tcPr>
          <w:p>
            <w:pPr>
              <w:ind w:left="260"/>
              <w:spacing w:after="0"/>
              <w:rPr>
                <w:sz w:val="20"/>
                <w:szCs w:val="20"/>
                <w:color w:val="auto"/>
              </w:rPr>
            </w:pPr>
            <w:r>
              <w:rPr>
                <w:rFonts w:ascii="Arial" w:cs="Arial" w:eastAsia="Arial" w:hAnsi="Arial"/>
                <w:sz w:val="20"/>
                <w:szCs w:val="20"/>
                <w:color w:val="auto"/>
              </w:rPr>
              <w:t>Monster Energy Ultra Citron®</w:t>
            </w:r>
          </w:p>
        </w:tc>
        <w:tc>
          <w:tcPr>
            <w:tcW w:w="0" w:type="dxa"/>
            <w:vAlign w:val="bottom"/>
          </w:tcPr>
          <w:p>
            <w:pPr>
              <w:spacing w:after="0"/>
              <w:rPr>
                <w:sz w:val="1"/>
                <w:szCs w:val="1"/>
                <w:color w:val="auto"/>
              </w:rPr>
            </w:pPr>
          </w:p>
        </w:tc>
      </w:tr>
      <w:tr>
        <w:trPr>
          <w:trHeight w:val="243"/>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720" w:type="dxa"/>
            <w:vAlign w:val="bottom"/>
          </w:tcPr>
          <w:p>
            <w:pPr>
              <w:ind w:left="280"/>
              <w:spacing w:after="0"/>
              <w:rPr>
                <w:sz w:val="20"/>
                <w:szCs w:val="20"/>
                <w:color w:val="auto"/>
              </w:rPr>
            </w:pPr>
            <w:r>
              <w:rPr>
                <w:rFonts w:ascii="Arial" w:cs="Arial" w:eastAsia="Arial" w:hAnsi="Arial"/>
                <w:sz w:val="20"/>
                <w:szCs w:val="20"/>
                <w:color w:val="auto"/>
              </w:rPr>
              <w:t>Muscle Monster® Strawberry</w:t>
            </w:r>
          </w:p>
        </w:tc>
        <w:tc>
          <w:tcPr>
            <w:tcW w:w="114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w:t>
            </w:r>
          </w:p>
        </w:tc>
        <w:tc>
          <w:tcPr>
            <w:tcW w:w="3680" w:type="dxa"/>
            <w:vAlign w:val="bottom"/>
          </w:tcPr>
          <w:p>
            <w:pPr>
              <w:ind w:left="260"/>
              <w:spacing w:after="0"/>
              <w:rPr>
                <w:sz w:val="20"/>
                <w:szCs w:val="20"/>
                <w:color w:val="auto"/>
              </w:rPr>
            </w:pPr>
            <w:r>
              <w:rPr>
                <w:rFonts w:ascii="Arial" w:cs="Arial" w:eastAsia="Arial" w:hAnsi="Arial"/>
                <w:sz w:val="20"/>
                <w:szCs w:val="20"/>
                <w:color w:val="auto"/>
              </w:rPr>
              <w:t>Monster Energy® Unleaded®</w:t>
            </w:r>
          </w:p>
        </w:tc>
        <w:tc>
          <w:tcPr>
            <w:tcW w:w="0" w:type="dxa"/>
            <w:vAlign w:val="bottom"/>
          </w:tcPr>
          <w:p>
            <w:pPr>
              <w:spacing w:after="0"/>
              <w:rPr>
                <w:sz w:val="1"/>
                <w:szCs w:val="1"/>
                <w:color w:val="auto"/>
              </w:rPr>
            </w:pPr>
          </w:p>
        </w:tc>
      </w:tr>
      <w:tr>
        <w:trPr>
          <w:trHeight w:val="243"/>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720" w:type="dxa"/>
            <w:vAlign w:val="bottom"/>
          </w:tcPr>
          <w:p>
            <w:pPr>
              <w:ind w:left="280"/>
              <w:spacing w:after="0"/>
              <w:rPr>
                <w:sz w:val="20"/>
                <w:szCs w:val="20"/>
                <w:color w:val="auto"/>
              </w:rPr>
            </w:pPr>
            <w:r>
              <w:rPr>
                <w:rFonts w:ascii="Arial" w:cs="Arial" w:eastAsia="Arial" w:hAnsi="Arial"/>
                <w:sz w:val="20"/>
                <w:szCs w:val="20"/>
                <w:color w:val="auto"/>
              </w:rPr>
              <w:t>Muscle Monster® Banana</w:t>
            </w:r>
          </w:p>
        </w:tc>
        <w:tc>
          <w:tcPr>
            <w:tcW w:w="114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w:t>
            </w:r>
          </w:p>
        </w:tc>
        <w:tc>
          <w:tcPr>
            <w:tcW w:w="3680" w:type="dxa"/>
            <w:vAlign w:val="bottom"/>
          </w:tcPr>
          <w:p>
            <w:pPr>
              <w:ind w:left="260"/>
              <w:spacing w:after="0"/>
              <w:rPr>
                <w:sz w:val="20"/>
                <w:szCs w:val="20"/>
                <w:color w:val="auto"/>
              </w:rPr>
            </w:pPr>
            <w:r>
              <w:rPr>
                <w:rFonts w:ascii="Arial" w:cs="Arial" w:eastAsia="Arial" w:hAnsi="Arial"/>
                <w:sz w:val="20"/>
                <w:szCs w:val="20"/>
                <w:color w:val="auto"/>
              </w:rPr>
              <w:t>Übermonster® Energy Brew™</w:t>
            </w:r>
          </w:p>
        </w:tc>
        <w:tc>
          <w:tcPr>
            <w:tcW w:w="0" w:type="dxa"/>
            <w:vAlign w:val="bottom"/>
          </w:tcPr>
          <w:p>
            <w:pPr>
              <w:spacing w:after="0"/>
              <w:rPr>
                <w:sz w:val="1"/>
                <w:szCs w:val="1"/>
                <w:color w:val="auto"/>
              </w:rPr>
            </w:pPr>
          </w:p>
        </w:tc>
      </w:tr>
      <w:tr>
        <w:trPr>
          <w:trHeight w:val="243"/>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720" w:type="dxa"/>
            <w:vAlign w:val="bottom"/>
          </w:tcPr>
          <w:p>
            <w:pPr>
              <w:ind w:left="280"/>
              <w:spacing w:after="0"/>
              <w:rPr>
                <w:sz w:val="20"/>
                <w:szCs w:val="20"/>
                <w:color w:val="auto"/>
              </w:rPr>
            </w:pPr>
            <w:r>
              <w:rPr>
                <w:rFonts w:ascii="Arial" w:cs="Arial" w:eastAsia="Arial" w:hAnsi="Arial"/>
                <w:sz w:val="20"/>
                <w:szCs w:val="20"/>
                <w:color w:val="auto"/>
              </w:rPr>
              <w:t>Monster Ghost™ M-100™</w:t>
            </w:r>
          </w:p>
        </w:tc>
        <w:tc>
          <w:tcPr>
            <w:tcW w:w="114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w:t>
            </w:r>
          </w:p>
        </w:tc>
        <w:tc>
          <w:tcPr>
            <w:tcW w:w="3680" w:type="dxa"/>
            <w:vAlign w:val="bottom"/>
          </w:tcPr>
          <w:p>
            <w:pPr>
              <w:ind w:left="260"/>
              <w:spacing w:after="0"/>
              <w:rPr>
                <w:sz w:val="20"/>
                <w:szCs w:val="20"/>
                <w:color w:val="auto"/>
              </w:rPr>
            </w:pPr>
            <w:r>
              <w:rPr>
                <w:rFonts w:ascii="Arial" w:cs="Arial" w:eastAsia="Arial" w:hAnsi="Arial"/>
                <w:sz w:val="20"/>
                <w:szCs w:val="20"/>
                <w:color w:val="auto"/>
              </w:rPr>
              <w:t>Monster Energy® Valentino Rossi</w:t>
            </w:r>
          </w:p>
        </w:tc>
        <w:tc>
          <w:tcPr>
            <w:tcW w:w="0" w:type="dxa"/>
            <w:vAlign w:val="bottom"/>
          </w:tcPr>
          <w:p>
            <w:pPr>
              <w:spacing w:after="0"/>
              <w:rPr>
                <w:sz w:val="1"/>
                <w:szCs w:val="1"/>
                <w:color w:val="auto"/>
              </w:rPr>
            </w:pPr>
          </w:p>
        </w:tc>
      </w:tr>
      <w:tr>
        <w:trPr>
          <w:trHeight w:val="302"/>
        </w:trPr>
        <w:tc>
          <w:tcPr>
            <w:tcW w:w="320" w:type="dxa"/>
            <w:vAlign w:val="bottom"/>
          </w:tcPr>
          <w:p>
            <w:pPr>
              <w:jc w:val="right"/>
              <w:ind w:right="242"/>
              <w:spacing w:after="0"/>
              <w:rPr>
                <w:sz w:val="20"/>
                <w:szCs w:val="20"/>
                <w:color w:val="auto"/>
              </w:rPr>
            </w:pPr>
            <w:r>
              <w:rPr>
                <w:rFonts w:ascii="Arial" w:cs="Arial" w:eastAsia="Arial" w:hAnsi="Arial"/>
                <w:sz w:val="8"/>
                <w:szCs w:val="8"/>
                <w:color w:val="auto"/>
                <w:w w:val="73"/>
              </w:rPr>
              <w:t>·</w:t>
            </w:r>
          </w:p>
        </w:tc>
        <w:tc>
          <w:tcPr>
            <w:tcW w:w="5720" w:type="dxa"/>
            <w:vAlign w:val="bottom"/>
          </w:tcPr>
          <w:p>
            <w:pPr>
              <w:ind w:left="280"/>
              <w:spacing w:after="0"/>
              <w:rPr>
                <w:sz w:val="20"/>
                <w:szCs w:val="20"/>
                <w:color w:val="auto"/>
              </w:rPr>
            </w:pPr>
            <w:r>
              <w:rPr>
                <w:rFonts w:ascii="Arial" w:cs="Arial" w:eastAsia="Arial" w:hAnsi="Arial"/>
                <w:sz w:val="20"/>
                <w:szCs w:val="20"/>
                <w:color w:val="auto"/>
              </w:rPr>
              <w:t>Monster Phantom™ M-100™</w:t>
            </w:r>
          </w:p>
        </w:tc>
        <w:tc>
          <w:tcPr>
            <w:tcW w:w="1140" w:type="dxa"/>
            <w:vAlign w:val="bottom"/>
          </w:tcPr>
          <w:p>
            <w:pPr>
              <w:jc w:val="right"/>
              <w:ind w:right="172"/>
              <w:spacing w:after="0"/>
              <w:rPr>
                <w:sz w:val="20"/>
                <w:szCs w:val="20"/>
                <w:color w:val="auto"/>
              </w:rPr>
            </w:pPr>
            <w:r>
              <w:rPr>
                <w:rFonts w:ascii="Arial" w:cs="Arial" w:eastAsia="Arial" w:hAnsi="Arial"/>
                <w:sz w:val="22"/>
                <w:szCs w:val="22"/>
                <w:color w:val="auto"/>
              </w:rPr>
              <w:t>·</w:t>
            </w:r>
          </w:p>
        </w:tc>
        <w:tc>
          <w:tcPr>
            <w:tcW w:w="3680" w:type="dxa"/>
            <w:vAlign w:val="bottom"/>
          </w:tcPr>
          <w:p>
            <w:pPr>
              <w:ind w:left="260"/>
              <w:spacing w:after="0"/>
              <w:rPr>
                <w:sz w:val="20"/>
                <w:szCs w:val="20"/>
                <w:color w:val="auto"/>
              </w:rPr>
            </w:pPr>
            <w:r>
              <w:rPr>
                <w:rFonts w:ascii="Arial" w:cs="Arial" w:eastAsia="Arial" w:hAnsi="Arial"/>
                <w:sz w:val="20"/>
                <w:szCs w:val="20"/>
                <w:color w:val="auto"/>
              </w:rPr>
              <w:t>Monster Energy® Gronk</w:t>
            </w:r>
          </w:p>
        </w:tc>
        <w:tc>
          <w:tcPr>
            <w:tcW w:w="0" w:type="dxa"/>
            <w:vAlign w:val="bottom"/>
          </w:tcPr>
          <w:p>
            <w:pPr>
              <w:spacing w:after="0"/>
              <w:rPr>
                <w:sz w:val="1"/>
                <w:szCs w:val="1"/>
                <w:color w:val="auto"/>
              </w:rPr>
            </w:pPr>
          </w:p>
        </w:tc>
      </w:tr>
    </w:tbl>
    <w:p>
      <w:pPr>
        <w:spacing w:after="0" w:line="20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We have three operating and reportable segments, (i) Monster Energy® Drinks segment (“Monster Energy® Drinks”), which is comprised of the Company’s Monster Energy® drink products (previously the Finished Products segment), (ii) Strategic Brands (“Strategic Brands”), which include the various energy drink brands acquired from TCCC as a result of the TCCC Transaction (previously the Concentrate segment) and (iii) Other, (“Other”) the principal products of which include the brands disposed of as a result of the TCCC Transaction as well as certain products acquired as part of the AFF Transaction that are sold to independent third-parties.</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During the six-months ended June 30, 2016, we continued to expand our existing energy drink portfolio and further develop our distribution markets. During the six-months ended June 30, 2016, we introduced the following products:</w:t>
      </w:r>
    </w:p>
    <w:p>
      <w:pPr>
        <w:spacing w:after="0" w:line="190" w:lineRule="exact"/>
        <w:rPr>
          <w:sz w:val="20"/>
          <w:szCs w:val="20"/>
          <w:color w:val="auto"/>
        </w:rPr>
      </w:pPr>
    </w:p>
    <w:p>
      <w:pPr>
        <w:ind w:left="700" w:hanging="368"/>
        <w:spacing w:after="0"/>
        <w:tabs>
          <w:tab w:leader="none" w:pos="7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Java Monster® Salted Caramel (January 2016)</w:t>
      </w:r>
    </w:p>
    <w:p>
      <w:pPr>
        <w:spacing w:after="0" w:line="15" w:lineRule="exact"/>
        <w:rPr>
          <w:rFonts w:ascii="Arial" w:cs="Arial" w:eastAsia="Arial" w:hAnsi="Arial"/>
          <w:sz w:val="20"/>
          <w:szCs w:val="20"/>
          <w:color w:val="auto"/>
        </w:rPr>
      </w:pPr>
    </w:p>
    <w:p>
      <w:pPr>
        <w:ind w:left="700" w:hanging="368"/>
        <w:spacing w:after="0"/>
        <w:tabs>
          <w:tab w:leader="none" w:pos="7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Monster Energy® Gronk, a carbonated energy drink (February 2016)</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the normal course of business we discontinue certain products and/or product lines. Those products and/or product lines discontinued during the six-months ended June 30, 2016, either individually or in aggregate, did not have a material adverse impact on our financial position, results of operations or liquidity.</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net sales of $827.5 million for the three-months ended June 30, 2016 represented record sales for our second fiscal quarter. The vast majority of our net sales are derived from our Monster Energy® brand energy drinks. Net sales of our Monster Energy® brand energy drinks were $743.5 million for the three-months ended June 30, 2016. Net sales of our Strategic Brands acquired as part of the TCCC Transaction were $77.4 million for the three-months ended June 30, 2016.</w:t>
      </w:r>
    </w:p>
    <w:p>
      <w:pPr>
        <w:spacing w:after="0" w:line="20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Changes in foreign currency exchange rates had an unfavorable impact on net sales in the Monster Energy® Drinks segment of approximately $2.6 million for the three-months ended June 30, 2016, which was primarily due to a stronger U.S. dollar compared to certain local currencies in which we conduct certain of our international business. Changes in foreign currency exchange rates had an unfavorable impact on net sales in the Strategic Brands segment of approximately $1.5 million for the three-months ended June 30, 2016, which was primarily due to a stronger U.S. dollar compared to certain local currencies in which we conduct certain of our international business.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Monster Energy® Drinks segment represented 89.8% and 93.9% of our consolidated net sales for the three-months ended June 30, 2016 and 2015, respectively. Our Strategic Brands segment represented 9.4% and 1.9% of our consolidated net sales for the three-months ended June 30, 2016 and 2015, respectively. Our Other segment represented 0.8% and 4.2% of our consolidated net sales for the three-months ended June 30, 2016 and 2015, respectively.</w:t>
      </w:r>
    </w:p>
    <w:p>
      <w:pPr>
        <w:spacing w:after="0" w:line="20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Our sales and marketing strategy for all our beverages is to focus our efforts on developing brand awareness through image enhancing programs and product sampling. We use our branded vehicles and other promotional vehicles at events where we offer samples of our products to consumers. We utilize “push-pull” methods to enhance shelf and display space exposure in sales outlets (including racks, coolers and barrel coolers), advertising, in-store promotions and in-store placement of point-of-sale materials to encourage demand from consumers for our products. We also support our brands with prize promotions, price promotions, competitions, endorsements from selected public and sports figures, personality endorsements (including from television and other well-known sports personalities), sampling and sponsorship of selected causes, events, athletes and teams. In-store posters, outdoor posters, print, radio and television advertising (directly and through our sponsorships and endorsements) and coupons may also be used to promote our brands.</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We believe that one of the keys to success in the beverage industry is differentiation, making our brands and products visually distinctive from other beverages on the shelves of retailers. We review our products and packaging on an ongoing basis and, where practical, endeavor to make them different, better and unique. The labels and graphics for many of our products are redesigned from time to time to maximize their visibility and identification, wherever they may be placed in stores, which we will continue to reevaluate from time to time.</w:t>
      </w:r>
    </w:p>
    <w:p>
      <w:pPr>
        <w:sectPr>
          <w:pgSz w:w="11900" w:h="16838" w:orient="portrait"/>
          <w:cols w:equalWidth="0" w:num="1">
            <w:col w:w="11420"/>
          </w:cols>
          <w:pgMar w:left="240" w:top="324" w:right="239" w:bottom="0" w:gutter="0" w:footer="0" w:header="0"/>
        </w:sectPr>
      </w:pPr>
    </w:p>
    <w:bookmarkStart w:id="24" w:name="page25"/>
    <w:bookmarkEnd w:id="24"/>
    <w:p>
      <w:pPr>
        <w:jc w:val="both"/>
        <w:ind w:right="60" w:firstLine="648"/>
        <w:spacing w:after="0" w:line="262" w:lineRule="auto"/>
        <w:rPr>
          <w:sz w:val="20"/>
          <w:szCs w:val="20"/>
          <w:color w:val="auto"/>
        </w:rPr>
      </w:pPr>
      <w:r>
        <w:rPr>
          <w:rFonts w:ascii="Arial" w:cs="Arial" w:eastAsia="Arial" w:hAnsi="Arial"/>
          <w:sz w:val="20"/>
          <w:szCs w:val="20"/>
          <w:color w:val="auto"/>
        </w:rPr>
        <w:t>All of our beverage products are manufactured by various third-party bottlers and co-packers situated throughout the United States and abroad, under separate arrangements with each party.</w:t>
      </w:r>
    </w:p>
    <w:p>
      <w:pPr>
        <w:spacing w:after="0" w:line="188" w:lineRule="exact"/>
        <w:rPr>
          <w:sz w:val="20"/>
          <w:szCs w:val="20"/>
          <w:color w:val="auto"/>
        </w:rPr>
      </w:pPr>
    </w:p>
    <w:p>
      <w:pPr>
        <w:jc w:val="both"/>
        <w:ind w:right="40" w:firstLine="648"/>
        <w:spacing w:after="0" w:line="243" w:lineRule="auto"/>
        <w:rPr>
          <w:sz w:val="20"/>
          <w:szCs w:val="20"/>
          <w:color w:val="auto"/>
        </w:rPr>
      </w:pPr>
      <w:r>
        <w:rPr>
          <w:rFonts w:ascii="Arial" w:cs="Arial" w:eastAsia="Arial" w:hAnsi="Arial"/>
          <w:sz w:val="20"/>
          <w:szCs w:val="20"/>
          <w:color w:val="auto"/>
        </w:rPr>
        <w:t>Our growth strategy includes expanding our international business. Gross sales to customers outside the United States amounted to $243.9 million and $187.2 million for the three-months ended June 30, 2016 and 2015, respectively. Such sales were approximately 26% and 24% of gross sales for the three-months ended June 30, 2016 and 2015, respectively. Changes in foreign currency exchange rates had an unfavorable impact on gross sales to customers outside the United States of approximately 2% and 16% for the three-months ended June 30, 2016 and 2015, respectively, which was primarily due to a stronger U.S. dollar compared to certain local currencies in which we conduct certain of our international business.</w:t>
      </w:r>
    </w:p>
    <w:p>
      <w:pPr>
        <w:spacing w:after="0" w:line="210" w:lineRule="exact"/>
        <w:rPr>
          <w:sz w:val="20"/>
          <w:szCs w:val="20"/>
          <w:color w:val="auto"/>
        </w:rPr>
      </w:pPr>
    </w:p>
    <w:p>
      <w:pPr>
        <w:jc w:val="both"/>
        <w:ind w:right="40" w:firstLine="648"/>
        <w:spacing w:after="0" w:line="243" w:lineRule="auto"/>
        <w:rPr>
          <w:sz w:val="20"/>
          <w:szCs w:val="20"/>
          <w:color w:val="auto"/>
        </w:rPr>
      </w:pPr>
      <w:r>
        <w:rPr>
          <w:rFonts w:ascii="Arial" w:cs="Arial" w:eastAsia="Arial" w:hAnsi="Arial"/>
          <w:sz w:val="20"/>
          <w:szCs w:val="20"/>
          <w:color w:val="auto"/>
        </w:rPr>
        <w:t>Our customers are primarily full service beverage bottlers/distributors, retail grocery and specialty chains, wholesalers, club stores, drug chains, mass merchandisers, convenience chains, health food distributors, food service customers and the military. Gross sales to our various customer types for the three- and six-months ended June 30, 2016 and 2015 are reflected below. Such information includes sales made by us directly to the customer types concerned, which include our full service beverage bottlers/distributors in the United States. Such full service beverage bottlers/distributors in turn sell certain of our products to some of the same customer types listed below. We limit our description of our customer types to include only our sales to our full service bottlers/distributors without reference to such bottlers/distributors’ sales to their own customers.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Pr>
          <w:p>
            <w:pPr>
              <w:spacing w:after="0"/>
              <w:rPr>
                <w:sz w:val="19"/>
                <w:szCs w:val="19"/>
                <w:color w:val="auto"/>
              </w:rPr>
            </w:pPr>
          </w:p>
        </w:tc>
        <w:tc>
          <w:tcPr>
            <w:tcW w:w="3300" w:type="dxa"/>
            <w:vAlign w:val="bottom"/>
            <w:gridSpan w:val="5"/>
          </w:tcPr>
          <w:p>
            <w:pPr>
              <w:jc w:val="center"/>
              <w:ind w:right="280"/>
              <w:spacing w:after="0"/>
              <w:rPr>
                <w:sz w:val="20"/>
                <w:szCs w:val="20"/>
                <w:color w:val="auto"/>
              </w:rPr>
            </w:pPr>
            <w:r>
              <w:rPr>
                <w:rFonts w:ascii="Arial" w:cs="Arial" w:eastAsia="Arial" w:hAnsi="Arial"/>
                <w:sz w:val="20"/>
                <w:szCs w:val="20"/>
                <w:color w:val="auto"/>
                <w:w w:val="90"/>
              </w:rPr>
              <w:t>Three-Months Ended</w:t>
            </w:r>
          </w:p>
        </w:tc>
        <w:tc>
          <w:tcPr>
            <w:tcW w:w="3020" w:type="dxa"/>
            <w:vAlign w:val="bottom"/>
            <w:gridSpan w:val="4"/>
          </w:tcPr>
          <w:p>
            <w:pPr>
              <w:jc w:val="center"/>
              <w:spacing w:after="0"/>
              <w:rPr>
                <w:sz w:val="20"/>
                <w:szCs w:val="20"/>
                <w:color w:val="auto"/>
              </w:rPr>
            </w:pPr>
            <w:r>
              <w:rPr>
                <w:rFonts w:ascii="Arial" w:cs="Arial" w:eastAsia="Arial" w:hAnsi="Arial"/>
                <w:sz w:val="20"/>
                <w:szCs w:val="20"/>
                <w:color w:val="auto"/>
                <w:w w:val="91"/>
              </w:rPr>
              <w:t>Six-Months Ended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60" w:type="dxa"/>
            <w:vAlign w:val="bottom"/>
            <w:gridSpan w:val="4"/>
          </w:tcPr>
          <w:p>
            <w:pPr>
              <w:jc w:val="center"/>
              <w:ind w:right="1320"/>
              <w:spacing w:after="0"/>
              <w:rPr>
                <w:sz w:val="20"/>
                <w:szCs w:val="20"/>
                <w:color w:val="auto"/>
              </w:rPr>
            </w:pPr>
            <w:r>
              <w:rPr>
                <w:rFonts w:ascii="Arial" w:cs="Arial" w:eastAsia="Arial" w:hAnsi="Arial"/>
                <w:sz w:val="20"/>
                <w:szCs w:val="20"/>
                <w:color w:val="auto"/>
                <w:w w:val="85"/>
              </w:rPr>
              <w:t>June 30,</w:t>
            </w:r>
          </w:p>
        </w:tc>
        <w:tc>
          <w:tcPr>
            <w:tcW w:w="1040" w:type="dxa"/>
            <w:vAlign w:val="bottom"/>
          </w:tcPr>
          <w:p>
            <w:pPr>
              <w:spacing w:after="0"/>
              <w:rPr>
                <w:sz w:val="21"/>
                <w:szCs w:val="21"/>
                <w:color w:val="auto"/>
              </w:rPr>
            </w:pPr>
          </w:p>
        </w:tc>
        <w:tc>
          <w:tcPr>
            <w:tcW w:w="1980" w:type="dxa"/>
            <w:vAlign w:val="bottom"/>
            <w:gridSpan w:val="3"/>
          </w:tcPr>
          <w:p>
            <w:pPr>
              <w:jc w:val="center"/>
              <w:ind w:right="941"/>
              <w:spacing w:after="0"/>
              <w:rPr>
                <w:sz w:val="20"/>
                <w:szCs w:val="20"/>
                <w:color w:val="auto"/>
              </w:rPr>
            </w:pPr>
            <w:r>
              <w:rPr>
                <w:rFonts w:ascii="Arial" w:cs="Arial" w:eastAsia="Arial" w:hAnsi="Arial"/>
                <w:sz w:val="20"/>
                <w:szCs w:val="20"/>
                <w:color w:val="auto"/>
                <w:w w:val="85"/>
              </w:rPr>
              <w:t>June 30,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00" w:type="dxa"/>
            <w:vAlign w:val="bottom"/>
            <w:vMerge w:val="restart"/>
          </w:tcPr>
          <w:p>
            <w:pPr>
              <w:spacing w:after="0"/>
              <w:rPr>
                <w:sz w:val="20"/>
                <w:szCs w:val="20"/>
                <w:color w:val="auto"/>
              </w:rPr>
            </w:pPr>
            <w:r>
              <w:rPr>
                <w:rFonts w:ascii="Arial" w:cs="Arial" w:eastAsia="Arial" w:hAnsi="Arial"/>
                <w:sz w:val="20"/>
                <w:szCs w:val="20"/>
                <w:color w:val="auto"/>
              </w:rPr>
              <w:t>U.S. full service bottlers/distributors</w:t>
            </w:r>
          </w:p>
        </w:tc>
        <w:tc>
          <w:tcPr>
            <w:tcW w:w="1040" w:type="dxa"/>
            <w:vAlign w:val="bottom"/>
            <w:tcBorders>
              <w:top w:val="single" w:sz="8" w:color="auto"/>
            </w:tcBorders>
          </w:tcPr>
          <w:p>
            <w:pPr>
              <w:jc w:val="center"/>
              <w:ind w:left="242"/>
              <w:spacing w:after="0" w:line="223" w:lineRule="exact"/>
              <w:rPr>
                <w:sz w:val="20"/>
                <w:szCs w:val="20"/>
                <w:color w:val="auto"/>
              </w:rPr>
            </w:pPr>
            <w:r>
              <w:rPr>
                <w:rFonts w:ascii="Arial" w:cs="Arial" w:eastAsia="Arial" w:hAnsi="Arial"/>
                <w:sz w:val="20"/>
                <w:szCs w:val="20"/>
                <w:color w:val="auto"/>
                <w:w w:val="85"/>
              </w:rPr>
              <w:t>2016</w:t>
            </w:r>
          </w:p>
        </w:tc>
        <w:tc>
          <w:tcPr>
            <w:tcW w:w="1980" w:type="dxa"/>
            <w:vAlign w:val="bottom"/>
            <w:tcBorders>
              <w:top w:val="single" w:sz="8" w:color="auto"/>
            </w:tcBorders>
            <w:gridSpan w:val="3"/>
          </w:tcPr>
          <w:p>
            <w:pPr>
              <w:jc w:val="center"/>
              <w:ind w:left="521"/>
              <w:spacing w:after="0" w:line="223" w:lineRule="exact"/>
              <w:rPr>
                <w:sz w:val="20"/>
                <w:szCs w:val="20"/>
                <w:color w:val="auto"/>
              </w:rPr>
            </w:pPr>
            <w:r>
              <w:rPr>
                <w:rFonts w:ascii="Arial" w:cs="Arial" w:eastAsia="Arial" w:hAnsi="Arial"/>
                <w:sz w:val="20"/>
                <w:szCs w:val="20"/>
                <w:color w:val="auto"/>
                <w:w w:val="89"/>
              </w:rPr>
              <w:t>2015</w:t>
            </w:r>
          </w:p>
        </w:tc>
        <w:tc>
          <w:tcPr>
            <w:tcW w:w="280" w:type="dxa"/>
            <w:vAlign w:val="bottom"/>
          </w:tcPr>
          <w:p>
            <w:pPr>
              <w:spacing w:after="0"/>
              <w:rPr>
                <w:sz w:val="19"/>
                <w:szCs w:val="19"/>
                <w:color w:val="auto"/>
              </w:rPr>
            </w:pPr>
          </w:p>
        </w:tc>
        <w:tc>
          <w:tcPr>
            <w:tcW w:w="1040" w:type="dxa"/>
            <w:vAlign w:val="bottom"/>
            <w:tcBorders>
              <w:top w:val="single" w:sz="8" w:color="auto"/>
            </w:tcBorders>
          </w:tcPr>
          <w:p>
            <w:pPr>
              <w:jc w:val="center"/>
              <w:ind w:left="241"/>
              <w:spacing w:after="0" w:line="223" w:lineRule="exact"/>
              <w:rPr>
                <w:sz w:val="20"/>
                <w:szCs w:val="20"/>
                <w:color w:val="auto"/>
              </w:rPr>
            </w:pPr>
            <w:r>
              <w:rPr>
                <w:rFonts w:ascii="Arial" w:cs="Arial" w:eastAsia="Arial" w:hAnsi="Arial"/>
                <w:sz w:val="20"/>
                <w:szCs w:val="20"/>
                <w:color w:val="auto"/>
                <w:w w:val="85"/>
              </w:rPr>
              <w:t>2016</w:t>
            </w:r>
          </w:p>
        </w:tc>
        <w:tc>
          <w:tcPr>
            <w:tcW w:w="1980" w:type="dxa"/>
            <w:vAlign w:val="bottom"/>
            <w:tcBorders>
              <w:top w:val="single" w:sz="8" w:color="auto"/>
            </w:tcBorders>
            <w:gridSpan w:val="3"/>
          </w:tcPr>
          <w:p>
            <w:pPr>
              <w:jc w:val="center"/>
              <w:ind w:left="521"/>
              <w:spacing w:after="0" w:line="223" w:lineRule="exact"/>
              <w:rPr>
                <w:sz w:val="20"/>
                <w:szCs w:val="20"/>
                <w:color w:val="auto"/>
              </w:rPr>
            </w:pPr>
            <w:r>
              <w:rPr>
                <w:rFonts w:ascii="Arial" w:cs="Arial" w:eastAsia="Arial" w:hAnsi="Arial"/>
                <w:sz w:val="20"/>
                <w:szCs w:val="20"/>
                <w:color w:val="auto"/>
                <w:w w:val="89"/>
              </w:rPr>
              <w:t>2015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100" w:type="dxa"/>
            <w:vAlign w:val="bottom"/>
            <w:vMerge w:val="continue"/>
          </w:tcPr>
          <w:p>
            <w:pPr>
              <w:spacing w:after="0"/>
              <w:rPr>
                <w:sz w:val="17"/>
                <w:szCs w:val="17"/>
                <w:color w:val="auto"/>
              </w:rPr>
            </w:pPr>
          </w:p>
        </w:tc>
        <w:tc>
          <w:tcPr>
            <w:tcW w:w="1040" w:type="dxa"/>
            <w:vAlign w:val="bottom"/>
            <w:tcBorders>
              <w:top w:val="single" w:sz="8" w:color="auto"/>
            </w:tcBorders>
          </w:tcPr>
          <w:p>
            <w:pPr>
              <w:jc w:val="center"/>
              <w:ind w:left="222"/>
              <w:spacing w:after="0" w:line="207" w:lineRule="exact"/>
              <w:rPr>
                <w:sz w:val="20"/>
                <w:szCs w:val="20"/>
                <w:color w:val="auto"/>
              </w:rPr>
            </w:pPr>
            <w:r>
              <w:rPr>
                <w:rFonts w:ascii="Arial" w:cs="Arial" w:eastAsia="Arial" w:hAnsi="Arial"/>
                <w:sz w:val="20"/>
                <w:szCs w:val="20"/>
                <w:color w:val="auto"/>
                <w:w w:val="89"/>
              </w:rPr>
              <w:t>64%</w:t>
            </w:r>
          </w:p>
        </w:tc>
        <w:tc>
          <w:tcPr>
            <w:tcW w:w="3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63%</w:t>
            </w:r>
          </w:p>
        </w:tc>
        <w:tc>
          <w:tcPr>
            <w:tcW w:w="280" w:type="dxa"/>
            <w:vAlign w:val="bottom"/>
          </w:tcPr>
          <w:p>
            <w:pPr>
              <w:spacing w:after="0"/>
              <w:rPr>
                <w:sz w:val="17"/>
                <w:szCs w:val="17"/>
                <w:color w:val="auto"/>
              </w:rPr>
            </w:pPr>
          </w:p>
        </w:tc>
        <w:tc>
          <w:tcPr>
            <w:tcW w:w="1040" w:type="dxa"/>
            <w:vAlign w:val="bottom"/>
            <w:tcBorders>
              <w:top w:val="single" w:sz="8" w:color="auto"/>
            </w:tcBorders>
          </w:tcPr>
          <w:p>
            <w:pPr>
              <w:jc w:val="center"/>
              <w:ind w:left="241"/>
              <w:spacing w:after="0" w:line="207" w:lineRule="exact"/>
              <w:rPr>
                <w:sz w:val="20"/>
                <w:szCs w:val="20"/>
                <w:color w:val="auto"/>
              </w:rPr>
            </w:pPr>
            <w:r>
              <w:rPr>
                <w:rFonts w:ascii="Arial" w:cs="Arial" w:eastAsia="Arial" w:hAnsi="Arial"/>
                <w:sz w:val="20"/>
                <w:szCs w:val="20"/>
                <w:color w:val="auto"/>
                <w:w w:val="94"/>
              </w:rPr>
              <w:t>65%</w:t>
            </w:r>
          </w:p>
        </w:tc>
        <w:tc>
          <w:tcPr>
            <w:tcW w:w="3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20"/>
                <w:szCs w:val="20"/>
                <w:color w:val="auto"/>
              </w:rPr>
              <w:t>Club stores, drug chains &amp; mass merchandisers</w:t>
            </w:r>
          </w:p>
        </w:tc>
        <w:tc>
          <w:tcPr>
            <w:tcW w:w="1040" w:type="dxa"/>
            <w:vAlign w:val="bottom"/>
          </w:tcPr>
          <w:p>
            <w:pPr>
              <w:jc w:val="center"/>
              <w:ind w:left="242"/>
              <w:spacing w:after="0"/>
              <w:rPr>
                <w:sz w:val="20"/>
                <w:szCs w:val="20"/>
                <w:color w:val="auto"/>
              </w:rPr>
            </w:pPr>
            <w:r>
              <w:rPr>
                <w:rFonts w:ascii="Arial" w:cs="Arial" w:eastAsia="Arial" w:hAnsi="Arial"/>
                <w:sz w:val="20"/>
                <w:szCs w:val="20"/>
                <w:color w:val="auto"/>
                <w:w w:val="89"/>
              </w:rPr>
              <w:t>8%</w:t>
            </w:r>
          </w:p>
        </w:tc>
        <w:tc>
          <w:tcPr>
            <w:tcW w:w="1980" w:type="dxa"/>
            <w:vAlign w:val="bottom"/>
            <w:gridSpan w:val="3"/>
          </w:tcPr>
          <w:p>
            <w:pPr>
              <w:jc w:val="center"/>
              <w:ind w:left="521"/>
              <w:spacing w:after="0"/>
              <w:rPr>
                <w:sz w:val="20"/>
                <w:szCs w:val="20"/>
                <w:color w:val="auto"/>
              </w:rPr>
            </w:pPr>
            <w:r>
              <w:rPr>
                <w:rFonts w:ascii="Arial" w:cs="Arial" w:eastAsia="Arial" w:hAnsi="Arial"/>
                <w:sz w:val="20"/>
                <w:szCs w:val="20"/>
                <w:color w:val="auto"/>
                <w:w w:val="89"/>
              </w:rPr>
              <w:t>10%</w:t>
            </w:r>
          </w:p>
        </w:tc>
        <w:tc>
          <w:tcPr>
            <w:tcW w:w="280" w:type="dxa"/>
            <w:vAlign w:val="bottom"/>
          </w:tcPr>
          <w:p>
            <w:pPr>
              <w:spacing w:after="0"/>
              <w:rPr>
                <w:sz w:val="19"/>
                <w:szCs w:val="19"/>
                <w:color w:val="auto"/>
              </w:rPr>
            </w:pPr>
          </w:p>
        </w:tc>
        <w:tc>
          <w:tcPr>
            <w:tcW w:w="1040" w:type="dxa"/>
            <w:vAlign w:val="bottom"/>
          </w:tcPr>
          <w:p>
            <w:pPr>
              <w:jc w:val="center"/>
              <w:ind w:left="241"/>
              <w:spacing w:after="0"/>
              <w:rPr>
                <w:sz w:val="20"/>
                <w:szCs w:val="20"/>
                <w:color w:val="auto"/>
              </w:rPr>
            </w:pPr>
            <w:r>
              <w:rPr>
                <w:rFonts w:ascii="Arial" w:cs="Arial" w:eastAsia="Arial" w:hAnsi="Arial"/>
                <w:sz w:val="20"/>
                <w:szCs w:val="20"/>
                <w:color w:val="auto"/>
                <w:w w:val="89"/>
              </w:rPr>
              <w:t>8%</w:t>
            </w:r>
          </w:p>
        </w:tc>
        <w:tc>
          <w:tcPr>
            <w:tcW w:w="1980" w:type="dxa"/>
            <w:vAlign w:val="bottom"/>
            <w:gridSpan w:val="3"/>
          </w:tcPr>
          <w:p>
            <w:pPr>
              <w:jc w:val="center"/>
              <w:ind w:left="521"/>
              <w:spacing w:after="0"/>
              <w:rPr>
                <w:sz w:val="20"/>
                <w:szCs w:val="20"/>
                <w:color w:val="auto"/>
              </w:rPr>
            </w:pPr>
            <w:r>
              <w:rPr>
                <w:rFonts w:ascii="Arial" w:cs="Arial" w:eastAsia="Arial" w:hAnsi="Arial"/>
                <w:sz w:val="20"/>
                <w:szCs w:val="20"/>
                <w:color w:val="auto"/>
                <w:w w:val="96"/>
              </w:rPr>
              <w:t>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20"/>
                <w:szCs w:val="20"/>
                <w:color w:val="auto"/>
              </w:rPr>
              <w:t>International full service bottlers/distributors</w:t>
            </w:r>
          </w:p>
        </w:tc>
        <w:tc>
          <w:tcPr>
            <w:tcW w:w="1040" w:type="dxa"/>
            <w:vAlign w:val="bottom"/>
          </w:tcPr>
          <w:p>
            <w:pPr>
              <w:jc w:val="center"/>
              <w:ind w:left="222"/>
              <w:spacing w:after="0"/>
              <w:rPr>
                <w:sz w:val="20"/>
                <w:szCs w:val="20"/>
                <w:color w:val="auto"/>
              </w:rPr>
            </w:pPr>
            <w:r>
              <w:rPr>
                <w:rFonts w:ascii="Arial" w:cs="Arial" w:eastAsia="Arial" w:hAnsi="Arial"/>
                <w:sz w:val="20"/>
                <w:szCs w:val="20"/>
                <w:color w:val="auto"/>
                <w:w w:val="89"/>
              </w:rPr>
              <w:t>26%</w:t>
            </w:r>
          </w:p>
        </w:tc>
        <w:tc>
          <w:tcPr>
            <w:tcW w:w="1980" w:type="dxa"/>
            <w:vAlign w:val="bottom"/>
            <w:gridSpan w:val="3"/>
          </w:tcPr>
          <w:p>
            <w:pPr>
              <w:jc w:val="center"/>
              <w:ind w:left="521"/>
              <w:spacing w:after="0"/>
              <w:rPr>
                <w:sz w:val="20"/>
                <w:szCs w:val="20"/>
                <w:color w:val="auto"/>
              </w:rPr>
            </w:pPr>
            <w:r>
              <w:rPr>
                <w:rFonts w:ascii="Arial" w:cs="Arial" w:eastAsia="Arial" w:hAnsi="Arial"/>
                <w:sz w:val="20"/>
                <w:szCs w:val="20"/>
                <w:color w:val="auto"/>
                <w:w w:val="89"/>
              </w:rPr>
              <w:t>24%</w:t>
            </w:r>
          </w:p>
        </w:tc>
        <w:tc>
          <w:tcPr>
            <w:tcW w:w="280" w:type="dxa"/>
            <w:vAlign w:val="bottom"/>
          </w:tcPr>
          <w:p>
            <w:pPr>
              <w:spacing w:after="0"/>
              <w:rPr>
                <w:sz w:val="19"/>
                <w:szCs w:val="19"/>
                <w:color w:val="auto"/>
              </w:rPr>
            </w:pPr>
          </w:p>
        </w:tc>
        <w:tc>
          <w:tcPr>
            <w:tcW w:w="1040" w:type="dxa"/>
            <w:vAlign w:val="bottom"/>
          </w:tcPr>
          <w:p>
            <w:pPr>
              <w:jc w:val="center"/>
              <w:ind w:left="241"/>
              <w:spacing w:after="0"/>
              <w:rPr>
                <w:sz w:val="20"/>
                <w:szCs w:val="20"/>
                <w:color w:val="auto"/>
              </w:rPr>
            </w:pPr>
            <w:r>
              <w:rPr>
                <w:rFonts w:ascii="Arial" w:cs="Arial" w:eastAsia="Arial" w:hAnsi="Arial"/>
                <w:sz w:val="20"/>
                <w:szCs w:val="20"/>
                <w:color w:val="auto"/>
                <w:w w:val="94"/>
              </w:rPr>
              <w:t>25%</w:t>
            </w:r>
          </w:p>
        </w:tc>
        <w:tc>
          <w:tcPr>
            <w:tcW w:w="1980" w:type="dxa"/>
            <w:vAlign w:val="bottom"/>
            <w:gridSpan w:val="3"/>
          </w:tcPr>
          <w:p>
            <w:pPr>
              <w:jc w:val="center"/>
              <w:ind w:left="521"/>
              <w:spacing w:after="0"/>
              <w:rPr>
                <w:sz w:val="20"/>
                <w:szCs w:val="20"/>
                <w:color w:val="auto"/>
              </w:rPr>
            </w:pPr>
            <w:r>
              <w:rPr>
                <w:rFonts w:ascii="Arial" w:cs="Arial" w:eastAsia="Arial" w:hAnsi="Arial"/>
                <w:sz w:val="20"/>
                <w:szCs w:val="20"/>
                <w:color w:val="auto"/>
                <w:w w:val="89"/>
              </w:rPr>
              <w:t>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20"/>
                <w:szCs w:val="20"/>
                <w:color w:val="auto"/>
              </w:rPr>
              <w:t>Retail grocery, specialty chains and wholesalers</w:t>
            </w:r>
          </w:p>
        </w:tc>
        <w:tc>
          <w:tcPr>
            <w:tcW w:w="1040" w:type="dxa"/>
            <w:vAlign w:val="bottom"/>
          </w:tcPr>
          <w:p>
            <w:pPr>
              <w:jc w:val="center"/>
              <w:ind w:left="242"/>
              <w:spacing w:after="0"/>
              <w:rPr>
                <w:sz w:val="20"/>
                <w:szCs w:val="20"/>
                <w:color w:val="auto"/>
              </w:rPr>
            </w:pPr>
            <w:r>
              <w:rPr>
                <w:rFonts w:ascii="Arial" w:cs="Arial" w:eastAsia="Arial" w:hAnsi="Arial"/>
                <w:sz w:val="20"/>
                <w:szCs w:val="20"/>
                <w:color w:val="auto"/>
                <w:w w:val="89"/>
              </w:rPr>
              <w:t>1%</w:t>
            </w:r>
          </w:p>
        </w:tc>
        <w:tc>
          <w:tcPr>
            <w:tcW w:w="1980" w:type="dxa"/>
            <w:vAlign w:val="bottom"/>
            <w:gridSpan w:val="3"/>
          </w:tcPr>
          <w:p>
            <w:pPr>
              <w:jc w:val="center"/>
              <w:ind w:left="541"/>
              <w:spacing w:after="0"/>
              <w:rPr>
                <w:sz w:val="20"/>
                <w:szCs w:val="20"/>
                <w:color w:val="auto"/>
              </w:rPr>
            </w:pPr>
            <w:r>
              <w:rPr>
                <w:rFonts w:ascii="Arial" w:cs="Arial" w:eastAsia="Arial" w:hAnsi="Arial"/>
                <w:sz w:val="20"/>
                <w:szCs w:val="20"/>
                <w:color w:val="auto"/>
                <w:w w:val="89"/>
              </w:rPr>
              <w:t>3%</w:t>
            </w:r>
          </w:p>
        </w:tc>
        <w:tc>
          <w:tcPr>
            <w:tcW w:w="280" w:type="dxa"/>
            <w:vAlign w:val="bottom"/>
          </w:tcPr>
          <w:p>
            <w:pPr>
              <w:spacing w:after="0"/>
              <w:rPr>
                <w:sz w:val="19"/>
                <w:szCs w:val="19"/>
                <w:color w:val="auto"/>
              </w:rPr>
            </w:pPr>
          </w:p>
        </w:tc>
        <w:tc>
          <w:tcPr>
            <w:tcW w:w="1040" w:type="dxa"/>
            <w:vAlign w:val="bottom"/>
          </w:tcPr>
          <w:p>
            <w:pPr>
              <w:jc w:val="center"/>
              <w:ind w:left="241"/>
              <w:spacing w:after="0"/>
              <w:rPr>
                <w:sz w:val="20"/>
                <w:szCs w:val="20"/>
                <w:color w:val="auto"/>
              </w:rPr>
            </w:pPr>
            <w:r>
              <w:rPr>
                <w:rFonts w:ascii="Arial" w:cs="Arial" w:eastAsia="Arial" w:hAnsi="Arial"/>
                <w:sz w:val="20"/>
                <w:szCs w:val="20"/>
                <w:color w:val="auto"/>
                <w:w w:val="89"/>
              </w:rPr>
              <w:t>1%</w:t>
            </w:r>
          </w:p>
        </w:tc>
        <w:tc>
          <w:tcPr>
            <w:tcW w:w="1980" w:type="dxa"/>
            <w:vAlign w:val="bottom"/>
            <w:gridSpan w:val="3"/>
          </w:tcPr>
          <w:p>
            <w:pPr>
              <w:jc w:val="center"/>
              <w:ind w:left="521"/>
              <w:spacing w:after="0"/>
              <w:rPr>
                <w:sz w:val="20"/>
                <w:szCs w:val="20"/>
                <w:color w:val="auto"/>
              </w:rPr>
            </w:pPr>
            <w:r>
              <w:rPr>
                <w:rFonts w:ascii="Arial" w:cs="Arial" w:eastAsia="Arial" w:hAnsi="Arial"/>
                <w:sz w:val="20"/>
                <w:szCs w:val="20"/>
                <w:color w:val="auto"/>
                <w:w w:val="96"/>
              </w:rPr>
              <w:t>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100" w:type="dxa"/>
            <w:vAlign w:val="bottom"/>
          </w:tcPr>
          <w:p>
            <w:pPr>
              <w:spacing w:after="0"/>
              <w:rPr>
                <w:sz w:val="20"/>
                <w:szCs w:val="20"/>
                <w:color w:val="auto"/>
              </w:rPr>
            </w:pPr>
            <w:r>
              <w:rPr>
                <w:rFonts w:ascii="Arial" w:cs="Arial" w:eastAsia="Arial" w:hAnsi="Arial"/>
                <w:sz w:val="20"/>
                <w:szCs w:val="20"/>
                <w:color w:val="auto"/>
              </w:rPr>
              <w:t>Other</w:t>
            </w:r>
          </w:p>
        </w:tc>
        <w:tc>
          <w:tcPr>
            <w:tcW w:w="1040" w:type="dxa"/>
            <w:vAlign w:val="bottom"/>
          </w:tcPr>
          <w:p>
            <w:pPr>
              <w:jc w:val="center"/>
              <w:ind w:left="242"/>
              <w:spacing w:after="0"/>
              <w:rPr>
                <w:sz w:val="20"/>
                <w:szCs w:val="20"/>
                <w:color w:val="auto"/>
              </w:rPr>
            </w:pPr>
            <w:r>
              <w:rPr>
                <w:rFonts w:ascii="Arial" w:cs="Arial" w:eastAsia="Arial" w:hAnsi="Arial"/>
                <w:sz w:val="20"/>
                <w:szCs w:val="20"/>
                <w:color w:val="auto"/>
                <w:w w:val="89"/>
              </w:rPr>
              <w:t>1%</w:t>
            </w:r>
          </w:p>
        </w:tc>
        <w:tc>
          <w:tcPr>
            <w:tcW w:w="1980" w:type="dxa"/>
            <w:vAlign w:val="bottom"/>
            <w:gridSpan w:val="3"/>
          </w:tcPr>
          <w:p>
            <w:pPr>
              <w:jc w:val="center"/>
              <w:ind w:left="541"/>
              <w:spacing w:after="0"/>
              <w:rPr>
                <w:sz w:val="20"/>
                <w:szCs w:val="20"/>
                <w:color w:val="auto"/>
              </w:rPr>
            </w:pPr>
            <w:r>
              <w:rPr>
                <w:rFonts w:ascii="Arial" w:cs="Arial" w:eastAsia="Arial" w:hAnsi="Arial"/>
                <w:sz w:val="20"/>
                <w:szCs w:val="20"/>
                <w:color w:val="auto"/>
                <w:w w:val="89"/>
              </w:rPr>
              <w:t>0%</w:t>
            </w:r>
          </w:p>
        </w:tc>
        <w:tc>
          <w:tcPr>
            <w:tcW w:w="280" w:type="dxa"/>
            <w:vAlign w:val="bottom"/>
          </w:tcPr>
          <w:p>
            <w:pPr>
              <w:spacing w:after="0"/>
              <w:rPr>
                <w:sz w:val="21"/>
                <w:szCs w:val="21"/>
                <w:color w:val="auto"/>
              </w:rPr>
            </w:pPr>
          </w:p>
        </w:tc>
        <w:tc>
          <w:tcPr>
            <w:tcW w:w="1040" w:type="dxa"/>
            <w:vAlign w:val="bottom"/>
          </w:tcPr>
          <w:p>
            <w:pPr>
              <w:jc w:val="center"/>
              <w:ind w:left="241"/>
              <w:spacing w:after="0"/>
              <w:rPr>
                <w:sz w:val="20"/>
                <w:szCs w:val="20"/>
                <w:color w:val="auto"/>
              </w:rPr>
            </w:pPr>
            <w:r>
              <w:rPr>
                <w:rFonts w:ascii="Arial" w:cs="Arial" w:eastAsia="Arial" w:hAnsi="Arial"/>
                <w:sz w:val="20"/>
                <w:szCs w:val="20"/>
                <w:color w:val="auto"/>
                <w:w w:val="89"/>
              </w:rPr>
              <w:t>1%</w:t>
            </w:r>
          </w:p>
        </w:tc>
        <w:tc>
          <w:tcPr>
            <w:tcW w:w="1980" w:type="dxa"/>
            <w:vAlign w:val="bottom"/>
            <w:gridSpan w:val="3"/>
          </w:tcPr>
          <w:p>
            <w:pPr>
              <w:jc w:val="center"/>
              <w:ind w:left="521"/>
              <w:spacing w:after="0"/>
              <w:rPr>
                <w:sz w:val="20"/>
                <w:szCs w:val="20"/>
                <w:color w:val="auto"/>
              </w:rPr>
            </w:pPr>
            <w:r>
              <w:rPr>
                <w:rFonts w:ascii="Arial" w:cs="Arial" w:eastAsia="Arial" w:hAnsi="Arial"/>
                <w:sz w:val="20"/>
                <w:szCs w:val="20"/>
                <w:color w:val="auto"/>
                <w:w w:val="96"/>
              </w:rPr>
              <w:t>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8"/>
        </w:trPr>
        <w:tc>
          <w:tcPr>
            <w:tcW w:w="5100" w:type="dxa"/>
            <w:vAlign w:val="bottom"/>
          </w:tcPr>
          <w:p>
            <w:pPr>
              <w:spacing w:after="0"/>
              <w:rPr>
                <w:sz w:val="24"/>
                <w:szCs w:val="24"/>
                <w:color w:val="auto"/>
              </w:rPr>
            </w:pPr>
          </w:p>
        </w:tc>
        <w:tc>
          <w:tcPr>
            <w:tcW w:w="1040" w:type="dxa"/>
            <w:vAlign w:val="bottom"/>
          </w:tcPr>
          <w:p>
            <w:pPr>
              <w:jc w:val="right"/>
              <w:ind w:right="242"/>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10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0" w:firstLine="648"/>
        <w:spacing w:after="0" w:line="269" w:lineRule="auto"/>
        <w:rPr>
          <w:sz w:val="20"/>
          <w:szCs w:val="20"/>
          <w:color w:val="auto"/>
        </w:rPr>
      </w:pPr>
      <w:r>
        <w:rPr>
          <w:rFonts w:ascii="Arial" w:cs="Arial" w:eastAsia="Arial" w:hAnsi="Arial"/>
          <w:sz w:val="17"/>
          <w:szCs w:val="17"/>
          <w:color w:val="auto"/>
        </w:rPr>
        <w:t>Our customers include Coca-Cola Refreshments USA, Inc., Coca-Cola Bottling Company, CCBCC Operations, LLC, United Bottling Contracts Company, LLC, Swire Coca-Cola, USA and certain other TCCC independent bottlers, Coca-Cola Enterprises, Inc., Coca-Cola Hellenic, Asahi, Kalil Bottling Group, Wal-Mart, Inc. (including Sam’s Club), Costco, Anheuser Busch (“AB”) and select independent AB distributors (“AB Distributors”). In February 2015, in accordance with our then existing agreements with the applicable AB Distributors, we sent notices of termination to the majority of the AB Distributors in the U.S. for the termination of their respective distribution agreements. The associated distribution rights relating to such terminated distribution agreements have been transitioned to TCCC’s network of owned or controlled bottlers/distributors and independent bottlers/distributors as of the effective date of termination of the affected AB Distributors’ rights in the applicable territories. As of August 5, 2016, distribution rights in the U.S. representing approximately 89% of the target case sales have been transitioned to TCCC’s distribution network. A decision by any large customer to decrease amounts purchased from us or to cease carrying our products could have a material negative effect on our financial condition and consolidated results of operations. TCCC, through certain wholly-owned subsidiaries (the “TCCC Subsidiaries”), accounted for approximately 42% and 45% of our net sales for the three-months ended June 30, 2016 and 2015, respectively. TCCC, through the TCCC Subsidiaries, accounted for approximately 44% and 40% of our net sales for the six-months ended June 30, 2016 and 2015, respectively.</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sets forth key statistics for the three- and six-months ended June 30, 2016 and 2015.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Percentage</w:t>
            </w:r>
          </w:p>
        </w:tc>
        <w:tc>
          <w:tcPr>
            <w:tcW w:w="24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Six-Months Ended</w:t>
            </w: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r>
              <w:rPr>
                <w:rFonts w:ascii="Arial" w:cs="Arial" w:eastAsia="Arial" w:hAnsi="Arial"/>
                <w:sz w:val="18"/>
                <w:szCs w:val="18"/>
                <w:color w:val="auto"/>
              </w:rPr>
              <w:t>(In thousands, except per share amounts)</w:t>
            </w:r>
          </w:p>
        </w:tc>
        <w:tc>
          <w:tcPr>
            <w:tcW w:w="240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91"/>
              </w:rPr>
              <w:t>Three-Months Ended June 30,</w:t>
            </w:r>
          </w:p>
        </w:tc>
        <w:tc>
          <w:tcPr>
            <w:tcW w:w="160" w:type="dxa"/>
            <w:vAlign w:val="bottom"/>
          </w:tcPr>
          <w:p>
            <w:pPr>
              <w:spacing w:after="0"/>
              <w:rPr>
                <w:sz w:val="20"/>
                <w:szCs w:val="20"/>
                <w:color w:val="auto"/>
              </w:rPr>
            </w:pPr>
          </w:p>
        </w:tc>
        <w:tc>
          <w:tcPr>
            <w:tcW w:w="13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90"/>
              </w:rPr>
              <w:t>Change</w:t>
            </w:r>
          </w:p>
        </w:tc>
        <w:tc>
          <w:tcPr>
            <w:tcW w:w="162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0" w:type="dxa"/>
            <w:vAlign w:val="bottom"/>
          </w:tcPr>
          <w:p>
            <w:pPr>
              <w:spacing w:after="0"/>
              <w:rPr>
                <w:sz w:val="1"/>
                <w:szCs w:val="1"/>
                <w:color w:val="auto"/>
              </w:rPr>
            </w:pPr>
          </w:p>
        </w:tc>
      </w:tr>
      <w:tr>
        <w:trPr>
          <w:trHeight w:val="210"/>
        </w:trPr>
        <w:tc>
          <w:tcPr>
            <w:tcW w:w="3720" w:type="dxa"/>
            <w:vAlign w:val="bottom"/>
            <w:vMerge w:val="restart"/>
          </w:tcPr>
          <w:p>
            <w:pPr>
              <w:spacing w:after="0"/>
              <w:rPr>
                <w:sz w:val="20"/>
                <w:szCs w:val="20"/>
                <w:color w:val="auto"/>
              </w:rPr>
            </w:pPr>
            <w:r>
              <w:rPr>
                <w:rFonts w:ascii="Arial" w:cs="Arial" w:eastAsia="Arial" w:hAnsi="Arial"/>
                <w:sz w:val="18"/>
                <w:szCs w:val="18"/>
                <w:color w:val="auto"/>
              </w:rPr>
              <w:t>Net sales¹</w:t>
            </w:r>
          </w:p>
        </w:tc>
        <w:tc>
          <w:tcPr>
            <w:tcW w:w="260" w:type="dxa"/>
            <w:vAlign w:val="bottom"/>
          </w:tcPr>
          <w:p>
            <w:pPr>
              <w:spacing w:after="0"/>
              <w:rPr>
                <w:sz w:val="18"/>
                <w:szCs w:val="18"/>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16 vs. 15</w:t>
            </w: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5"/>
              </w:rPr>
              <w:t>16 vs. 15</w:t>
            </w:r>
          </w:p>
        </w:tc>
        <w:tc>
          <w:tcPr>
            <w:tcW w:w="0" w:type="dxa"/>
            <w:vAlign w:val="bottom"/>
          </w:tcPr>
          <w:p>
            <w:pPr>
              <w:spacing w:after="0"/>
              <w:rPr>
                <w:sz w:val="1"/>
                <w:szCs w:val="1"/>
                <w:color w:val="auto"/>
              </w:rPr>
            </w:pPr>
          </w:p>
        </w:tc>
      </w:tr>
      <w:tr>
        <w:trPr>
          <w:trHeight w:val="195"/>
        </w:trPr>
        <w:tc>
          <w:tcPr>
            <w:tcW w:w="3720" w:type="dxa"/>
            <w:vAlign w:val="bottom"/>
            <w:vMerge w:val="continue"/>
          </w:tcPr>
          <w:p>
            <w:pPr>
              <w:spacing w:after="0"/>
              <w:rPr>
                <w:sz w:val="16"/>
                <w:szCs w:val="16"/>
                <w:color w:val="auto"/>
              </w:rPr>
            </w:pPr>
          </w:p>
        </w:tc>
        <w:tc>
          <w:tcPr>
            <w:tcW w:w="26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827,488</w:t>
            </w:r>
          </w:p>
        </w:tc>
        <w:tc>
          <w:tcPr>
            <w:tcW w:w="160" w:type="dxa"/>
            <w:vAlign w:val="bottom"/>
          </w:tcPr>
          <w:p>
            <w:pPr>
              <w:spacing w:after="0"/>
              <w:rPr>
                <w:sz w:val="16"/>
                <w:szCs w:val="16"/>
                <w:color w:val="auto"/>
              </w:rPr>
            </w:pPr>
          </w:p>
        </w:tc>
        <w:tc>
          <w:tcPr>
            <w:tcW w:w="26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693,722</w:t>
            </w:r>
          </w:p>
        </w:tc>
        <w:tc>
          <w:tcPr>
            <w:tcW w:w="160" w:type="dxa"/>
            <w:vAlign w:val="bottom"/>
          </w:tcPr>
          <w:p>
            <w:pPr>
              <w:spacing w:after="0"/>
              <w:rPr>
                <w:sz w:val="16"/>
                <w:szCs w:val="16"/>
                <w:color w:val="auto"/>
              </w:rPr>
            </w:pP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19.3%</w:t>
            </w:r>
          </w:p>
        </w:tc>
        <w:tc>
          <w:tcPr>
            <w:tcW w:w="160" w:type="dxa"/>
            <w:vAlign w:val="bottom"/>
          </w:tcPr>
          <w:p>
            <w:pPr>
              <w:spacing w:after="0"/>
              <w:rPr>
                <w:sz w:val="16"/>
                <w:szCs w:val="16"/>
                <w:color w:val="auto"/>
              </w:rPr>
            </w:pPr>
          </w:p>
        </w:tc>
        <w:tc>
          <w:tcPr>
            <w:tcW w:w="12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   1,507,674</w:t>
            </w:r>
          </w:p>
        </w:tc>
        <w:tc>
          <w:tcPr>
            <w:tcW w:w="160" w:type="dxa"/>
            <w:vAlign w:val="bottom"/>
          </w:tcPr>
          <w:p>
            <w:pPr>
              <w:spacing w:after="0"/>
              <w:rPr>
                <w:sz w:val="16"/>
                <w:szCs w:val="16"/>
                <w:color w:val="auto"/>
              </w:rPr>
            </w:pPr>
          </w:p>
        </w:tc>
        <w:tc>
          <w:tcPr>
            <w:tcW w:w="24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7"/>
              </w:rPr>
              <w:t>1,320,512</w:t>
            </w:r>
          </w:p>
        </w:tc>
        <w:tc>
          <w:tcPr>
            <w:tcW w:w="180" w:type="dxa"/>
            <w:vAlign w:val="bottom"/>
          </w:tcPr>
          <w:p>
            <w:pPr>
              <w:spacing w:after="0"/>
              <w:rPr>
                <w:sz w:val="16"/>
                <w:szCs w:val="16"/>
                <w:color w:val="auto"/>
              </w:rPr>
            </w:pPr>
          </w:p>
        </w:tc>
        <w:tc>
          <w:tcPr>
            <w:tcW w:w="1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309,674</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299,214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566,762</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557,048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5"/>
        </w:trPr>
        <w:tc>
          <w:tcPr>
            <w:tcW w:w="3720" w:type="dxa"/>
            <w:vAlign w:val="bottom"/>
          </w:tcPr>
          <w:p>
            <w:pPr>
              <w:spacing w:after="0" w:line="195" w:lineRule="exact"/>
              <w:rPr>
                <w:sz w:val="20"/>
                <w:szCs w:val="20"/>
                <w:color w:val="auto"/>
              </w:rPr>
            </w:pPr>
            <w:r>
              <w:rPr>
                <w:rFonts w:ascii="Arial" w:cs="Arial" w:eastAsia="Arial" w:hAnsi="Arial"/>
                <w:sz w:val="18"/>
                <w:szCs w:val="18"/>
                <w:color w:val="auto"/>
              </w:rPr>
              <w:t>Gross profit*¹</w:t>
            </w:r>
          </w:p>
        </w:tc>
        <w:tc>
          <w:tcPr>
            <w:tcW w:w="260" w:type="dxa"/>
            <w:vAlign w:val="bottom"/>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517,814</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394,508</w:t>
            </w:r>
          </w:p>
        </w:tc>
        <w:tc>
          <w:tcPr>
            <w:tcW w:w="130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31.3%</w:t>
            </w:r>
          </w:p>
        </w:tc>
        <w:tc>
          <w:tcPr>
            <w:tcW w:w="160" w:type="dxa"/>
            <w:vAlign w:val="bottom"/>
          </w:tcPr>
          <w:p>
            <w:pPr>
              <w:spacing w:after="0"/>
              <w:rPr>
                <w:sz w:val="16"/>
                <w:szCs w:val="16"/>
                <w:color w:val="auto"/>
              </w:rPr>
            </w:pPr>
          </w:p>
        </w:tc>
        <w:tc>
          <w:tcPr>
            <w:tcW w:w="1220" w:type="dxa"/>
            <w:vAlign w:val="bottom"/>
          </w:tcPr>
          <w:p>
            <w:pPr>
              <w:jc w:val="right"/>
              <w:spacing w:after="0" w:line="195" w:lineRule="exact"/>
              <w:rPr>
                <w:sz w:val="20"/>
                <w:szCs w:val="20"/>
                <w:color w:val="auto"/>
              </w:rPr>
            </w:pPr>
            <w:r>
              <w:rPr>
                <w:rFonts w:ascii="Arial" w:cs="Arial" w:eastAsia="Arial" w:hAnsi="Arial"/>
                <w:sz w:val="18"/>
                <w:szCs w:val="18"/>
                <w:color w:val="auto"/>
              </w:rPr>
              <w:t>940,912</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763,464</w:t>
            </w:r>
          </w:p>
        </w:tc>
        <w:tc>
          <w:tcPr>
            <w:tcW w:w="130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Gross profit as a percentage of net sales¹</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62.6%</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56.9%</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62.4%</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57.8%</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720" w:type="dxa"/>
            <w:vAlign w:val="bottom"/>
          </w:tcPr>
          <w:p>
            <w:pPr>
              <w:spacing w:after="0"/>
              <w:rPr>
                <w:sz w:val="20"/>
                <w:szCs w:val="20"/>
                <w:color w:val="auto"/>
              </w:rPr>
            </w:pPr>
            <w:r>
              <w:rPr>
                <w:rFonts w:ascii="Arial" w:cs="Arial" w:eastAsia="Arial" w:hAnsi="Arial"/>
                <w:sz w:val="18"/>
                <w:szCs w:val="18"/>
                <w:color w:val="auto"/>
              </w:rPr>
              <w:t>Operating expenses²,³</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229,291</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189,839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397,675</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551,167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w w:val="94"/>
              </w:rPr>
              <w:t>Operating expenses as a percentage of net sales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27.7%</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27.4%</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26.4%</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41.7%</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20" w:type="dxa"/>
            <w:vAlign w:val="bottom"/>
          </w:tcPr>
          <w:p>
            <w:pPr>
              <w:spacing w:after="0"/>
              <w:rPr>
                <w:sz w:val="20"/>
                <w:szCs w:val="20"/>
                <w:color w:val="auto"/>
              </w:rPr>
            </w:pPr>
            <w:r>
              <w:rPr>
                <w:rFonts w:ascii="Arial" w:cs="Arial" w:eastAsia="Arial" w:hAnsi="Arial"/>
                <w:sz w:val="18"/>
                <w:szCs w:val="18"/>
                <w:color w:val="auto"/>
              </w:rPr>
              <w:t>Gain on sale of Monster Non-Energy</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161,470</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161,470</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3720" w:type="dxa"/>
            <w:vAlign w:val="bottom"/>
          </w:tcPr>
          <w:p>
            <w:pPr>
              <w:spacing w:after="0"/>
              <w:rPr>
                <w:sz w:val="20"/>
                <w:szCs w:val="20"/>
                <w:color w:val="auto"/>
              </w:rPr>
            </w:pPr>
            <w:r>
              <w:rPr>
                <w:rFonts w:ascii="Arial" w:cs="Arial" w:eastAsia="Arial" w:hAnsi="Arial"/>
                <w:sz w:val="18"/>
                <w:szCs w:val="18"/>
                <w:color w:val="auto"/>
              </w:rPr>
              <w:t>Operating income¹,²,³</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288,523</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366,139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(21.2%)</w:t>
            </w: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543,237</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373,767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w w:val="99"/>
              </w:rPr>
              <w:t>Operating income as a percentage of net sales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34.9%</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52.8%</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28.3%</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20" w:type="dxa"/>
            <w:vAlign w:val="bottom"/>
          </w:tcPr>
          <w:p>
            <w:pPr>
              <w:spacing w:after="0"/>
              <w:rPr>
                <w:sz w:val="20"/>
                <w:szCs w:val="20"/>
                <w:color w:val="auto"/>
              </w:rPr>
            </w:pPr>
            <w:r>
              <w:rPr>
                <w:rFonts w:ascii="Arial" w:cs="Arial" w:eastAsia="Arial" w:hAnsi="Arial"/>
                <w:sz w:val="18"/>
                <w:szCs w:val="18"/>
                <w:color w:val="auto"/>
              </w:rPr>
              <w:t>Interest and other (expense) income, net</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(78.1%)</w:t>
            </w:r>
          </w:p>
        </w:tc>
        <w:tc>
          <w:tcPr>
            <w:tcW w:w="160" w:type="dxa"/>
            <w:vAlign w:val="bottom"/>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426"/>
        </w:trPr>
        <w:tc>
          <w:tcPr>
            <w:tcW w:w="3720" w:type="dxa"/>
            <w:vAlign w:val="bottom"/>
          </w:tcPr>
          <w:p>
            <w:pPr>
              <w:spacing w:after="0"/>
              <w:rPr>
                <w:sz w:val="20"/>
                <w:szCs w:val="20"/>
                <w:color w:val="auto"/>
              </w:rPr>
            </w:pPr>
            <w:r>
              <w:rPr>
                <w:rFonts w:ascii="Arial" w:cs="Arial" w:eastAsia="Arial" w:hAnsi="Arial"/>
                <w:sz w:val="18"/>
                <w:szCs w:val="18"/>
                <w:color w:val="auto"/>
              </w:rPr>
              <w:t>Income before provision for income taxes¹,²,³</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288,301</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365,124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543,623</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373,985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bl>
    <w:p>
      <w:pPr>
        <w:sectPr>
          <w:pgSz w:w="11900" w:h="16838" w:orient="portrait"/>
          <w:cols w:equalWidth="0" w:num="1">
            <w:col w:w="11460"/>
          </w:cols>
          <w:pgMar w:left="240" w:top="121" w:right="199" w:bottom="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104,082</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136,120</w:t>
            </w:r>
          </w:p>
        </w:tc>
        <w:tc>
          <w:tcPr>
            <w:tcW w:w="1460" w:type="dxa"/>
            <w:vAlign w:val="bottom"/>
          </w:tcPr>
          <w:p>
            <w:pPr>
              <w:jc w:val="center"/>
              <w:ind w:left="430"/>
              <w:spacing w:after="0"/>
              <w:rPr>
                <w:sz w:val="20"/>
                <w:szCs w:val="20"/>
                <w:color w:val="auto"/>
              </w:rPr>
            </w:pPr>
            <w:r>
              <w:rPr>
                <w:rFonts w:ascii="Arial" w:cs="Arial" w:eastAsia="Arial" w:hAnsi="Arial"/>
                <w:sz w:val="18"/>
                <w:szCs w:val="18"/>
                <w:color w:val="auto"/>
                <w:w w:val="91"/>
              </w:rPr>
              <w:t>(23.5%)</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195,526</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140,568</w:t>
            </w:r>
          </w:p>
        </w:tc>
        <w:tc>
          <w:tcPr>
            <w:tcW w:w="1220" w:type="dxa"/>
            <w:vAlign w:val="bottom"/>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411"/>
        </w:trPr>
        <w:tc>
          <w:tcPr>
            <w:tcW w:w="3720" w:type="dxa"/>
            <w:vAlign w:val="bottom"/>
          </w:tcPr>
          <w:p>
            <w:pPr>
              <w:spacing w:after="0"/>
              <w:rPr>
                <w:sz w:val="20"/>
                <w:szCs w:val="20"/>
                <w:color w:val="auto"/>
              </w:rPr>
            </w:pPr>
            <w:r>
              <w:rPr>
                <w:rFonts w:ascii="Arial" w:cs="Arial" w:eastAsia="Arial" w:hAnsi="Arial"/>
                <w:sz w:val="18"/>
                <w:szCs w:val="18"/>
                <w:color w:val="auto"/>
                <w:w w:val="97"/>
              </w:rPr>
              <w:t>Income taxes as a percentage of income before</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180"/>
              <w:spacing w:after="0"/>
              <w:rPr>
                <w:sz w:val="20"/>
                <w:szCs w:val="20"/>
                <w:color w:val="auto"/>
              </w:rPr>
            </w:pPr>
            <w:r>
              <w:rPr>
                <w:rFonts w:ascii="Arial" w:cs="Arial" w:eastAsia="Arial" w:hAnsi="Arial"/>
                <w:sz w:val="18"/>
                <w:szCs w:val="18"/>
                <w:color w:val="auto"/>
              </w:rPr>
              <w:t>taxes</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36.1%</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37.3%</w:t>
            </w:r>
          </w:p>
        </w:tc>
        <w:tc>
          <w:tcPr>
            <w:tcW w:w="1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37.6%</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20" w:type="dxa"/>
            <w:vAlign w:val="bottom"/>
          </w:tcPr>
          <w:p>
            <w:pPr>
              <w:spacing w:after="0"/>
              <w:rPr>
                <w:sz w:val="20"/>
                <w:szCs w:val="20"/>
                <w:color w:val="auto"/>
              </w:rPr>
            </w:pPr>
            <w:r>
              <w:rPr>
                <w:rFonts w:ascii="Arial" w:cs="Arial" w:eastAsia="Arial" w:hAnsi="Arial"/>
                <w:sz w:val="18"/>
                <w:szCs w:val="18"/>
                <w:color w:val="auto"/>
              </w:rPr>
              <w:t>Net income¹,²,³</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184,219</w:t>
            </w:r>
          </w:p>
        </w:tc>
        <w:tc>
          <w:tcPr>
            <w:tcW w:w="160" w:type="dxa"/>
            <w:vAlign w:val="bottom"/>
          </w:tcPr>
          <w:p>
            <w:pPr>
              <w:spacing w:after="0"/>
              <w:rPr>
                <w:sz w:val="24"/>
                <w:szCs w:val="24"/>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229,004</w:t>
            </w:r>
          </w:p>
        </w:tc>
        <w:tc>
          <w:tcPr>
            <w:tcW w:w="1460" w:type="dxa"/>
            <w:vAlign w:val="bottom"/>
          </w:tcPr>
          <w:p>
            <w:pPr>
              <w:jc w:val="center"/>
              <w:ind w:left="430"/>
              <w:spacing w:after="0"/>
              <w:rPr>
                <w:sz w:val="20"/>
                <w:szCs w:val="20"/>
                <w:color w:val="auto"/>
              </w:rPr>
            </w:pPr>
            <w:r>
              <w:rPr>
                <w:rFonts w:ascii="Arial" w:cs="Arial" w:eastAsia="Arial" w:hAnsi="Arial"/>
                <w:sz w:val="18"/>
                <w:szCs w:val="18"/>
                <w:color w:val="auto"/>
                <w:w w:val="91"/>
              </w:rPr>
              <w:t>(19.6%)</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348,097</w:t>
            </w:r>
          </w:p>
        </w:tc>
        <w:tc>
          <w:tcPr>
            <w:tcW w:w="160" w:type="dxa"/>
            <w:vAlign w:val="bottom"/>
          </w:tcPr>
          <w:p>
            <w:pPr>
              <w:spacing w:after="0"/>
              <w:rPr>
                <w:sz w:val="24"/>
                <w:szCs w:val="24"/>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233,417</w:t>
            </w:r>
          </w:p>
        </w:tc>
        <w:tc>
          <w:tcPr>
            <w:tcW w:w="1220" w:type="dxa"/>
            <w:vAlign w:val="bottom"/>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color w:val="auto"/>
              </w:rPr>
              <w:t>Net income as a percentage of net sales</w:t>
            </w: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7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22.3%</w:t>
            </w:r>
          </w:p>
        </w:tc>
        <w:tc>
          <w:tcPr>
            <w:tcW w:w="1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33.0%</w:t>
            </w: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23.1%</w:t>
            </w:r>
          </w:p>
        </w:tc>
        <w:tc>
          <w:tcPr>
            <w:tcW w:w="1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17.7%</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372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0.92</w:t>
            </w:r>
          </w:p>
        </w:tc>
        <w:tc>
          <w:tcPr>
            <w:tcW w:w="160" w:type="dxa"/>
            <w:vAlign w:val="bottom"/>
          </w:tcPr>
          <w:p>
            <w:pPr>
              <w:spacing w:after="0"/>
              <w:rPr>
                <w:sz w:val="18"/>
                <w:szCs w:val="18"/>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1.29</w:t>
            </w:r>
          </w:p>
        </w:tc>
        <w:tc>
          <w:tcPr>
            <w:tcW w:w="1460" w:type="dxa"/>
            <w:vAlign w:val="bottom"/>
          </w:tcPr>
          <w:p>
            <w:pPr>
              <w:jc w:val="center"/>
              <w:ind w:left="430"/>
              <w:spacing w:after="0"/>
              <w:rPr>
                <w:sz w:val="20"/>
                <w:szCs w:val="20"/>
                <w:color w:val="auto"/>
              </w:rPr>
            </w:pPr>
            <w:r>
              <w:rPr>
                <w:rFonts w:ascii="Arial" w:cs="Arial" w:eastAsia="Arial" w:hAnsi="Arial"/>
                <w:sz w:val="18"/>
                <w:szCs w:val="18"/>
                <w:color w:val="auto"/>
                <w:w w:val="91"/>
              </w:rPr>
              <w:t>(29.2%)</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1.72</w:t>
            </w:r>
          </w:p>
        </w:tc>
        <w:tc>
          <w:tcPr>
            <w:tcW w:w="160" w:type="dxa"/>
            <w:vAlign w:val="bottom"/>
          </w:tcPr>
          <w:p>
            <w:pPr>
              <w:spacing w:after="0"/>
              <w:rPr>
                <w:sz w:val="18"/>
                <w:szCs w:val="18"/>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1.35</w:t>
            </w:r>
          </w:p>
        </w:tc>
        <w:tc>
          <w:tcPr>
            <w:tcW w:w="1220" w:type="dxa"/>
            <w:vAlign w:val="bottom"/>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30"/>
        </w:trPr>
        <w:tc>
          <w:tcPr>
            <w:tcW w:w="3720" w:type="dxa"/>
            <w:vAlign w:val="bottom"/>
          </w:tcPr>
          <w:p>
            <w:pPr>
              <w:ind w:left="12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0.90</w:t>
            </w:r>
          </w:p>
        </w:tc>
        <w:tc>
          <w:tcPr>
            <w:tcW w:w="160" w:type="dxa"/>
            <w:vAlign w:val="bottom"/>
          </w:tcPr>
          <w:p>
            <w:pPr>
              <w:spacing w:after="0"/>
              <w:rPr>
                <w:sz w:val="20"/>
                <w:szCs w:val="20"/>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1.26</w:t>
            </w:r>
          </w:p>
        </w:tc>
        <w:tc>
          <w:tcPr>
            <w:tcW w:w="1460" w:type="dxa"/>
            <w:vAlign w:val="bottom"/>
          </w:tcPr>
          <w:p>
            <w:pPr>
              <w:jc w:val="center"/>
              <w:ind w:left="430"/>
              <w:spacing w:after="0"/>
              <w:rPr>
                <w:sz w:val="20"/>
                <w:szCs w:val="20"/>
                <w:color w:val="auto"/>
              </w:rPr>
            </w:pPr>
            <w:r>
              <w:rPr>
                <w:rFonts w:ascii="Arial" w:cs="Arial" w:eastAsia="Arial" w:hAnsi="Arial"/>
                <w:sz w:val="18"/>
                <w:szCs w:val="18"/>
                <w:color w:val="auto"/>
                <w:w w:val="91"/>
              </w:rPr>
              <w:t>(28.8%)</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20"/>
                <w:szCs w:val="20"/>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1.31</w:t>
            </w:r>
          </w:p>
        </w:tc>
        <w:tc>
          <w:tcPr>
            <w:tcW w:w="122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418"/>
        </w:trPr>
        <w:tc>
          <w:tcPr>
            <w:tcW w:w="3720" w:type="dxa"/>
            <w:vAlign w:val="bottom"/>
          </w:tcPr>
          <w:p>
            <w:pPr>
              <w:spacing w:after="0"/>
              <w:rPr>
                <w:sz w:val="20"/>
                <w:szCs w:val="20"/>
                <w:color w:val="auto"/>
              </w:rPr>
            </w:pPr>
            <w:r>
              <w:rPr>
                <w:rFonts w:ascii="Arial" w:cs="Arial" w:eastAsia="Arial" w:hAnsi="Arial"/>
                <w:sz w:val="18"/>
                <w:szCs w:val="18"/>
                <w:color w:val="auto"/>
              </w:rPr>
              <w:t>Case sales (in thousands)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120"/>
              <w:spacing w:after="0"/>
              <w:rPr>
                <w:sz w:val="20"/>
                <w:szCs w:val="20"/>
                <w:color w:val="auto"/>
              </w:rPr>
            </w:pPr>
            <w:r>
              <w:rPr>
                <w:rFonts w:ascii="Arial" w:cs="Arial" w:eastAsia="Arial" w:hAnsi="Arial"/>
                <w:sz w:val="18"/>
                <w:szCs w:val="18"/>
                <w:color w:val="auto"/>
              </w:rPr>
              <w:t>(in 192-ounce case equivalents)</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87,574</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68,037</w:t>
            </w:r>
          </w:p>
        </w:tc>
        <w:tc>
          <w:tcPr>
            <w:tcW w:w="1460" w:type="dxa"/>
            <w:vAlign w:val="bottom"/>
          </w:tcPr>
          <w:p>
            <w:pPr>
              <w:jc w:val="center"/>
              <w:ind w:left="430"/>
              <w:spacing w:after="0"/>
              <w:rPr>
                <w:sz w:val="20"/>
                <w:szCs w:val="20"/>
                <w:color w:val="auto"/>
              </w:rPr>
            </w:pPr>
            <w:r>
              <w:rPr>
                <w:rFonts w:ascii="Arial" w:cs="Arial" w:eastAsia="Arial" w:hAnsi="Arial"/>
                <w:sz w:val="18"/>
                <w:szCs w:val="18"/>
                <w:color w:val="auto"/>
                <w:w w:val="90"/>
              </w:rPr>
              <w:t>28.7%</w:t>
            </w: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160,227</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125,816</w:t>
            </w:r>
          </w:p>
        </w:tc>
        <w:tc>
          <w:tcPr>
            <w:tcW w:w="1220" w:type="dxa"/>
            <w:vAlign w:val="bottom"/>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i w:val="1"/>
          <w:iCs w:val="1"/>
          <w:color w:val="auto"/>
        </w:rPr>
        <w:t>¹Includes $12.1 million and $3.2 million for the three-months ended June 30, 2016 and 2015, respectively, related to the recognition of deferred revenue. Includes $20.2 million and $46.5 million for the six-months ended June 30, 2016 and 2015, respectively, related to the recognition of deferred revenue. Included in the $12.1 million and $20.2 million recognition of deferred revenue for the three- and six- months ended June 30, 2016, respectively, is $5.0 million related to the accelerated amortization of the deferred revenue balances associated with certain of the Company’s prior distributors who were sent notices of termination during the second quarter of 2016. There was no accelerated amortization of deferred revenue for the three-months ended June 30, 2015. Included in the $46.5 million recognition of deferred revenue for the six-months ended June 30, 2015, is $39.8 million related to the accelerated amortization of the deferred revenue balances associated with certain of the Company’s prior distributors who were sent notices of termination during the first quarter of 2015.</w:t>
      </w:r>
    </w:p>
    <w:p>
      <w:pPr>
        <w:spacing w:after="0" w:line="177"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i w:val="1"/>
          <w:iCs w:val="1"/>
          <w:color w:val="auto"/>
        </w:rPr>
        <w:t>²Includes $25.3 million and $12.2 million for the three-months ended June 30, 2016 and 2015, respectively, related to distributor termination costs. Includes $28.7 million and $218.2 million for the six-months ended June 30, 2016 and 2015, respectively, related to distributor termination costs.</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i w:val="1"/>
          <w:iCs w:val="1"/>
          <w:color w:val="auto"/>
          <w:vertAlign w:val="superscript"/>
        </w:rPr>
        <w:t>3</w:t>
      </w:r>
      <w:r>
        <w:rPr>
          <w:rFonts w:ascii="Arial" w:cs="Arial" w:eastAsia="Arial" w:hAnsi="Arial"/>
          <w:sz w:val="16"/>
          <w:szCs w:val="16"/>
          <w:i w:val="1"/>
          <w:iCs w:val="1"/>
          <w:color w:val="auto"/>
        </w:rPr>
        <w:t>Includes $11.5 million and $15.1 million for the three- and six-months ended June 30, 2015, respectively, related to TCCC Transaction related expenses.</w:t>
      </w:r>
    </w:p>
    <w:p>
      <w:pPr>
        <w:spacing w:after="0" w:line="16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i w:val="1"/>
          <w:iCs w:val="1"/>
          <w:color w:val="auto"/>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Results of Operations for the Three-Months Ended June 30, 2016 Compared to the Three-Months Ended June 30, 2015.</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were $827.5 million for the three-months ended June 30, 2016, an increase of approximately $133.8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19.3% higher than net sales of $693.7 million for the three-months ended June 30, 2015. The increase in net sales of our Monster Energy® brand energy drinks represented approximately $92.2 million of the overall increase in net sales. Net sales of our Monster Energy® brand energy drinks increased partially due to increased sales by volume as a result of increased domestic and international consumer demand. Our net sales of $827.5 million for the three-months ended June 30, 2016 were enhanced by a pre-announced price increase that became effective on August 31, 2015 on certain of our Monster Energy® brand energy drinks. We estimate that net sales for the three-months ended June 30, 2016 were increased by approximately $29.9 million as a result of such price increase. Net sales of our Strategic Brands were $77.4 million for the three-months ended June 30, 2016, as compared with $13.0 million for the three-months ended June 30, 2015 (effectively from June 13, 2015 to June 30, 2015). There were no net sales during the three-months ended June 30, 2016 for the brands disposed of as a result of the TCCC Transaction on June 12, 2015, which resulted in a decrease in net sales of $29.5 million from the three-months ended June 30, 2015. No other individual product line contributed either a material increase or decrease to net sales for the three-months ended June 30, 2016.</w:t>
      </w:r>
    </w:p>
    <w:p>
      <w:pPr>
        <w:spacing w:after="0" w:line="18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Changes in foreign currency exchange rates had an unfavorable impact on net sales in the Monster Energy® Drinks segment of approximately $2.6 million for the three-months ended June 30, 2016, which was primarily due to a stronger U.S. dollar compared to certain local currencies in which we conduct certain of our international business. Changes in foreign currency exchange rates had an unfavorable impact on net sales in the Strategic Brands segment of approximately $1.5 million for the three-months ended June 30, 2016, which was primarily due to a stronger U.S. dollar compared to certain local currencies in which we conduct certain of our international business.</w:t>
      </w:r>
    </w:p>
    <w:p>
      <w:pPr>
        <w:spacing w:after="0" w:line="17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Case sales, in 192-ounce case equivalents, were 87.6 million cases for the three-months ended June 30, 2016, an increase of approximately 19.6 million cases or 28.7% higher than case sales of 68.0 million cases for the three-months ended June 30, 2015. The overall average net sales per case (excluding Other segment net sales of $6.6 million comprised of sales of certain products acquired as part of the AFF Transaction to independent third parties as these sales do not have unit case equivalents) decreased to $9.37 for the three-months ended June 30, 2016, which was 8.1% lower than the average net sales per case of $10.20 for the three-months ended June 30, 2015. The lower net sales per case was primarily attributable to sales of concentrates and/or beverage bases in the Strategic Brands segment, which generally generate lower net operating revenues than those products within the Monster Energy® Drinks segment.</w:t>
      </w:r>
    </w:p>
    <w:p>
      <w:pPr>
        <w:spacing w:after="0" w:line="18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Net sales for the Monster Energy® Drinks segment were $743.5 million for the three-months ended June 30, 2016, an increase of approximately $92.2 million, or 14.2% higher than net sales of $651.2 million for the three-months ended June 30, 2015. Our net sales for the Monster Energy® Drinks segment of $743.5 million for the three-months ended June 30, 2016 were enhanced by a pre-announced price increase that became effective on August 31, 2015 on certain of our Monster Energy® brand energy drinks. We estimate that net sales of the Monster Energy® Drinks segment for the three-months ended June 30, 2016 were increased by approximately $29.9 million as a result of such</w:t>
      </w:r>
    </w:p>
    <w:p>
      <w:pPr>
        <w:sectPr>
          <w:pgSz w:w="11900" w:h="16838" w:orient="portrait"/>
          <w:cols w:equalWidth="0" w:num="1">
            <w:col w:w="11420"/>
          </w:cols>
          <w:pgMar w:left="240" w:top="341" w:right="239" w:bottom="0" w:gutter="0" w:footer="0" w:header="0"/>
        </w:sectPr>
      </w:pPr>
    </w:p>
    <w:bookmarkStart w:id="26" w:name="page27"/>
    <w:bookmarkEnd w:id="26"/>
    <w:p>
      <w:pPr>
        <w:jc w:val="both"/>
        <w:spacing w:after="0" w:line="262" w:lineRule="auto"/>
        <w:rPr>
          <w:sz w:val="20"/>
          <w:szCs w:val="20"/>
          <w:color w:val="auto"/>
        </w:rPr>
      </w:pPr>
      <w:r>
        <w:rPr>
          <w:rFonts w:ascii="Arial" w:cs="Arial" w:eastAsia="Arial" w:hAnsi="Arial"/>
          <w:sz w:val="20"/>
          <w:szCs w:val="20"/>
          <w:color w:val="auto"/>
        </w:rPr>
        <w:t>price increase. No other individual product line contributed either a material increase or decrease to net sales for the three-months ended June 30, 2016.</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Net sales for the Strategic Brands segment were $77.4 million for the three-months ended June 30, 2016, an increase of approximately $64.4 million, or 496.4% higher than net sales of $13.0 million for the three months ended June 30, 2015 (effectively from June 13, 2015 to June 30, 2015).</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Net sales for the Other segment were $6.6 million for the three-months ended June 30, 2016, a decrease of approximately $22.9 million, or 77.5% lower than net sales of $29.5 million for the three-months ended June 30, 2015. Net sales for the Other segment for the three-months ended June 30, 2016 are comprised of sales of certain products acquired as part of the AFF Transaction to independent third parties. Net sales for the Other segment for the three-months ended June 30, 2015 are comprised of sales of the brands disposed of as a result of the TCCC Transaction on June 12, 2015 (effectively from April 1, 2015 to June 12, 2015).</w:t>
      </w:r>
    </w:p>
    <w:p>
      <w:pPr>
        <w:spacing w:after="0" w:line="19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i w:val="1"/>
          <w:iCs w:val="1"/>
          <w:color w:val="auto"/>
        </w:rPr>
        <w:t xml:space="preserve">Gross Profit. </w:t>
      </w:r>
      <w:r>
        <w:rPr>
          <w:rFonts w:ascii="Arial" w:cs="Arial" w:eastAsia="Arial" w:hAnsi="Arial"/>
          <w:sz w:val="20"/>
          <w:szCs w:val="20"/>
          <w:color w:val="auto"/>
        </w:rPr>
        <w:t>Gross profit was $517.8 million for the three-months ended June 30, 2016, an increase of approximately $123.3 million,</w:t>
      </w:r>
      <w:r>
        <w:rPr>
          <w:rFonts w:ascii="Arial" w:cs="Arial" w:eastAsia="Arial" w:hAnsi="Arial"/>
          <w:sz w:val="20"/>
          <w:szCs w:val="20"/>
          <w:i w:val="1"/>
          <w:iCs w:val="1"/>
          <w:color w:val="auto"/>
        </w:rPr>
        <w:t xml:space="preserve"> </w:t>
      </w:r>
      <w:r>
        <w:rPr>
          <w:rFonts w:ascii="Arial" w:cs="Arial" w:eastAsia="Arial" w:hAnsi="Arial"/>
          <w:sz w:val="20"/>
          <w:szCs w:val="20"/>
          <w:color w:val="auto"/>
        </w:rPr>
        <w:t>or 31.3% higher than the gross profit of $394.5 million for the three-months ended June 30, 2015. Gross profit as a percentage of net sales increased to 62.6% for the three-months ended June 30, 2016 from 56.9% for the three-months ended June 30, 2015. The increase in gross profit dollars was primarily the result of the $92.2 million and $64.4 million increase in net sales of our Monster Energy® brand energy drinks and our Strategic Brands, respectively. The increase in gross profit as a percentage of net sales was primarily attributable to (i) the Strategic Brands segment, which generally has higher gross margins than the Monster Energy® Drinks segment, (ii) no sales in the three-months ended June 30, 2016 of the brands disposed of as a result of the TCCC Transaction on June 12, 2015, which generally had lower gross margins than the Monster Energy® Drinks segment, (iii) lower costs of certain raw materials, (iv) the price increase described above and (v) changes in product sales mix.</w:t>
      </w:r>
    </w:p>
    <w:p>
      <w:pPr>
        <w:spacing w:after="0" w:line="20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i w:val="1"/>
          <w:iCs w:val="1"/>
          <w:color w:val="auto"/>
        </w:rPr>
        <w:t>Operating Expenses</w:t>
      </w:r>
      <w:r>
        <w:rPr>
          <w:rFonts w:ascii="Arial" w:cs="Arial" w:eastAsia="Arial" w:hAnsi="Arial"/>
          <w:sz w:val="19"/>
          <w:szCs w:val="19"/>
          <w:color w:val="auto"/>
        </w:rPr>
        <w:t>. Total operating expenses were $229.3 million for the three-months ended June 30, 2016, an increase of</w:t>
      </w:r>
      <w:r>
        <w:rPr>
          <w:rFonts w:ascii="Arial" w:cs="Arial" w:eastAsia="Arial" w:hAnsi="Arial"/>
          <w:sz w:val="19"/>
          <w:szCs w:val="19"/>
          <w:i w:val="1"/>
          <w:iCs w:val="1"/>
          <w:color w:val="auto"/>
        </w:rPr>
        <w:t xml:space="preserve"> </w:t>
      </w:r>
      <w:r>
        <w:rPr>
          <w:rFonts w:ascii="Arial" w:cs="Arial" w:eastAsia="Arial" w:hAnsi="Arial"/>
          <w:sz w:val="19"/>
          <w:szCs w:val="19"/>
          <w:color w:val="auto"/>
        </w:rPr>
        <w:t>approximately $39.5 million, or 20.8% higher than total operating expenses of $189.8 million for the three-months ended June 30, 2015. The increase in operating expenses was primarily due to the $13.1 million increase in costs associated with distributor terminations, increased expenditures of $6.8 million for commissions, increased expenditures of $6.2 million for sponsorships and endorsements, $5.1 million of professional service costs and transaction expenses related to the Stock Repurchase and AFF Transaction, increased payroll expenses of $5.1 million (of which $3.0 million was related to an increase in stock-based compensation) and increased expenditures of $4.6 million for premiums. The increase in operating expenses was partially offset by decreased expenditures of $11.5 million of professional service costs and transaction expenses related to the TCCC Transaction.</w:t>
      </w:r>
    </w:p>
    <w:p>
      <w:pPr>
        <w:spacing w:after="0" w:line="19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Contribution Margin. </w:t>
      </w:r>
      <w:r>
        <w:rPr>
          <w:rFonts w:ascii="Arial" w:cs="Arial" w:eastAsia="Arial" w:hAnsi="Arial"/>
          <w:sz w:val="20"/>
          <w:szCs w:val="20"/>
          <w:color w:val="auto"/>
        </w:rPr>
        <w:t>Contribution margin for the Monster Energy® Drinks segment was $298.9 million for the three-months ended</w:t>
      </w:r>
      <w:r>
        <w:rPr>
          <w:rFonts w:ascii="Arial" w:cs="Arial" w:eastAsia="Arial" w:hAnsi="Arial"/>
          <w:sz w:val="20"/>
          <w:szCs w:val="20"/>
          <w:i w:val="1"/>
          <w:iCs w:val="1"/>
          <w:color w:val="auto"/>
        </w:rPr>
        <w:t xml:space="preserve"> </w:t>
      </w:r>
      <w:r>
        <w:rPr>
          <w:rFonts w:ascii="Arial" w:cs="Arial" w:eastAsia="Arial" w:hAnsi="Arial"/>
          <w:sz w:val="20"/>
          <w:szCs w:val="20"/>
          <w:color w:val="auto"/>
        </w:rPr>
        <w:t>June 30, 2016, an increase of approximately $47.3 million, or 18.8% higher than contribution margin of $251.6 million for the three-months ended June 30, 2015. The increase in contribution margin for the Monster Energy® Drinks segment was primarily the result of the $92.2 million increase in net sales of our Monster Energy® brand energy drinks.</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Contribution margin for the Strategic Brands segment was $48.0 million for the three-months ended June 30, 2016, an increase of approximately $38.9 million, or 428.6% higher than contribution margin of $9.1 million for the three-months ended June 30, 2015 (effectively from June 13, 2015 to June 30, 2015).</w:t>
      </w:r>
    </w:p>
    <w:p>
      <w:pPr>
        <w:spacing w:after="0" w:line="20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Contribution margin for the Other segment was $0.7 million for the three-months ended June 30, 2016 as compared to contribution margin of $163.7 million for the three-months ended June 30, 2015. Included in the contribution margin for the Other segment for the three-months ended June 30, 2015 was the $161.5 million gain on the sale of Monster Non-Energy. Contribution margin for the Other segment for the three-months ended June 30, 2016 was comprised of certain products acquired as part of the AFF Transaction. Contribution margin for the Other segment for the three-months ended June 30, 2015 was comprised of the brands disposed of as a result of the TCCC Transaction on June 12, 2015 (effectively from April 1, 2015 to June 12, 2015).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Operating income was $288.5 million for the three-months ended June 30, 2016, a decrease of approximately $77.6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21.2% lower than operating income of $366.1 million for the three-months ended June 30, 2015. Operating income as a percentage of net sales decreased to 34.9% for the three-months ended June 30, 2016 from 52.8% for the three-months ended June 30, 2015. The decrease in operating income in dollars and as a percentage of net sales was primarily due to the $161.5 million gain on the sale of Monster Non-Energy for the three-months ended June 30, 2015. The decrease in operating income in dollars and as a percentage of net sales was partially offset by the $123.3 million increase in gross profit. Operating income was $30.4 million and $15.9 million for the three-months ended June 30, 2016 and 2015, respectively, in relation to our operations in Africa, Asia, Australia, Europe, the Middle East and South America.</w:t>
      </w:r>
    </w:p>
    <w:p>
      <w:pPr>
        <w:spacing w:after="0" w:line="18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i w:val="1"/>
          <w:iCs w:val="1"/>
          <w:color w:val="auto"/>
        </w:rPr>
        <w:t>Interest and Other (Expense) Income, net</w:t>
      </w:r>
      <w:r>
        <w:rPr>
          <w:rFonts w:ascii="Arial" w:cs="Arial" w:eastAsia="Arial" w:hAnsi="Arial"/>
          <w:sz w:val="19"/>
          <w:szCs w:val="19"/>
          <w:color w:val="auto"/>
        </w:rPr>
        <w:t>. Interest and other (expense) income, net, was ($0.2) million for the three-months ended</w:t>
      </w:r>
      <w:r>
        <w:rPr>
          <w:rFonts w:ascii="Arial" w:cs="Arial" w:eastAsia="Arial" w:hAnsi="Arial"/>
          <w:sz w:val="19"/>
          <w:szCs w:val="19"/>
          <w:i w:val="1"/>
          <w:iCs w:val="1"/>
          <w:color w:val="auto"/>
        </w:rPr>
        <w:t xml:space="preserve"> </w:t>
      </w:r>
      <w:r>
        <w:rPr>
          <w:rFonts w:ascii="Arial" w:cs="Arial" w:eastAsia="Arial" w:hAnsi="Arial"/>
          <w:sz w:val="19"/>
          <w:szCs w:val="19"/>
          <w:color w:val="auto"/>
        </w:rPr>
        <w:t>June 30, 2016, as compared to interest and other (expense) income, net of ($1.0) million for the three-months ended June 30, 2015. Foreign currency transaction losses were $1.4 million and $1.7 million for the three-months ended June 30, 2016 and 2015, respectively. Interest income was $1.1 million and $0.5 million for the three-months ended June 30, 2016 and 2015, respectively.</w:t>
      </w:r>
    </w:p>
    <w:p>
      <w:pPr>
        <w:sectPr>
          <w:pgSz w:w="11900" w:h="16838" w:orient="portrait"/>
          <w:cols w:equalWidth="0" w:num="1">
            <w:col w:w="11420"/>
          </w:cols>
          <w:pgMar w:left="240" w:top="121" w:right="239" w:bottom="13" w:gutter="0" w:footer="0" w:header="0"/>
        </w:sectPr>
      </w:pPr>
    </w:p>
    <w:bookmarkStart w:id="27" w:name="page28"/>
    <w:bookmarkEnd w:id="27"/>
    <w:p>
      <w:pPr>
        <w:spacing w:after="0" w:line="7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i w:val="1"/>
          <w:iCs w:val="1"/>
          <w:color w:val="auto"/>
        </w:rPr>
        <w:t>Provision for Income Taxes</w:t>
      </w:r>
      <w:r>
        <w:rPr>
          <w:rFonts w:ascii="Arial" w:cs="Arial" w:eastAsia="Arial" w:hAnsi="Arial"/>
          <w:sz w:val="20"/>
          <w:szCs w:val="20"/>
          <w:color w:val="auto"/>
        </w:rPr>
        <w:t>. Provision for income taxes was $104.1 million for the three-months ended June 30, 2016, a decrease of</w:t>
      </w:r>
      <w:r>
        <w:rPr>
          <w:rFonts w:ascii="Arial" w:cs="Arial" w:eastAsia="Arial" w:hAnsi="Arial"/>
          <w:sz w:val="20"/>
          <w:szCs w:val="20"/>
          <w:i w:val="1"/>
          <w:iCs w:val="1"/>
          <w:color w:val="auto"/>
        </w:rPr>
        <w:t xml:space="preserve"> </w:t>
      </w:r>
      <w:r>
        <w:rPr>
          <w:rFonts w:ascii="Arial" w:cs="Arial" w:eastAsia="Arial" w:hAnsi="Arial"/>
          <w:sz w:val="20"/>
          <w:szCs w:val="20"/>
          <w:color w:val="auto"/>
        </w:rPr>
        <w:t>$32.0 million or 23.5% lower than the provision for income taxes of $136.1 million for the three-months ended June 30, 2015. The effective combined federal, state and foreign tax rate decreased to 36.1% from 37.3% for the three-months ended June 30, 2016 and 2015, respectively. The decrease in the effective tax rate was primarily due to the increase in the domestic production deduction and stock compensation deduction in the three-months ended June 30, 2016. In addition, the effective tax rate for the three months ended June 30, 2015 was higher due to the non-deductibility of certain TCCC Transaction costs. The decrease in the effective tax rate for the three-months ended June 30, 2016 was partially offset by the release of the valuation allowance against the deferred tax assets of certain foreign jurisdictions in the three-months ended June 30, 2015.</w:t>
      </w:r>
    </w:p>
    <w:p>
      <w:pPr>
        <w:spacing w:after="0" w:line="2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i w:val="1"/>
          <w:iCs w:val="1"/>
          <w:color w:val="auto"/>
        </w:rPr>
        <w:t>Net Income</w:t>
      </w:r>
      <w:r>
        <w:rPr>
          <w:rFonts w:ascii="Arial" w:cs="Arial" w:eastAsia="Arial" w:hAnsi="Arial"/>
          <w:sz w:val="19"/>
          <w:szCs w:val="19"/>
          <w:color w:val="auto"/>
        </w:rPr>
        <w:t>. Net income was $184.2 million for the three-months ended June 30, 2016, a decrease of $44.8 million or 19.6% lower</w:t>
      </w:r>
      <w:r>
        <w:rPr>
          <w:rFonts w:ascii="Arial" w:cs="Arial" w:eastAsia="Arial" w:hAnsi="Arial"/>
          <w:sz w:val="19"/>
          <w:szCs w:val="19"/>
          <w:i w:val="1"/>
          <w:iCs w:val="1"/>
          <w:color w:val="auto"/>
        </w:rPr>
        <w:t xml:space="preserve"> </w:t>
      </w:r>
      <w:r>
        <w:rPr>
          <w:rFonts w:ascii="Arial" w:cs="Arial" w:eastAsia="Arial" w:hAnsi="Arial"/>
          <w:sz w:val="19"/>
          <w:szCs w:val="19"/>
          <w:color w:val="auto"/>
        </w:rPr>
        <w:t>than net income of $229.0 million for the three-months ended June 30, 2015. The decrease in net income was primarily due to the $161.5 million gain on the sale of Monster Non-Energy for the three-months ended June 30, 2015. The decrease in net income was partially offset by the increase in gross profit of $123.3 million and the decrease in provision of income taxes of $32.0 million.</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Results of Operations for the Six-Months Ended June 30, 2016 Compared to the Six-Months Ended June 30, 2015.</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were $1,507.7 million for the six-months ended June 30, 2016, an increase of approximately $187.2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14.2% higher than net sales of $1,320.5 million for the six-months ended June 30, 2015. The increase in net sales of our Monster Energy® brand energy drinks represented approximately $118.7 million of the overall increase in net sales. Net sales of our Monster Energy® brand energy drinks increased partially due to increased sales by volume as a result of increased domestic and international consumer demand. Our net sales of $1,507.7 million for the six-months ended June 30, 2016 were enhanced by a pre-announced price increase that became effective on August 31, 2015 on certain of our Monster Energy® brand energy drinks. We estimate that net sales for the six-months ended June 30, 2016 were increased by approximately $55.6 million as a result of such price increase. Net sales of our Strategic Brands were $135.9 million for the six-months ended June 30, 2016, as compared with $13.0 million for the six-months ended June 30, 2015 (effectively from June 13, 2015 to June 30, 2015). There were no net sales during the six-months ended June 30, 2016 for the brands disposed of as a result of the TCCC Transaction on June 12, 2015, which resulted in a decrease in net sales of $60.8 million from the six-months ended June 30, 2015. No other individual product line contributed either a material increase or decrease to net sales for the six-months ended June 30, 2016.</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Changes in foreign currency exchange rates had an unfavorable impact on net sales in the Monster Energy® Drinks segment of approximately $12.8 million for the six-months ended June 30, 2016, which was primarily due to a stronger U.S. dollar compared to certain local currencies in which we conduct certain of our international business. Changes in foreign currency exchange rates had an unfavorable impact on net sales in the Strategic Brands segment of approximately $3.5 million for the six-months ended June 30, 2016, which was primarily due to a stronger U.S. dollar compared to certain local currencies in which we conduct certain of our international business.</w:t>
      </w:r>
    </w:p>
    <w:p>
      <w:pPr>
        <w:spacing w:after="0" w:line="17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Case sales, in 192-ounce case equivalents, were 160.2 million cases for the six-months ended June 30, 2016, an increase of approximately 34.4 million cases or 27.4% higher than case sales of 125.8 million cases for the six-months ended June 30, 2015. The overall average net sales per case (excluding Other segment net sales of $6.6 million comprised of sales of certain products acquired as part of the AFF Transaction to independent third parties as these sales do not have unit case equivalents) decreased to $9.37 for the six-months ended June 30, 2016, which was 10.8% lower than the average net sales per case of $10.50 for the six-months ended June 30, 2015. The lower net sales per case was primarily attributable to sales of concentrates and/or beverage bases in the Strategic Brands segment, which generally generate lower net operating revenues than those products within the Monster Energy® Drinks segment.</w:t>
      </w:r>
    </w:p>
    <w:p>
      <w:pPr>
        <w:spacing w:after="0" w:line="18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Net sales for the Monster Energy® Drinks segment were $1,365.4 million for the six-months ended June 30, 2016, an increase of approximately $118.7 million, or 9.5% higher than net sales of $1,246.7 million for the six-months ended June 30, 2015. Our net sales for the Monster Energy® Drinks segment of $1,365.4 million for the six-months ended June 30, 2016 were enhanced by a pre-announced price increase that became effective on August 31, 2015 on certain of our Monster Energy® brand energy drinks. We estimate that net sales of the Monster Energy® Drinks segment for the six-months ended June 30, 2016 were increased by approximately $55.6 million as a result of such price increase. No other individual product line contributed either a material increase or decrease to net sales for the six-months ended June 30, 2016.</w:t>
      </w:r>
    </w:p>
    <w:p>
      <w:pPr>
        <w:spacing w:after="0" w:line="20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Net sales for the Strategic Brands segment were $135.9 million for the six-months ended June 30, 2016, an increase of approximately $122.9 million, or 946.8% higher than net sales of $13.0 million for the six months ended June 30, 2015 (effectively from June 13, 2015 to June 30, 2015).</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Net sales for the Other segment were $6.4 million for the six-months ended June 30, 2016, a decrease of approximately $54.4 million, or 89.4% lower than net sales of $60.8 million for the six-months ended June 30, 2015. Net sales for the Other segment for the six-months ended June 30, 2016 are comprised of sales of certain products acquired as part of the AFF Transaction to independent third parties. Net sales for the Other segment for the six-months ended June 30, 2015 are comprised of sales of the brands disposed of as a result of the TCCC Transaction on June 12, 2015 (effectively from January 1, 2015 to June 12, 2015).</w:t>
      </w:r>
    </w:p>
    <w:p>
      <w:pPr>
        <w:spacing w:after="0" w:line="19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was $940.9 million for the six-months ended June 30, 2016, an increase of approximately $177.4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23.2% higher than the gross profit of $763.5 million for the six-months ended June 30, 2015. Gross profit as a percentage of net sales increased to 62.4% for the six-months ended June 30, 2016 from 57.8% for the six-months ended June 30, 2015. The increase in gross profit dollars was primarily the result of the $118.7 million and $122.9 million increase in net sales of our Monster Energy® brand energy drinks and our Strategic Brands, respectively. The increase in gross profit as a percentage of net sales was primarily attributable to (i) the Strategic Brands segment, which generally has higher gross margins than the Monster Energy® Drinks segment, (ii) no sales in the six-months ended June 30, 2016 of the brands disposed of as a result of the TCCC Transaction on June 12, 2015, which generally had lower gross margins than the</w:t>
      </w:r>
    </w:p>
    <w:p>
      <w:pPr>
        <w:sectPr>
          <w:pgSz w:w="11900" w:h="16914" w:orient="portrait"/>
          <w:cols w:equalWidth="0" w:num="1">
            <w:col w:w="11420"/>
          </w:cols>
          <w:pgMar w:left="240" w:top="121" w:right="239" w:bottom="0" w:gutter="0" w:footer="0" w:header="0"/>
        </w:sectPr>
      </w:pPr>
    </w:p>
    <w:bookmarkStart w:id="28" w:name="page29"/>
    <w:bookmarkEnd w:id="28"/>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Monster Energy® Drinks segment, (iii) lower costs of certain raw materials, (iv) the price increase described above and (v) changes in product sales mix.</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i w:val="1"/>
          <w:iCs w:val="1"/>
          <w:color w:val="auto"/>
        </w:rPr>
        <w:t>Operating Expenses</w:t>
      </w:r>
      <w:r>
        <w:rPr>
          <w:rFonts w:ascii="Arial" w:cs="Arial" w:eastAsia="Arial" w:hAnsi="Arial"/>
          <w:sz w:val="19"/>
          <w:szCs w:val="19"/>
          <w:color w:val="auto"/>
        </w:rPr>
        <w:t>. Total operating expenses were $397.7 million for the six-months ended June 30, 2016, a decrease of</w:t>
      </w:r>
      <w:r>
        <w:rPr>
          <w:rFonts w:ascii="Arial" w:cs="Arial" w:eastAsia="Arial" w:hAnsi="Arial"/>
          <w:sz w:val="19"/>
          <w:szCs w:val="19"/>
          <w:i w:val="1"/>
          <w:iCs w:val="1"/>
          <w:color w:val="auto"/>
        </w:rPr>
        <w:t xml:space="preserve"> </w:t>
      </w:r>
      <w:r>
        <w:rPr>
          <w:rFonts w:ascii="Arial" w:cs="Arial" w:eastAsia="Arial" w:hAnsi="Arial"/>
          <w:sz w:val="19"/>
          <w:szCs w:val="19"/>
          <w:color w:val="auto"/>
        </w:rPr>
        <w:t>approximately $153.5 million, or 27.8% lower than total operating expenses of $551.2 million for the six-months ended June 30, 2015. The decrease in operating expenses was primarily due to the $189.5 million decrease in costs associated with distributor terminations. To a lesser extent, the decrease in operating expenses was also due to decreased expenditures of $15.1 million of professional service costs and transaction expenses related to the TCCC Transaction. The decrease in operating expenses was partially offset by increased expenditures of $10.7 million for sponsorships and endorsements, increased expenditures of $9.0 million for professional service costs (exclusive of expenditures related to the Stock Repurchase, the AFF Transaction and the TCCC Transaction), including legal and accounting fees, increased payroll expenses of $6.7 million (of which $6.8 million was related to an increase in stock-based compensation, partially offset by a $10.7 million decrease in payroll taxes due in part to payroll taxes related to the exercise of certain stock options in the six-months ended June 30, 2015), $6.0 million of professional service costs and transaction expenses related to the Stock Repurchase and AFF Transaction and increased expenditures of $5.3 million for commissions.</w:t>
      </w:r>
    </w:p>
    <w:p>
      <w:pPr>
        <w:spacing w:after="0" w:line="2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i w:val="1"/>
          <w:iCs w:val="1"/>
          <w:color w:val="auto"/>
        </w:rPr>
        <w:t xml:space="preserve">Contribution Margin. </w:t>
      </w:r>
      <w:r>
        <w:rPr>
          <w:rFonts w:ascii="Arial" w:cs="Arial" w:eastAsia="Arial" w:hAnsi="Arial"/>
          <w:sz w:val="18"/>
          <w:szCs w:val="18"/>
          <w:color w:val="auto"/>
        </w:rPr>
        <w:t>Contribution margin for the Monster Energy® Drinks segment was $566.3 million for the six-months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2016, an increase of approximately $259.1 million, or 84.4% higher than contribution margin of $307.2 million for the six-months ended June 30, 2015. The increase in contribution margin for the Monster Energy® Drinks segment was primarily the result of the $189.5 million decrease in costs associated with distributor terminations as well as the $118.7 million increase in net sales of our Monster Energy® brand energy drinks. The increase in contribution margin for the Monster Energy® Drinks segment was partially offset by the $39.8 million of accelerated amortization of deferred revenue during the six-months ended June 30, 2015 related to distributor terminations.</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Contribution margin for the Strategic Brands segment was $87.1 million for the six-months ended June 30, 2016, an increase of approximately $78.0 million, or 858.8% higher than contribution margin of $9.1 million for the six-months ended June 30, 2015 (effectively from June 13, 2015 to June 30, 2015).</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Contribution margin for the Other segment was $0.3 million for the six-months ended June 30, 2016, as compared to contribution margin of $165.7 million for the six-months ended June 30, 2015. Included in contribution margin for the Other segment for the three-months ended June 30, 2015 was the $161.5 million gain on the sale of Monster Non-Energy.</w:t>
      </w:r>
    </w:p>
    <w:p>
      <w:pPr>
        <w:spacing w:after="0" w:line="20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Operating income was $543.2 million for the six-months ended June 30, 2016, an increase of approximately $169.4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45.3% higher than operating income of $373.8 million for the six-months ended June 30, 2015. Operating income as a percentage of net sales increased to 36.0% for the six-months ended June 30, 2016 from 28.3% for the six-months ended June 30, 2015. The increase in operating income in dollars was primarily due to the $189.5 million decrease in costs associated with distributor terminations as well as the $177.4 million increase in gross profit. The increase in operating income was partially offset by the $161.5 million gain on the sale of Monster Non-Energy for the six-months ended June 30, 2015. Operating income was $55.0 million and $24.0 million for the six-months ended June 30, 2016 and 2015, respectively, in relation to our operations in Africa, Asia, Australia, Europe, the Middle East and South America.</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Interest and Other (Expense) Income, net</w:t>
      </w:r>
      <w:r>
        <w:rPr>
          <w:rFonts w:ascii="Arial" w:cs="Arial" w:eastAsia="Arial" w:hAnsi="Arial"/>
          <w:sz w:val="20"/>
          <w:szCs w:val="20"/>
          <w:color w:val="auto"/>
        </w:rPr>
        <w:t>. Interest and other (expense) income, net was $0.4 million for the six-months ended June 30,</w:t>
      </w:r>
      <w:r>
        <w:rPr>
          <w:rFonts w:ascii="Arial" w:cs="Arial" w:eastAsia="Arial" w:hAnsi="Arial"/>
          <w:sz w:val="20"/>
          <w:szCs w:val="20"/>
          <w:i w:val="1"/>
          <w:iCs w:val="1"/>
          <w:color w:val="auto"/>
        </w:rPr>
        <w:t xml:space="preserve"> </w:t>
      </w:r>
      <w:r>
        <w:rPr>
          <w:rFonts w:ascii="Arial" w:cs="Arial" w:eastAsia="Arial" w:hAnsi="Arial"/>
          <w:sz w:val="20"/>
          <w:szCs w:val="20"/>
          <w:color w:val="auto"/>
        </w:rPr>
        <w:t>2016, as compared to interest and other (expense) income, net of $0.2 million for the six-months ended June 30, 2015. Foreign currency transaction losses were $2.8 million and $0.8 million for the six-months ended June 30, 2016 and 2015, respectively. Interest income was $3.1 million and $0.8 million for the six-months ended June 30, 2016 and 2015, respectively.</w:t>
      </w:r>
    </w:p>
    <w:p>
      <w:pPr>
        <w:spacing w:after="0" w:line="20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Provision for income taxes was $195.5 million for the six-months ended June 30, 2016,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$54.9 million or 39.1% higher than the provision for income taxes of $140.6 million for the six-months ended June 30, 2015. The effective combined federal, state and foreign tax rate decreased to 36.0% from 37.6% for the six-months ended June 30, 2016 and 2015, respectively. The decrease in the effective tax rate was primarily due to the increase in the domestic production deduction and the stock compensation deduction in the six months ended June 30, 2016. The decrease in the effective tax rate was partially offset by the release of the valuation allowance against the deferred tax assets of certain foreign jurisdictions in the six months ended June 30, 2015.</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Net Income</w:t>
      </w:r>
      <w:r>
        <w:rPr>
          <w:rFonts w:ascii="Arial" w:cs="Arial" w:eastAsia="Arial" w:hAnsi="Arial"/>
          <w:sz w:val="20"/>
          <w:szCs w:val="20"/>
          <w:color w:val="auto"/>
        </w:rPr>
        <w:t>. Net income was $348.1 million for the six-months ended June 30, 2016, an increase of $114.7 million or 49.1% higher</w:t>
      </w:r>
      <w:r>
        <w:rPr>
          <w:rFonts w:ascii="Arial" w:cs="Arial" w:eastAsia="Arial" w:hAnsi="Arial"/>
          <w:sz w:val="20"/>
          <w:szCs w:val="20"/>
          <w:i w:val="1"/>
          <w:iCs w:val="1"/>
          <w:color w:val="auto"/>
        </w:rPr>
        <w:t xml:space="preserve"> </w:t>
      </w:r>
      <w:r>
        <w:rPr>
          <w:rFonts w:ascii="Arial" w:cs="Arial" w:eastAsia="Arial" w:hAnsi="Arial"/>
          <w:sz w:val="20"/>
          <w:szCs w:val="20"/>
          <w:color w:val="auto"/>
        </w:rPr>
        <w:t>than net income of $233.4 million for the six-months ended June 30, 2015. The increase in net income was primarily attributable to the $189.5 million decrease in costs associated with distributor terminations as well as the increase in gross profit of $177.4 million. The increase in net income was partially offset by the $161.5 million gain on the sale of Monster Non-Energy for the six-months ended June 30, 2015 and an increase in the provision of income taxes of $55.0 million.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3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Gross Sales**. </w:t>
      </w:r>
      <w:r>
        <w:rPr>
          <w:rFonts w:ascii="Arial" w:cs="Arial" w:eastAsia="Arial" w:hAnsi="Arial"/>
          <w:sz w:val="18"/>
          <w:szCs w:val="18"/>
          <w:color w:val="auto"/>
        </w:rPr>
        <w:t>Gross sales were $945.8 million for the three-months ended June 30, 2016, an increase of approximately $155.9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19.7% higher than gross sales of $789.9 million for the three-months ended June 30, 2015. The increase in gross sales of our Monster Energy® brand energy drinks represented approximately $102.4 million of the overall increase in gross sales. Gross sales of our Monster Energy® brand energy drinks increased partially due to increased sales by volume as a result of increased domestic and international</w:t>
      </w:r>
    </w:p>
    <w:p>
      <w:pPr>
        <w:sectPr>
          <w:pgSz w:w="11900" w:h="16935" w:orient="portrait"/>
          <w:cols w:equalWidth="0" w:num="1">
            <w:col w:w="11420"/>
          </w:cols>
          <w:pgMar w:left="240" w:top="121" w:right="239" w:bottom="0" w:gutter="0" w:footer="0" w:header="0"/>
        </w:sectPr>
      </w:pPr>
    </w:p>
    <w:bookmarkStart w:id="29" w:name="page30"/>
    <w:bookmarkEnd w:id="29"/>
    <w:p>
      <w:pPr>
        <w:spacing w:after="0" w:line="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consumer demand. Our gross sales of $945.8 million for the three-months ended June 30, 2016 were enhanced by a pre-announced price increase that became effective on August 31, 2015 on certain of our Monster Energy® brand energy drinks. We estimate that gross sales for the three-months ended June 30, 2016 were increased by approximately $29.9 million as a result of such price increase. Gross sales of our Strategic Brands were $84.4 million for the three-months ended June 30, 2016, as compared with $13.2 million for the three-months ended June 30, 2015 (effectively from June 13, 2015 to June 30, 2015). There were no gross sales during the three-months ended June 30, 2016 for the brands disposed of as a result of the TCCC Transaction on June 12, 2015, which resulted in a decrease in gross sales of $33.2 million from the three-months ended June 30, 2015. No other individual product line contributed either a material increase or decrease to gross sales for the three-months ended June 30, 2016. Promotional and other allowances, as described in the footnote below, were $118.4 million for the three-months ended June 30, 2016, an increase of $22.2 million, or 23.0% higher than promotional and other allowances of $96.2 million for the three-months ended June 30, 2015. Promotional and other allowances as a percentage of gross sales increased to 12.5% from 12.2% for the three-months ended June 30, 2016 and 2015, respectively.</w:t>
      </w:r>
    </w:p>
    <w:p>
      <w:pPr>
        <w:spacing w:after="0" w:line="185" w:lineRule="exact"/>
        <w:rPr>
          <w:sz w:val="20"/>
          <w:szCs w:val="20"/>
          <w:color w:val="auto"/>
        </w:rPr>
      </w:pPr>
    </w:p>
    <w:p>
      <w:pPr>
        <w:jc w:val="both"/>
        <w:ind w:firstLine="689"/>
        <w:spacing w:after="0" w:line="278" w:lineRule="auto"/>
        <w:rPr>
          <w:sz w:val="20"/>
          <w:szCs w:val="20"/>
          <w:color w:val="auto"/>
        </w:rPr>
      </w:pPr>
      <w:r>
        <w:rPr>
          <w:rFonts w:ascii="Arial" w:cs="Arial" w:eastAsia="Arial" w:hAnsi="Arial"/>
          <w:sz w:val="18"/>
          <w:szCs w:val="18"/>
          <w:color w:val="auto"/>
        </w:rPr>
        <w:t>Changes in foreign currency exchange rates had an unfavorable impact on gross sales in the Monster Energy® Drinks segment of approximately $3.7 million for the three-months ended June 30, 2016, which was primarily due to a stronger U.S. dollar compared to certain local currencies in which we conduct certain of our international business. Changes in foreign currency exchange rates had an unfavorable impact on gross sales in the Strategic Brands segment of approximately $1.5 million for the three-months ended June 30, 2016, which was primarily due to a stronger U.S. dollar compared to certain local currencies in which we conduct certain of our international business.</w:t>
      </w:r>
    </w:p>
    <w:p>
      <w:pPr>
        <w:spacing w:after="0" w:line="17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i w:val="1"/>
          <w:iCs w:val="1"/>
          <w:color w:val="auto"/>
        </w:rPr>
        <w:t xml:space="preserve">Gross Sales**. </w:t>
      </w:r>
      <w:r>
        <w:rPr>
          <w:rFonts w:ascii="Arial" w:cs="Arial" w:eastAsia="Arial" w:hAnsi="Arial"/>
          <w:sz w:val="19"/>
          <w:szCs w:val="19"/>
          <w:color w:val="auto"/>
        </w:rPr>
        <w:t>Gross sales were $1,723.4 million for the six-months ended June 30, 2016, an increase of approximately $223.3</w:t>
      </w:r>
      <w:r>
        <w:rPr>
          <w:rFonts w:ascii="Arial" w:cs="Arial" w:eastAsia="Arial" w:hAnsi="Arial"/>
          <w:sz w:val="19"/>
          <w:szCs w:val="19"/>
          <w:i w:val="1"/>
          <w:iCs w:val="1"/>
          <w:color w:val="auto"/>
        </w:rPr>
        <w:t xml:space="preserve"> </w:t>
      </w:r>
      <w:r>
        <w:rPr>
          <w:rFonts w:ascii="Arial" w:cs="Arial" w:eastAsia="Arial" w:hAnsi="Arial"/>
          <w:sz w:val="19"/>
          <w:szCs w:val="19"/>
          <w:color w:val="auto"/>
        </w:rPr>
        <w:t>million, or 14.9% higher than gross sales of $1,500.1 million for the six-months ended June 30, 2015. The increase in gross sales of our Monster Energy® brand energy drinks represented approximately $176.1 million of the overall increase in gross sales. Gross sales of our Monster Energy® brand energy drinks increased partially due to increased sales by volume as a result of increased domestic and international consumer demand. Our gross sales of $1,723.4 million for the six-months ended June 30, 2016 were enhanced by a pre-announced price increase that became effective on August 31, 2015 on certain of our Monster Energy® brand energy drinks. We estimate that gross sales for the six-months ended June 30, 2016 were increased by approximately $55.6 million as a result of such price increase. Gross sales of our Strategic Brands were $148.4 million for the six-months ended June 30, 2016, as compared with $13.2 million for the six-months ended June 30, 2015 (effectively from June 13, 2015 to June 30, 2015). There were no gross sales during the six-months ended June 30, 2016 for the brands disposed of as a result of the TCCC Transaction 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June 12, 2015, which resulted in a decrease in gross sales of $68.5 million from the six-months ended June 30, 2015. No other individual product line contributed either a material increase or decrease to gross sales for the six-months ended June 30, 2016. Promotional and other allowances, as described in the footnote below, were $215.7 million for the six-months ended June 30, 2016, an increase of $36.1 million, or 20.1% higher than promotional and other allowances of $179.6 million for the six-months ended June 30, 2015. Promotional and other allowances as a percentage of gross sales increased to 12.5% from 12.0% for the six-months ended June 30, 2016 and 2015, respectively.</w:t>
      </w:r>
    </w:p>
    <w:p>
      <w:pPr>
        <w:spacing w:after="0" w:line="179" w:lineRule="exact"/>
        <w:rPr>
          <w:sz w:val="20"/>
          <w:szCs w:val="20"/>
          <w:color w:val="auto"/>
        </w:rPr>
      </w:pPr>
    </w:p>
    <w:p>
      <w:pPr>
        <w:jc w:val="both"/>
        <w:ind w:firstLine="689"/>
        <w:spacing w:after="0" w:line="278" w:lineRule="auto"/>
        <w:rPr>
          <w:sz w:val="20"/>
          <w:szCs w:val="20"/>
          <w:color w:val="auto"/>
        </w:rPr>
      </w:pPr>
      <w:r>
        <w:rPr>
          <w:rFonts w:ascii="Arial" w:cs="Arial" w:eastAsia="Arial" w:hAnsi="Arial"/>
          <w:sz w:val="18"/>
          <w:szCs w:val="18"/>
          <w:color w:val="auto"/>
        </w:rPr>
        <w:t>Changes in foreign currency exchange rates had an unfavorable impact on gross sales in the Monster Energy ®Drinks segment of approximately $16.7 million for the six-months ended June 30, 2016, which was primarily due to a stronger U.S. dollar compared to certain local currencies in which we conduct certain of our international business. Changes in foreign currency exchange rates had an unfavorable impact on gross sales in the Strategic Brands segment of approximately $3.7 million for the six-months ended June 30, 2016, which was primarily due to a stronger U.S. dollar compared to certain local currencies in which we conduct certain of our international business.</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5"/>
          <w:szCs w:val="15"/>
          <w:i w:val="1"/>
          <w:iCs w:val="1"/>
          <w:color w:val="auto"/>
        </w:rPr>
        <w:t>**Gross sales are used internally by management as an indicator of and to monitor operating performance, including sales performance of particular products, salesperson performance, product growth or declines and overall Company performance. The use of gross sales allows evaluation of sales performance before the effect of any promotional items, which can mask certain performance issues. We therefore believe that the presentation of gross sales provides a useful measure of our operating performance. The use of gross sales is not a measure that is recognized under GAAP and should not be considered as an alternative to net sales, which is determined in accordance with GAAP, and should not be used alone as an indicator of operating performance in place of net sales. Additionally, gross sales may not be comparable to similarly titled measures used by other companies, as gross sales has been defined by our internal reporting practices. In addition, gross sales may not be realized in the form of cash receipts as promotional payments and allowances may be deducted from payments received from certain customers.</w:t>
      </w:r>
    </w:p>
    <w:p>
      <w:pPr>
        <w:spacing w:after="0" w:line="18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following table reconciles the non-GAAP financial measure of gross sales with the most directly comparable GAAP financial measure of net sales: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(In thousands, except per share</w:t>
            </w:r>
          </w:p>
        </w:tc>
        <w:tc>
          <w:tcPr>
            <w:tcW w:w="280" w:type="dxa"/>
            <w:vAlign w:val="bottom"/>
          </w:tcPr>
          <w:p>
            <w:pPr>
              <w:spacing w:after="0"/>
              <w:rPr>
                <w:sz w:val="18"/>
                <w:szCs w:val="18"/>
                <w:color w:val="auto"/>
              </w:rPr>
            </w:pPr>
          </w:p>
        </w:tc>
        <w:tc>
          <w:tcPr>
            <w:tcW w:w="2280" w:type="dxa"/>
            <w:vAlign w:val="bottom"/>
            <w:gridSpan w:val="4"/>
          </w:tcPr>
          <w:p>
            <w:pPr>
              <w:jc w:val="right"/>
              <w:ind w:right="430"/>
              <w:spacing w:after="0"/>
              <w:rPr>
                <w:sz w:val="20"/>
                <w:szCs w:val="20"/>
                <w:color w:val="auto"/>
              </w:rPr>
            </w:pPr>
            <w:r>
              <w:rPr>
                <w:rFonts w:ascii="Arial" w:cs="Arial" w:eastAsia="Arial" w:hAnsi="Arial"/>
                <w:sz w:val="18"/>
                <w:szCs w:val="18"/>
                <w:color w:val="auto"/>
              </w:rPr>
              <w:t>Three-Months Ended</w:t>
            </w: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Percentage</w:t>
            </w:r>
          </w:p>
        </w:tc>
        <w:tc>
          <w:tcPr>
            <w:tcW w:w="280" w:type="dxa"/>
            <w:vAlign w:val="bottom"/>
          </w:tcPr>
          <w:p>
            <w:pPr>
              <w:spacing w:after="0"/>
              <w:rPr>
                <w:sz w:val="18"/>
                <w:szCs w:val="18"/>
                <w:color w:val="auto"/>
              </w:rPr>
            </w:pPr>
          </w:p>
        </w:tc>
        <w:tc>
          <w:tcPr>
            <w:tcW w:w="2240" w:type="dxa"/>
            <w:vAlign w:val="bottom"/>
            <w:gridSpan w:val="4"/>
          </w:tcPr>
          <w:p>
            <w:pPr>
              <w:jc w:val="right"/>
              <w:ind w:right="490"/>
              <w:spacing w:after="0"/>
              <w:rPr>
                <w:sz w:val="20"/>
                <w:szCs w:val="20"/>
                <w:color w:val="auto"/>
              </w:rPr>
            </w:pPr>
            <w:r>
              <w:rPr>
                <w:rFonts w:ascii="Arial" w:cs="Arial" w:eastAsia="Arial" w:hAnsi="Arial"/>
                <w:sz w:val="18"/>
                <w:szCs w:val="18"/>
                <w:color w:val="auto"/>
              </w:rPr>
              <w:t>Six-Months Ended</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Percentage</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amounts)</w:t>
            </w:r>
          </w:p>
        </w:tc>
        <w:tc>
          <w:tcPr>
            <w:tcW w:w="280" w:type="dxa"/>
            <w:vAlign w:val="bottom"/>
          </w:tcPr>
          <w:p>
            <w:pPr>
              <w:spacing w:after="0"/>
              <w:rPr>
                <w:sz w:val="20"/>
                <w:szCs w:val="20"/>
                <w:color w:val="auto"/>
              </w:rPr>
            </w:pPr>
          </w:p>
        </w:tc>
        <w:tc>
          <w:tcPr>
            <w:tcW w:w="1420" w:type="dxa"/>
            <w:vAlign w:val="bottom"/>
            <w:gridSpan w:val="3"/>
          </w:tcPr>
          <w:p>
            <w:pPr>
              <w:jc w:val="right"/>
              <w:ind w:right="30"/>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Change</w:t>
            </w:r>
          </w:p>
        </w:tc>
        <w:tc>
          <w:tcPr>
            <w:tcW w:w="280" w:type="dxa"/>
            <w:vAlign w:val="bottom"/>
          </w:tcPr>
          <w:p>
            <w:pPr>
              <w:spacing w:after="0"/>
              <w:rPr>
                <w:sz w:val="20"/>
                <w:szCs w:val="20"/>
                <w:color w:val="auto"/>
              </w:rPr>
            </w:pPr>
          </w:p>
        </w:tc>
        <w:tc>
          <w:tcPr>
            <w:tcW w:w="1380" w:type="dxa"/>
            <w:vAlign w:val="bottom"/>
            <w:gridSpan w:val="3"/>
          </w:tcPr>
          <w:p>
            <w:pPr>
              <w:jc w:val="right"/>
              <w:ind w:right="10"/>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Change</w:t>
            </w:r>
          </w:p>
        </w:tc>
        <w:tc>
          <w:tcPr>
            <w:tcW w:w="0" w:type="dxa"/>
            <w:vAlign w:val="bottom"/>
          </w:tcPr>
          <w:p>
            <w:pPr>
              <w:spacing w:after="0"/>
              <w:rPr>
                <w:sz w:val="1"/>
                <w:szCs w:val="1"/>
                <w:color w:val="auto"/>
              </w:rPr>
            </w:pPr>
          </w:p>
        </w:tc>
      </w:tr>
      <w:tr>
        <w:trPr>
          <w:trHeight w:val="210"/>
        </w:trPr>
        <w:tc>
          <w:tcPr>
            <w:tcW w:w="3420" w:type="dxa"/>
            <w:vAlign w:val="bottom"/>
            <w:vMerge w:val="restart"/>
          </w:tcPr>
          <w:p>
            <w:pPr>
              <w:spacing w:after="0"/>
              <w:rPr>
                <w:sz w:val="20"/>
                <w:szCs w:val="20"/>
                <w:color w:val="auto"/>
              </w:rPr>
            </w:pPr>
            <w:r>
              <w:rPr>
                <w:rFonts w:ascii="Arial" w:cs="Arial" w:eastAsia="Arial" w:hAnsi="Arial"/>
                <w:sz w:val="18"/>
                <w:szCs w:val="18"/>
                <w:color w:val="auto"/>
              </w:rPr>
              <w:t>Gross sales, net of discounts and returns</w:t>
            </w: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7"/>
              </w:rPr>
              <w:t>16 vs. 15</w:t>
            </w:r>
          </w:p>
        </w:tc>
        <w:tc>
          <w:tcPr>
            <w:tcW w:w="2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7"/>
              </w:rPr>
              <w:t>16 vs. 15</w:t>
            </w:r>
          </w:p>
        </w:tc>
        <w:tc>
          <w:tcPr>
            <w:tcW w:w="0" w:type="dxa"/>
            <w:vAlign w:val="bottom"/>
          </w:tcPr>
          <w:p>
            <w:pPr>
              <w:spacing w:after="0"/>
              <w:rPr>
                <w:sz w:val="1"/>
                <w:szCs w:val="1"/>
                <w:color w:val="auto"/>
              </w:rPr>
            </w:pPr>
          </w:p>
        </w:tc>
      </w:tr>
      <w:tr>
        <w:trPr>
          <w:trHeight w:val="195"/>
        </w:trPr>
        <w:tc>
          <w:tcPr>
            <w:tcW w:w="3420" w:type="dxa"/>
            <w:vAlign w:val="bottom"/>
            <w:vMerge w:val="continue"/>
          </w:tcPr>
          <w:p>
            <w:pPr>
              <w:spacing w:after="0"/>
              <w:rPr>
                <w:sz w:val="16"/>
                <w:szCs w:val="16"/>
                <w:color w:val="auto"/>
              </w:rPr>
            </w:pPr>
          </w:p>
        </w:tc>
        <w:tc>
          <w:tcPr>
            <w:tcW w:w="280" w:type="dxa"/>
            <w:vAlign w:val="bottom"/>
          </w:tcPr>
          <w:p>
            <w:pPr>
              <w:jc w:val="right"/>
              <w:ind w:right="30"/>
              <w:spacing w:after="0" w:line="195"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945,846</w:t>
            </w:r>
          </w:p>
        </w:tc>
        <w:tc>
          <w:tcPr>
            <w:tcW w:w="220" w:type="dxa"/>
            <w:vAlign w:val="bottom"/>
          </w:tcPr>
          <w:p>
            <w:pPr>
              <w:spacing w:after="0"/>
              <w:rPr>
                <w:sz w:val="16"/>
                <w:szCs w:val="16"/>
                <w:color w:val="auto"/>
              </w:rPr>
            </w:pPr>
          </w:p>
        </w:tc>
        <w:tc>
          <w:tcPr>
            <w:tcW w:w="300" w:type="dxa"/>
            <w:vAlign w:val="bottom"/>
          </w:tcPr>
          <w:p>
            <w:pPr>
              <w:jc w:val="right"/>
              <w:ind w:right="50"/>
              <w:spacing w:after="0" w:line="195"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789,923</w:t>
            </w:r>
          </w:p>
        </w:tc>
        <w:tc>
          <w:tcPr>
            <w:tcW w:w="220" w:type="dxa"/>
            <w:vAlign w:val="bottom"/>
          </w:tcPr>
          <w:p>
            <w:pPr>
              <w:spacing w:after="0"/>
              <w:rPr>
                <w:sz w:val="16"/>
                <w:szCs w:val="16"/>
                <w:color w:val="auto"/>
              </w:rPr>
            </w:pPr>
          </w:p>
        </w:tc>
        <w:tc>
          <w:tcPr>
            <w:tcW w:w="1120" w:type="dxa"/>
            <w:vAlign w:val="bottom"/>
          </w:tcPr>
          <w:p>
            <w:pPr>
              <w:jc w:val="right"/>
              <w:spacing w:after="0" w:line="195" w:lineRule="exact"/>
              <w:rPr>
                <w:sz w:val="20"/>
                <w:szCs w:val="20"/>
                <w:color w:val="auto"/>
              </w:rPr>
            </w:pPr>
            <w:r>
              <w:rPr>
                <w:rFonts w:ascii="Arial" w:cs="Arial" w:eastAsia="Arial" w:hAnsi="Arial"/>
                <w:sz w:val="18"/>
                <w:szCs w:val="18"/>
                <w:color w:val="auto"/>
              </w:rPr>
              <w:t>19.7%</w:t>
            </w:r>
          </w:p>
        </w:tc>
        <w:tc>
          <w:tcPr>
            <w:tcW w:w="220" w:type="dxa"/>
            <w:vAlign w:val="bottom"/>
          </w:tcPr>
          <w:p>
            <w:pPr>
              <w:spacing w:after="0"/>
              <w:rPr>
                <w:sz w:val="16"/>
                <w:szCs w:val="16"/>
                <w:color w:val="auto"/>
              </w:rPr>
            </w:pPr>
          </w:p>
        </w:tc>
        <w:tc>
          <w:tcPr>
            <w:tcW w:w="280" w:type="dxa"/>
            <w:vAlign w:val="bottom"/>
          </w:tcPr>
          <w:p>
            <w:pPr>
              <w:jc w:val="right"/>
              <w:ind w:right="30"/>
              <w:spacing w:after="0" w:line="195"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1,723,354</w:t>
            </w:r>
          </w:p>
        </w:tc>
        <w:tc>
          <w:tcPr>
            <w:tcW w:w="220" w:type="dxa"/>
            <w:vAlign w:val="bottom"/>
          </w:tcPr>
          <w:p>
            <w:pPr>
              <w:spacing w:after="0"/>
              <w:rPr>
                <w:sz w:val="16"/>
                <w:szCs w:val="16"/>
                <w:color w:val="auto"/>
              </w:rPr>
            </w:pPr>
          </w:p>
        </w:tc>
        <w:tc>
          <w:tcPr>
            <w:tcW w:w="280" w:type="dxa"/>
            <w:vAlign w:val="bottom"/>
          </w:tcPr>
          <w:p>
            <w:pPr>
              <w:jc w:val="right"/>
              <w:ind w:right="30"/>
              <w:spacing w:after="0" w:line="195"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w w:val="97"/>
              </w:rPr>
              <w:t>1,500,115</w:t>
            </w:r>
          </w:p>
        </w:tc>
        <w:tc>
          <w:tcPr>
            <w:tcW w:w="220" w:type="dxa"/>
            <w:vAlign w:val="bottom"/>
          </w:tcPr>
          <w:p>
            <w:pPr>
              <w:spacing w:after="0"/>
              <w:rPr>
                <w:sz w:val="16"/>
                <w:szCs w:val="16"/>
                <w:color w:val="auto"/>
              </w:rPr>
            </w:pPr>
          </w:p>
        </w:tc>
        <w:tc>
          <w:tcPr>
            <w:tcW w:w="1120" w:type="dxa"/>
            <w:vAlign w:val="bottom"/>
          </w:tcPr>
          <w:p>
            <w:pPr>
              <w:jc w:val="right"/>
              <w:spacing w:after="0" w:line="195"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w w:val="99"/>
              </w:rPr>
              <w:t>Less: Promotional and other allowances***</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118,358</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96,201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23.0%</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215,680</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179,603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0"/>
        </w:trPr>
        <w:tc>
          <w:tcPr>
            <w:tcW w:w="3420" w:type="dxa"/>
            <w:vAlign w:val="bottom"/>
          </w:tcPr>
          <w:p>
            <w:pPr>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827,488</w:t>
            </w:r>
          </w:p>
        </w:tc>
        <w:tc>
          <w:tcPr>
            <w:tcW w:w="220" w:type="dxa"/>
            <w:vAlign w:val="bottom"/>
          </w:tcPr>
          <w:p>
            <w:pPr>
              <w:spacing w:after="0"/>
              <w:rPr>
                <w:sz w:val="18"/>
                <w:szCs w:val="18"/>
                <w:color w:val="auto"/>
              </w:rPr>
            </w:pP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693,722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18"/>
                <w:szCs w:val="18"/>
                <w:color w:val="auto"/>
              </w:rPr>
            </w:pP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1,507,674</w:t>
            </w:r>
          </w:p>
        </w:tc>
        <w:tc>
          <w:tcPr>
            <w:tcW w:w="220" w:type="dxa"/>
            <w:vAlign w:val="bottom"/>
          </w:tcPr>
          <w:p>
            <w:pPr>
              <w:spacing w:after="0"/>
              <w:rPr>
                <w:sz w:val="18"/>
                <w:szCs w:val="18"/>
                <w:color w:val="auto"/>
              </w:rPr>
            </w:pP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1,320,512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303" w:lineRule="auto"/>
        <w:rPr>
          <w:sz w:val="20"/>
          <w:szCs w:val="20"/>
          <w:color w:val="auto"/>
        </w:rPr>
      </w:pPr>
      <w:r>
        <w:rPr>
          <w:rFonts w:ascii="Arial" w:cs="Arial" w:eastAsia="Arial" w:hAnsi="Arial"/>
          <w:sz w:val="14"/>
          <w:szCs w:val="14"/>
          <w:i w:val="1"/>
          <w:iCs w:val="1"/>
          <w:color w:val="auto"/>
        </w:rPr>
        <w:t>***Although the expenditures described in this line item are determined in accordance with GAAP and meet GAAP requirements, the presentation thereof does not conform with GAAP presentation requirements. Additionally, our definition of promotional and other allowances may not be comparable to similar items presented by other companies. Promotional and other allowances primarily include consideration given to the Company’s bottlers/distributors or retail customers including, but not limited to the following:</w:t>
      </w:r>
    </w:p>
    <w:p>
      <w:pPr>
        <w:spacing w:after="0" w:line="2" w:lineRule="exact"/>
        <w:rPr>
          <w:sz w:val="20"/>
          <w:szCs w:val="20"/>
          <w:color w:val="auto"/>
        </w:rPr>
      </w:pPr>
    </w:p>
    <w:p>
      <w:pPr>
        <w:jc w:val="both"/>
        <w:ind w:firstLine="8"/>
        <w:spacing w:after="0" w:line="312" w:lineRule="auto"/>
        <w:tabs>
          <w:tab w:leader="none" w:pos="211" w:val="left"/>
        </w:tabs>
        <w:numPr>
          <w:ilvl w:val="0"/>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discounts granted off list prices to support price promotions to end-consumers by retailers; (ii) reimbursements given to the Company’s bottlers/distributors for agreed portions of their promotional spend with retailers, including slotting, shelf space allowances and other fees for both new and existing products; (iii) the Company’s agreed share of fees given to bottlers/distributors and/or directly to retailers for advertising, in-store marketing and promotional activities; (iv) the Company’s agreed share of slotting, shelf space allowances and other fees given directly to retailers; (v) incentives given to the Company’s bottlers/distributors and/or retailers for achieving or exceeding certain predetermined sales goals; (vi) discounted or free products; (vii) contractual fees given to the Company’s bottlers/distributors related to sales made by the Company direct to certain customers that fall within the bottler’s/distributors’ sales territories; and (viii) commissions paid to our customers. The presentation of promotional and other allowances facilitates an evaluation of their impact on the determination of net sales and the spending levels incurred or correlated with such sales. Promotional and other</w:t>
      </w:r>
    </w:p>
    <w:p>
      <w:pPr>
        <w:sectPr>
          <w:pgSz w:w="11900" w:h="16925" w:orient="portrait"/>
          <w:cols w:equalWidth="0" w:num="1">
            <w:col w:w="11420"/>
          </w:cols>
          <w:pgMar w:left="240" w:top="121" w:right="239" w:bottom="0" w:gutter="0" w:footer="0" w:header="0"/>
        </w:sectPr>
      </w:pPr>
    </w:p>
    <w:bookmarkStart w:id="30" w:name="page31"/>
    <w:bookmarkEnd w:id="30"/>
    <w:p>
      <w:pPr>
        <w:jc w:val="both"/>
        <w:spacing w:after="0" w:line="297" w:lineRule="auto"/>
        <w:rPr>
          <w:sz w:val="20"/>
          <w:szCs w:val="20"/>
          <w:color w:val="auto"/>
        </w:rPr>
      </w:pPr>
      <w:r>
        <w:rPr>
          <w:rFonts w:ascii="Arial" w:cs="Arial" w:eastAsia="Arial" w:hAnsi="Arial"/>
          <w:sz w:val="15"/>
          <w:szCs w:val="15"/>
          <w:i w:val="1"/>
          <w:iCs w:val="1"/>
          <w:color w:val="auto"/>
        </w:rPr>
        <w:t>allowances constitute a material portion of our marketing activities. The Company’s promotional allowance programs with its numerous bottlers/distributors and/or retailers are executed through separate agreements in the ordinary course of business. These agreements generally provide for one or more of the arrangements described above and are of varying durations, ranging from one week to one year. The primary drivers of our promotional and other allowance activities for the three- and six-months ended June 30, 2016 and 2015 were (i) to increase sales volume and trial, (ii) to address market conditions, and (iii) to secure shelf and display space at retail.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3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i w:val="1"/>
          <w:iCs w:val="1"/>
          <w:color w:val="auto"/>
        </w:rPr>
        <w:t xml:space="preserve">Cash flows provided by operating activities. </w:t>
      </w:r>
      <w:r>
        <w:rPr>
          <w:rFonts w:ascii="Arial" w:cs="Arial" w:eastAsia="Arial" w:hAnsi="Arial"/>
          <w:sz w:val="19"/>
          <w:szCs w:val="19"/>
          <w:color w:val="auto"/>
        </w:rPr>
        <w:t>Cash provided by operating activities was $247.6 million for the six-months ended</w:t>
      </w:r>
      <w:r>
        <w:rPr>
          <w:rFonts w:ascii="Arial" w:cs="Arial" w:eastAsia="Arial" w:hAnsi="Arial"/>
          <w:sz w:val="19"/>
          <w:szCs w:val="19"/>
          <w:i w:val="1"/>
          <w:iCs w:val="1"/>
          <w:color w:val="auto"/>
        </w:rPr>
        <w:t xml:space="preserve"> </w:t>
      </w:r>
      <w:r>
        <w:rPr>
          <w:rFonts w:ascii="Arial" w:cs="Arial" w:eastAsia="Arial" w:hAnsi="Arial"/>
          <w:sz w:val="19"/>
          <w:szCs w:val="19"/>
          <w:color w:val="auto"/>
        </w:rPr>
        <w:t>June 30, 2016, as compared with net cash provided by operating activities of $160.8 million for the six-months ended June 30, 2015.</w:t>
      </w:r>
    </w:p>
    <w:p>
      <w:pPr>
        <w:spacing w:after="0" w:line="16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For the six-months ended June 30, 2016, cash provided by operating activities was primarily attributable to net income earned of $348.1 million and adjustments for certain non-cash expenses, consisting of $21.6 million of stock-based compensation and $19.3 million of depreciation and other amortization. For the six-months ended June 30, 2016, cash provided by operating activities also increased due to a $35.0 million increase in accounts payable, a $27.2 million increase in accrued promotional allowances, a $13.8 million increase in accrued distributor terminations, an $11.6 million decrease in inventories and a $6.8 million increase in accrued liabilities. For the six-months ended June 30, 2016, cash used in operating activities was the result of a $100.7 million decrease in income taxes payable, a $103.3 million increase in accounts receivable, an $18.7 million increase in prepaid income taxes, a $6.1 million decrease in accrued compensation, a $2.8 million decrease in deferred revenue, a $2.5 million increase in prepaid expenses and other current assets and a $1.7 million increase in distributor receivables.</w:t>
      </w:r>
    </w:p>
    <w:p>
      <w:pPr>
        <w:spacing w:after="0" w:line="20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For the six-months ended June 30, 2015, cash provided by operating activities was primarily attributable to net income earned of $233.4 million and adjustments for certain non-cash expenses, consisting of $14.8 million of stock-based compensation and $13.3 million of depreciation and other amortization. For the six-months ended June 30, 2015, cash provided by operating activities also increased due to a $156.7 million change in deferred income taxes, a $72.1 million increase in accounts payable, a $64.8 million increase in accrued distributor terminations, an $18.0 million increase in accrued promotional allowances and a $12.5 million increase in accrued liabilities. For the six-months ended June 30, 2015, cash used in operating activities was due to a $161.5 million gain on the sale of Monster Non-Energy, a $95.2 million increase in accounts receivable, an $84.1 million increase in prepaid income taxes, a $40.8 million decrease in deferred revenue, a $28.9 million increase in inventories, a $7.5 million decrease in income taxes payable, a $3.5 million decrease in accrued compensation and a $3.3 million increase in prepaid expenses and other current assets.</w:t>
      </w:r>
    </w:p>
    <w:p>
      <w:pPr>
        <w:spacing w:after="0" w:line="19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i w:val="1"/>
          <w:iCs w:val="1"/>
          <w:color w:val="auto"/>
        </w:rPr>
        <w:t xml:space="preserve">Cash flows provided by (used in) investing activities. </w:t>
      </w:r>
      <w:r>
        <w:rPr>
          <w:rFonts w:ascii="Arial" w:cs="Arial" w:eastAsia="Arial" w:hAnsi="Arial"/>
          <w:sz w:val="20"/>
          <w:szCs w:val="20"/>
          <w:color w:val="auto"/>
        </w:rPr>
        <w:t>Cash provided by investing activities was $2.6 million for the six-months ended</w:t>
      </w:r>
      <w:r>
        <w:rPr>
          <w:rFonts w:ascii="Arial" w:cs="Arial" w:eastAsia="Arial" w:hAnsi="Arial"/>
          <w:sz w:val="20"/>
          <w:szCs w:val="20"/>
          <w:i w:val="1"/>
          <w:iCs w:val="1"/>
          <w:color w:val="auto"/>
        </w:rPr>
        <w:t xml:space="preserve"> </w:t>
      </w:r>
      <w:r>
        <w:rPr>
          <w:rFonts w:ascii="Arial" w:cs="Arial" w:eastAsia="Arial" w:hAnsi="Arial"/>
          <w:sz w:val="20"/>
          <w:szCs w:val="20"/>
          <w:color w:val="auto"/>
        </w:rPr>
        <w:t>June 30, 2016 as compared to cash used of $105.9 million for the six-months ended June 30, 2015.</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six-months ended June 30, 2016, cash used in investing activities was primarily related to the $688.5 million purchase of AFF.</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For both the six-months ended June 30, 2016 and 2015, cash used in investing activities was primarily attributable to purchases of held-to-maturity investments, purchases of property and equipment, and additions to intangibles. For both the six-months ended June 30, 2016 and 2015, cash provided by investing activities was primarily attributable to maturities of held-to-maturity investments. For both the six-months ended June 30, 2016 and 2015, cash used in investing activities also included the acquisitions of fixed assets consisting of vans and promotional vehicles, coolers and other equipment to support our marketing and promotional activities, production equipment, furniture and fixtures, office and computer equipment, computer software, equipment used for sales and administrative activities and certain leasehold improvements. We expect to continue to use a portion of our cash in excess of our requirements for operations for purchasing short-term and long-term investments, leasehold improvements, the acquisition of capital equipment (specifically, vans, trucks and promotional vehicles, coolers, other promotional equipment, merchandise displays, warehousing racks as well as items of production equipment required to produce certain of our existing and/or new products and to develop our brand in international markets) and for other corporate purposes. From time to time, we may also use cash to purchase additional real property related to our beverage business and/or acquire compatible businesses.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i w:val="1"/>
          <w:iCs w:val="1"/>
          <w:color w:val="auto"/>
        </w:rPr>
        <w:t xml:space="preserve">Cash flows (used in) provided by financing activities. </w:t>
      </w:r>
      <w:r>
        <w:rPr>
          <w:rFonts w:ascii="Arial" w:cs="Arial" w:eastAsia="Arial" w:hAnsi="Arial"/>
          <w:sz w:val="19"/>
          <w:szCs w:val="19"/>
          <w:color w:val="auto"/>
        </w:rPr>
        <w:t>We used ($1,995.2) million of cash in financing activities for the six-months</w:t>
      </w:r>
      <w:r>
        <w:rPr>
          <w:rFonts w:ascii="Arial" w:cs="Arial" w:eastAsia="Arial" w:hAnsi="Arial"/>
          <w:sz w:val="19"/>
          <w:szCs w:val="19"/>
          <w:i w:val="1"/>
          <w:iCs w:val="1"/>
          <w:color w:val="auto"/>
        </w:rPr>
        <w:t xml:space="preserve"> </w:t>
      </w:r>
      <w:r>
        <w:rPr>
          <w:rFonts w:ascii="Arial" w:cs="Arial" w:eastAsia="Arial" w:hAnsi="Arial"/>
          <w:sz w:val="19"/>
          <w:szCs w:val="19"/>
          <w:color w:val="auto"/>
        </w:rPr>
        <w:t>ended June 30, 2016 as compared to cash provided by financing activities of $1,276.4 million for the six-months ended June 30, 2015. The cash flows used in financing activities for the six-months ended June 30, 2016 was primarily the result of the repurchases of our common stock. The cash flows provided by financing activities for the six-months ended June 30, 2015 was primarily the result of the issuance of our common stock to TCCC during the six-months ended June 30, 2015 in connection with the TCCC Transaction.</w:t>
      </w:r>
    </w:p>
    <w:p>
      <w:pPr>
        <w:spacing w:after="0" w:line="19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Purchases of inventories, increases in accounts receivable and other assets, acquisition of property and equipment (including real property and coolers), leasehold improvements, acquisition and maintenance of trademarks, payments of accounts payable, income taxes payable and purchases of our common stock are expected to remain our principal recurring use of cash.</w:t>
      </w:r>
    </w:p>
    <w:p>
      <w:pPr>
        <w:spacing w:after="0" w:line="18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i w:val="1"/>
          <w:iCs w:val="1"/>
          <w:color w:val="auto"/>
        </w:rPr>
        <w:t xml:space="preserve">Cash and cash equivalents, short-term and long-term investments. </w:t>
      </w:r>
      <w:r>
        <w:rPr>
          <w:rFonts w:ascii="Arial" w:cs="Arial" w:eastAsia="Arial" w:hAnsi="Arial"/>
          <w:sz w:val="18"/>
          <w:szCs w:val="18"/>
          <w:color w:val="auto"/>
        </w:rPr>
        <w:t>At June 30, 2016, we had $434.8 million in cash and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and $44.3 million in short-term investments. We have historically invested these amounts in U.S. Treasury bills, U.S. government agency securities and municipal securities, commercial paper, certificates of deposit and money market funds meeting certain criteria. We maintain our investments for cash management purposes and not for purposes of speculation. Our risk management policies emphasize credit quality (primarily based on short-term ratings by nationally recognized statistical organizations) in selecting and maintaining our investments.</w:t>
      </w:r>
    </w:p>
    <w:p>
      <w:pPr>
        <w:sectPr>
          <w:pgSz w:w="11900" w:h="16838" w:orient="portrait"/>
          <w:cols w:equalWidth="0" w:num="1">
            <w:col w:w="11420"/>
          </w:cols>
          <w:pgMar w:left="240" w:top="130" w:right="239" w:bottom="0" w:gutter="0" w:footer="0" w:header="0"/>
        </w:sectPr>
      </w:pPr>
    </w:p>
    <w:bookmarkStart w:id="31" w:name="page32"/>
    <w:bookmarkEnd w:id="31"/>
    <w:p>
      <w:pPr>
        <w:spacing w:after="0" w:line="26"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We regularly assess market risk of our investments and believe our current policies and investment practices adequately limit those risks. However, certain of these investments are subject to general credit, liquidity, market and interest rate risks. These market risks associated with our investment portfolio may have an adverse effect on our future results of operations, liquidity and financial condition.</w:t>
      </w:r>
    </w:p>
    <w:p>
      <w:pPr>
        <w:spacing w:after="0" w:line="18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Of our $434.8 million of cash and cash equivalents held at June 30, 2016, $200.0 million was held by our foreign subsidiaries. No short-term or long-term investments were held by our foreign subsidiaries at June 30, 2016. We do not intend, nor do we foresee a need, to repatriate undistributed earnings of our foreign subsidiaries other than to repay certain intercompany debt owed to our U.S. operations. Under current tax laws, if funds in excess of intercompany amounts owed were repatriated to our U.S. operations we would be required to accrue and pay additional income taxes on such excess funds at the tax rates then in effect.</w:t>
      </w:r>
    </w:p>
    <w:p>
      <w:pPr>
        <w:spacing w:after="0" w:line="19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believe that cash available from operations, including our cash resources and access to credit, will be sufficient for our working capital needs, including purchase commitments for raw materials and inventory, increases in accounts receivable, payments of tax liabilities, expansion and development needs, purchases of capital assets, purchases of equipment and properties and purchases of shares of our common stock, through at least the next 12 months. Based on our current plans, at this time we estimate that capital expenditures, including the purchases of real property, are likely to be less than $150.0 million through June 30, 2017. However, future business opportunities may cause a change in this estimate.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represents a summary of the Company’s contractual commitments and related scheduled maturities as of June 30, 2016:</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340" w:type="dxa"/>
            <w:vAlign w:val="bottom"/>
            <w:tcBorders>
              <w:bottom w:val="single" w:sz="8" w:color="auto"/>
            </w:tcBorders>
            <w:gridSpan w:val="8"/>
          </w:tcPr>
          <w:p>
            <w:pPr>
              <w:ind w:left="400"/>
              <w:spacing w:after="0"/>
              <w:rPr>
                <w:sz w:val="20"/>
                <w:szCs w:val="20"/>
                <w:color w:val="auto"/>
              </w:rPr>
            </w:pPr>
            <w:r>
              <w:rPr>
                <w:rFonts w:ascii="Arial" w:cs="Arial" w:eastAsia="Arial" w:hAnsi="Arial"/>
                <w:sz w:val="20"/>
                <w:szCs w:val="20"/>
                <w:color w:val="auto"/>
              </w:rPr>
              <w:t>Payments due by period (in thousands)</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r>
        <w:trPr>
          <w:trHeight w:val="206"/>
        </w:trPr>
        <w:tc>
          <w:tcPr>
            <w:tcW w:w="3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ind w:left="60"/>
              <w:spacing w:after="0" w:line="207" w:lineRule="exact"/>
              <w:rPr>
                <w:sz w:val="20"/>
                <w:szCs w:val="20"/>
                <w:color w:val="auto"/>
              </w:rPr>
            </w:pPr>
            <w:r>
              <w:rPr>
                <w:rFonts w:ascii="Arial" w:cs="Arial" w:eastAsia="Arial" w:hAnsi="Arial"/>
                <w:sz w:val="20"/>
                <w:szCs w:val="20"/>
                <w:color w:val="auto"/>
              </w:rPr>
              <w:t>Less than</w:t>
            </w:r>
          </w:p>
        </w:tc>
        <w:tc>
          <w:tcPr>
            <w:tcW w:w="340" w:type="dxa"/>
            <w:vAlign w:val="bottom"/>
          </w:tcPr>
          <w:p>
            <w:pPr>
              <w:spacing w:after="0"/>
              <w:rPr>
                <w:sz w:val="17"/>
                <w:szCs w:val="17"/>
                <w:color w:val="auto"/>
              </w:rPr>
            </w:pPr>
          </w:p>
        </w:tc>
        <w:tc>
          <w:tcPr>
            <w:tcW w:w="1040" w:type="dxa"/>
            <w:vAlign w:val="bottom"/>
          </w:tcPr>
          <w:p>
            <w:pPr>
              <w:jc w:val="right"/>
              <w:ind w:right="461"/>
              <w:spacing w:after="0" w:line="207" w:lineRule="exact"/>
              <w:rPr>
                <w:sz w:val="20"/>
                <w:szCs w:val="20"/>
                <w:color w:val="auto"/>
              </w:rPr>
            </w:pPr>
            <w:r>
              <w:rPr>
                <w:rFonts w:ascii="Arial" w:cs="Arial" w:eastAsia="Arial" w:hAnsi="Arial"/>
                <w:sz w:val="20"/>
                <w:szCs w:val="20"/>
                <w:color w:val="auto"/>
              </w:rPr>
              <w:t>1-3</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41"/>
              <w:spacing w:after="0" w:line="207" w:lineRule="exact"/>
              <w:rPr>
                <w:sz w:val="20"/>
                <w:szCs w:val="20"/>
                <w:color w:val="auto"/>
              </w:rPr>
            </w:pPr>
            <w:r>
              <w:rPr>
                <w:rFonts w:ascii="Arial" w:cs="Arial" w:eastAsia="Arial" w:hAnsi="Arial"/>
                <w:sz w:val="20"/>
                <w:szCs w:val="20"/>
                <w:color w:val="auto"/>
              </w:rPr>
              <w:t>3-5</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181"/>
              <w:spacing w:after="0" w:line="207" w:lineRule="exact"/>
              <w:rPr>
                <w:sz w:val="20"/>
                <w:szCs w:val="20"/>
                <w:color w:val="auto"/>
              </w:rPr>
            </w:pPr>
            <w:r>
              <w:rPr>
                <w:rFonts w:ascii="Arial" w:cs="Arial" w:eastAsia="Arial" w:hAnsi="Arial"/>
                <w:sz w:val="20"/>
                <w:szCs w:val="20"/>
                <w:color w:val="auto"/>
                <w:w w:val="93"/>
              </w:rPr>
              <w:t>More than</w:t>
            </w:r>
          </w:p>
        </w:tc>
      </w:tr>
      <w:tr>
        <w:trPr>
          <w:trHeight w:val="246"/>
        </w:trPr>
        <w:tc>
          <w:tcPr>
            <w:tcW w:w="3620" w:type="dxa"/>
            <w:vAlign w:val="bottom"/>
            <w:tcBorders>
              <w:bottom w:val="single" w:sz="8" w:color="auto"/>
            </w:tcBorders>
          </w:tcPr>
          <w:p>
            <w:pPr>
              <w:ind w:left="1340"/>
              <w:spacing w:after="0"/>
              <w:rPr>
                <w:sz w:val="20"/>
                <w:szCs w:val="20"/>
                <w:color w:val="auto"/>
              </w:rPr>
            </w:pPr>
            <w:r>
              <w:rPr>
                <w:rFonts w:ascii="Arial" w:cs="Arial" w:eastAsia="Arial" w:hAnsi="Arial"/>
                <w:sz w:val="20"/>
                <w:szCs w:val="20"/>
                <w:color w:val="auto"/>
              </w:rPr>
              <w:t>Obligations</w:t>
            </w:r>
          </w:p>
        </w:tc>
        <w:tc>
          <w:tcPr>
            <w:tcW w:w="1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Total</w:t>
            </w: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1 year</w:t>
            </w:r>
          </w:p>
        </w:tc>
        <w:tc>
          <w:tcPr>
            <w:tcW w:w="1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years</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years</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5 years</w:t>
            </w:r>
          </w:p>
        </w:tc>
      </w:tr>
      <w:tr>
        <w:trPr>
          <w:trHeight w:val="436"/>
        </w:trPr>
        <w:tc>
          <w:tcPr>
            <w:tcW w:w="3780" w:type="dxa"/>
            <w:vAlign w:val="bottom"/>
            <w:gridSpan w:val="2"/>
          </w:tcPr>
          <w:p>
            <w:pPr>
              <w:ind w:left="40"/>
              <w:spacing w:after="0"/>
              <w:rPr>
                <w:sz w:val="20"/>
                <w:szCs w:val="20"/>
                <w:color w:val="auto"/>
              </w:rPr>
            </w:pPr>
            <w:r>
              <w:rPr>
                <w:rFonts w:ascii="Arial" w:cs="Arial" w:eastAsia="Arial" w:hAnsi="Arial"/>
                <w:sz w:val="20"/>
                <w:szCs w:val="20"/>
                <w:color w:val="auto"/>
              </w:rPr>
              <w:t>Contractual Obligations¹</w:t>
            </w:r>
          </w:p>
        </w:tc>
        <w:tc>
          <w:tcPr>
            <w:tcW w:w="3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136,659</w:t>
            </w:r>
          </w:p>
        </w:tc>
        <w:tc>
          <w:tcPr>
            <w:tcW w:w="1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70,643</w:t>
            </w:r>
          </w:p>
        </w:tc>
        <w:tc>
          <w:tcPr>
            <w:tcW w:w="180" w:type="dxa"/>
            <w:vAlign w:val="bottom"/>
          </w:tcPr>
          <w:p>
            <w:pPr>
              <w:spacing w:after="0"/>
              <w:rPr>
                <w:sz w:val="24"/>
                <w:szCs w:val="24"/>
                <w:color w:val="auto"/>
              </w:rPr>
            </w:pPr>
          </w:p>
        </w:tc>
        <w:tc>
          <w:tcPr>
            <w:tcW w:w="3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49,736</w:t>
            </w:r>
          </w:p>
        </w:tc>
        <w:tc>
          <w:tcPr>
            <w:tcW w:w="160" w:type="dxa"/>
            <w:vAlign w:val="bottom"/>
          </w:tcPr>
          <w:p>
            <w:pPr>
              <w:spacing w:after="0"/>
              <w:rPr>
                <w:sz w:val="24"/>
                <w:szCs w:val="24"/>
                <w:color w:val="auto"/>
              </w:rPr>
            </w:pPr>
          </w:p>
        </w:tc>
        <w:tc>
          <w:tcPr>
            <w:tcW w:w="3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16,280</w:t>
            </w:r>
          </w:p>
        </w:tc>
        <w:tc>
          <w:tcPr>
            <w:tcW w:w="1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30"/>
        </w:trPr>
        <w:tc>
          <w:tcPr>
            <w:tcW w:w="3780" w:type="dxa"/>
            <w:vAlign w:val="bottom"/>
            <w:gridSpan w:val="2"/>
          </w:tcPr>
          <w:p>
            <w:pPr>
              <w:ind w:left="40"/>
              <w:spacing w:after="0"/>
              <w:rPr>
                <w:sz w:val="20"/>
                <w:szCs w:val="20"/>
                <w:color w:val="auto"/>
              </w:rPr>
            </w:pPr>
            <w:r>
              <w:rPr>
                <w:rFonts w:ascii="Arial" w:cs="Arial" w:eastAsia="Arial" w:hAnsi="Arial"/>
                <w:sz w:val="20"/>
                <w:szCs w:val="20"/>
                <w:color w:val="auto"/>
              </w:rPr>
              <w:t>Capital Leases</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1,646</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1,646</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30"/>
        </w:trPr>
        <w:tc>
          <w:tcPr>
            <w:tcW w:w="3780" w:type="dxa"/>
            <w:vAlign w:val="bottom"/>
            <w:gridSpan w:val="2"/>
          </w:tcPr>
          <w:p>
            <w:pPr>
              <w:ind w:left="40"/>
              <w:spacing w:after="0"/>
              <w:rPr>
                <w:sz w:val="20"/>
                <w:szCs w:val="20"/>
                <w:color w:val="auto"/>
              </w:rPr>
            </w:pPr>
            <w:r>
              <w:rPr>
                <w:rFonts w:ascii="Arial" w:cs="Arial" w:eastAsia="Arial" w:hAnsi="Arial"/>
                <w:sz w:val="20"/>
                <w:szCs w:val="20"/>
                <w:color w:val="auto"/>
              </w:rPr>
              <w:t>Operating Leases</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20,305</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5,830</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3,787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2,079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8,609</w:t>
            </w:r>
          </w:p>
        </w:tc>
      </w:tr>
      <w:tr>
        <w:trPr>
          <w:trHeight w:val="246"/>
        </w:trPr>
        <w:tc>
          <w:tcPr>
            <w:tcW w:w="3780" w:type="dxa"/>
            <w:vAlign w:val="bottom"/>
            <w:gridSpan w:val="2"/>
          </w:tcPr>
          <w:p>
            <w:pPr>
              <w:ind w:left="40"/>
              <w:spacing w:after="0"/>
              <w:rPr>
                <w:sz w:val="20"/>
                <w:szCs w:val="20"/>
                <w:color w:val="auto"/>
              </w:rPr>
            </w:pPr>
            <w:r>
              <w:rPr>
                <w:rFonts w:ascii="Arial" w:cs="Arial" w:eastAsia="Arial" w:hAnsi="Arial"/>
                <w:sz w:val="20"/>
                <w:szCs w:val="20"/>
                <w:color w:val="auto"/>
              </w:rPr>
              <w:t>Purchase Commitments²</w:t>
            </w: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29,024</w:t>
            </w: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29,024</w:t>
            </w:r>
          </w:p>
        </w:tc>
        <w:tc>
          <w:tcPr>
            <w:tcW w:w="1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23"/>
        </w:trPr>
        <w:tc>
          <w:tcPr>
            <w:tcW w:w="3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187,634</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107,143</w:t>
            </w:r>
          </w:p>
        </w:tc>
        <w:tc>
          <w:tcPr>
            <w:tcW w:w="18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53,523</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18,359</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8,609</w:t>
            </w:r>
          </w:p>
        </w:tc>
      </w:tr>
      <w:tr>
        <w:trPr>
          <w:trHeight w:val="20"/>
        </w:trPr>
        <w:tc>
          <w:tcPr>
            <w:tcW w:w="3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¹Contractual obligations include our obligations related to sponsorships and other commitments.</w:t>
      </w:r>
    </w:p>
    <w:p>
      <w:pPr>
        <w:spacing w:after="0" w:line="10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²Purchase commitments include obligations made by us and our subsidiaries to various suppliers for raw materials used in the production of our products. These obligations vary in terms, but are generally satisfied within one year.</w:t>
      </w:r>
    </w:p>
    <w:p>
      <w:pPr>
        <w:spacing w:after="0" w:line="18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addition, approximately $0.5 million of unrecognized tax benefits have been recorded as liabilities as of June 30, 2016. It is expected that the amount of unrecognized tax benefits will not significantly change within the next 12 months. We have also recorded a liability for potential penalties and interest of $0.2 million as of June 30, 2016.</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Sales</w:t>
      </w:r>
    </w:p>
    <w:p>
      <w:pPr>
        <w:spacing w:after="0" w:line="23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table below discloses selected quarterly data regarding sales for the three- and six-months ended June 30, 2016 and 2015, respectively. Data from any one or more quarters or periods is not necessarily indicative of annual results or continuing trends.</w:t>
      </w:r>
    </w:p>
    <w:p>
      <w:pPr>
        <w:spacing w:after="0" w:line="16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Sales of beverages are expressed in unit case volume. A “unit case” means a unit of measurement equal to 192 U.S. fluid ounces of finished beverage (24 eight-ounce servings). Unit case volume means the number of unit cases (or unit case equivalents) of finished products or concentrates as if converted into finished products sold by us.</w:t>
      </w:r>
    </w:p>
    <w:p>
      <w:pPr>
        <w:spacing w:after="0" w:line="20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Our quarterly results of operations reflect seasonal trends that are primarily the result of increased demand in the warmer months of the year. It has been our experience that beverage sales tend to be lower during the first and fourth quarters of each calendar year. However, our experience with our energy drink products suggests they may be less seasonal than the seasonality expected from traditional beverages. In addition, our continued growth internationally may further reduce the impact of seasonality. Quarterly fluctuations may also be affected by other factors including the introduction of new products, the opening of new markets where temperature fluctuations are more pronounced, the addition of new bottlers, customers and distributors, changes in the sales mix of our products and changes in advertising and promotional expenses.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4540" w:type="dxa"/>
            <w:vAlign w:val="bottom"/>
            <w:gridSpan w:val="3"/>
          </w:tcPr>
          <w:p>
            <w:pPr>
              <w:ind w:left="40"/>
              <w:spacing w:after="0"/>
              <w:rPr>
                <w:sz w:val="20"/>
                <w:szCs w:val="20"/>
                <w:color w:val="auto"/>
              </w:rPr>
            </w:pPr>
            <w:r>
              <w:rPr>
                <w:rFonts w:ascii="Arial" w:cs="Arial" w:eastAsia="Arial" w:hAnsi="Arial"/>
                <w:sz w:val="20"/>
                <w:szCs w:val="20"/>
                <w:color w:val="auto"/>
              </w:rPr>
              <w:t>(In thousands, except average</w:t>
            </w:r>
          </w:p>
        </w:tc>
        <w:tc>
          <w:tcPr>
            <w:tcW w:w="360" w:type="dxa"/>
            <w:vAlign w:val="bottom"/>
          </w:tcPr>
          <w:p>
            <w:pPr>
              <w:spacing w:after="0"/>
              <w:rPr>
                <w:sz w:val="24"/>
                <w:szCs w:val="24"/>
                <w:color w:val="auto"/>
              </w:rPr>
            </w:pPr>
          </w:p>
        </w:tc>
        <w:tc>
          <w:tcPr>
            <w:tcW w:w="3200" w:type="dxa"/>
            <w:vAlign w:val="bottom"/>
            <w:gridSpan w:val="5"/>
          </w:tcPr>
          <w:p>
            <w:pPr>
              <w:ind w:left="420"/>
              <w:spacing w:after="0"/>
              <w:rPr>
                <w:sz w:val="20"/>
                <w:szCs w:val="20"/>
                <w:color w:val="auto"/>
              </w:rPr>
            </w:pPr>
            <w:r>
              <w:rPr>
                <w:rFonts w:ascii="Arial" w:cs="Arial" w:eastAsia="Arial" w:hAnsi="Arial"/>
                <w:sz w:val="20"/>
                <w:szCs w:val="20"/>
                <w:color w:val="auto"/>
              </w:rPr>
              <w:t>Three-Months Ended</w:t>
            </w:r>
          </w:p>
        </w:tc>
        <w:tc>
          <w:tcPr>
            <w:tcW w:w="360" w:type="dxa"/>
            <w:vAlign w:val="bottom"/>
          </w:tcPr>
          <w:p>
            <w:pPr>
              <w:spacing w:after="0"/>
              <w:rPr>
                <w:sz w:val="24"/>
                <w:szCs w:val="24"/>
                <w:color w:val="auto"/>
              </w:rPr>
            </w:pPr>
          </w:p>
        </w:tc>
        <w:tc>
          <w:tcPr>
            <w:tcW w:w="2860" w:type="dxa"/>
            <w:vAlign w:val="bottom"/>
            <w:gridSpan w:val="4"/>
          </w:tcPr>
          <w:p>
            <w:pPr>
              <w:ind w:left="500"/>
              <w:spacing w:after="0"/>
              <w:rPr>
                <w:sz w:val="20"/>
                <w:szCs w:val="20"/>
                <w:color w:val="auto"/>
              </w:rPr>
            </w:pPr>
            <w:r>
              <w:rPr>
                <w:rFonts w:ascii="Arial" w:cs="Arial" w:eastAsia="Arial" w:hAnsi="Arial"/>
                <w:sz w:val="20"/>
                <w:szCs w:val="20"/>
                <w:color w:val="auto"/>
              </w:rPr>
              <w:t>Six-Months Ended</w:t>
            </w:r>
          </w:p>
        </w:tc>
        <w:tc>
          <w:tcPr>
            <w:tcW w:w="0" w:type="dxa"/>
            <w:vAlign w:val="bottom"/>
          </w:tcPr>
          <w:p>
            <w:pPr>
              <w:spacing w:after="0"/>
              <w:rPr>
                <w:sz w:val="1"/>
                <w:szCs w:val="1"/>
                <w:color w:val="auto"/>
              </w:rPr>
            </w:pPr>
          </w:p>
        </w:tc>
      </w:tr>
      <w:tr>
        <w:trPr>
          <w:trHeight w:val="246"/>
        </w:trPr>
        <w:tc>
          <w:tcPr>
            <w:tcW w:w="4240" w:type="dxa"/>
            <w:vAlign w:val="bottom"/>
            <w:tcBorders>
              <w:bottom w:val="single" w:sz="8" w:color="auto"/>
            </w:tcBorders>
            <w:gridSpan w:val="2"/>
          </w:tcPr>
          <w:p>
            <w:pPr>
              <w:ind w:left="180"/>
              <w:spacing w:after="0"/>
              <w:rPr>
                <w:sz w:val="20"/>
                <w:szCs w:val="20"/>
                <w:color w:val="auto"/>
              </w:rPr>
            </w:pPr>
            <w:r>
              <w:rPr>
                <w:rFonts w:ascii="Arial" w:cs="Arial" w:eastAsia="Arial" w:hAnsi="Arial"/>
                <w:sz w:val="20"/>
                <w:szCs w:val="20"/>
                <w:color w:val="auto"/>
              </w:rPr>
              <w:t>net sales per case)</w:t>
            </w:r>
          </w:p>
        </w:tc>
        <w:tc>
          <w:tcPr>
            <w:tcW w:w="3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ind w:left="940"/>
              <w:spacing w:after="0"/>
              <w:rPr>
                <w:sz w:val="20"/>
                <w:szCs w:val="20"/>
                <w:color w:val="auto"/>
              </w:rPr>
            </w:pPr>
            <w:r>
              <w:rPr>
                <w:rFonts w:ascii="Arial" w:cs="Arial" w:eastAsia="Arial" w:hAnsi="Arial"/>
                <w:sz w:val="20"/>
                <w:szCs w:val="20"/>
                <w:color w:val="auto"/>
              </w:rPr>
              <w:t>June 30,</w:t>
            </w:r>
          </w:p>
        </w:tc>
        <w:tc>
          <w:tcPr>
            <w:tcW w:w="11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ind w:right="61"/>
              <w:spacing w:after="0"/>
              <w:rPr>
                <w:sz w:val="20"/>
                <w:szCs w:val="20"/>
                <w:color w:val="auto"/>
              </w:rPr>
            </w:pPr>
            <w:r>
              <w:rPr>
                <w:rFonts w:ascii="Arial" w:cs="Arial" w:eastAsia="Arial" w:hAnsi="Arial"/>
                <w:sz w:val="20"/>
                <w:szCs w:val="20"/>
                <w:color w:val="auto"/>
              </w:rPr>
              <w:t>June 30,</w:t>
            </w: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40" w:type="dxa"/>
            <w:vAlign w:val="bottom"/>
            <w:gridSpan w:val="3"/>
            <w:vMerge w:val="restart"/>
          </w:tcPr>
          <w:p>
            <w:pPr>
              <w:ind w:left="40"/>
              <w:spacing w:after="0"/>
              <w:rPr>
                <w:sz w:val="20"/>
                <w:szCs w:val="20"/>
                <w:color w:val="auto"/>
              </w:rPr>
            </w:pPr>
            <w:r>
              <w:rPr>
                <w:rFonts w:ascii="Arial" w:cs="Arial" w:eastAsia="Arial" w:hAnsi="Arial"/>
                <w:sz w:val="20"/>
                <w:szCs w:val="20"/>
                <w:color w:val="auto"/>
              </w:rPr>
              <w:t>Net sales¹</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180"/>
              <w:spacing w:after="0" w:line="223" w:lineRule="exact"/>
              <w:rPr>
                <w:sz w:val="20"/>
                <w:szCs w:val="20"/>
                <w:color w:val="auto"/>
              </w:rPr>
            </w:pPr>
            <w:r>
              <w:rPr>
                <w:rFonts w:ascii="Arial" w:cs="Arial" w:eastAsia="Arial" w:hAnsi="Arial"/>
                <w:sz w:val="20"/>
                <w:szCs w:val="20"/>
                <w:color w:val="auto"/>
              </w:rPr>
              <w:t>2016</w:t>
            </w: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61"/>
              <w:spacing w:after="0" w:line="223" w:lineRule="exact"/>
              <w:rPr>
                <w:sz w:val="20"/>
                <w:szCs w:val="20"/>
                <w:color w:val="auto"/>
              </w:rPr>
            </w:pPr>
            <w:r>
              <w:rPr>
                <w:rFonts w:ascii="Arial" w:cs="Arial" w:eastAsia="Arial" w:hAnsi="Arial"/>
                <w:sz w:val="20"/>
                <w:szCs w:val="20"/>
                <w:color w:val="auto"/>
              </w:rPr>
              <w:t>2015</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41"/>
              <w:spacing w:after="0" w:line="223" w:lineRule="exact"/>
              <w:rPr>
                <w:sz w:val="20"/>
                <w:szCs w:val="20"/>
                <w:color w:val="auto"/>
              </w:rPr>
            </w:pPr>
            <w:r>
              <w:rPr>
                <w:rFonts w:ascii="Arial" w:cs="Arial" w:eastAsia="Arial" w:hAnsi="Arial"/>
                <w:sz w:val="20"/>
                <w:szCs w:val="20"/>
                <w:color w:val="auto"/>
              </w:rPr>
              <w:t>2016</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41"/>
              <w:spacing w:after="0" w:line="223" w:lineRule="exact"/>
              <w:rPr>
                <w:sz w:val="20"/>
                <w:szCs w:val="20"/>
                <w:color w:val="auto"/>
              </w:rPr>
            </w:pPr>
            <w:r>
              <w:rPr>
                <w:rFonts w:ascii="Arial" w:cs="Arial" w:eastAsia="Arial" w:hAnsi="Arial"/>
                <w:sz w:val="20"/>
                <w:szCs w:val="20"/>
                <w:color w:val="auto"/>
              </w:rPr>
              <w:t>2015</w:t>
            </w:r>
          </w:p>
        </w:tc>
        <w:tc>
          <w:tcPr>
            <w:tcW w:w="0" w:type="dxa"/>
            <w:vAlign w:val="bottom"/>
          </w:tcPr>
          <w:p>
            <w:pPr>
              <w:spacing w:after="0"/>
              <w:rPr>
                <w:sz w:val="1"/>
                <w:szCs w:val="1"/>
                <w:color w:val="auto"/>
              </w:rPr>
            </w:pPr>
          </w:p>
        </w:tc>
      </w:tr>
      <w:tr>
        <w:trPr>
          <w:trHeight w:val="206"/>
        </w:trPr>
        <w:tc>
          <w:tcPr>
            <w:tcW w:w="4540" w:type="dxa"/>
            <w:vAlign w:val="bottom"/>
            <w:gridSpan w:val="3"/>
            <w:vMerge w:val="continue"/>
          </w:tcPr>
          <w:p>
            <w:pPr>
              <w:spacing w:after="0"/>
              <w:rPr>
                <w:sz w:val="17"/>
                <w:szCs w:val="17"/>
                <w:color w:val="auto"/>
              </w:rPr>
            </w:pPr>
          </w:p>
        </w:tc>
        <w:tc>
          <w:tcPr>
            <w:tcW w:w="36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140" w:type="dxa"/>
            <w:vAlign w:val="bottom"/>
          </w:tcPr>
          <w:p>
            <w:pPr>
              <w:ind w:left="420"/>
              <w:spacing w:after="0" w:line="207" w:lineRule="exact"/>
              <w:rPr>
                <w:sz w:val="20"/>
                <w:szCs w:val="20"/>
                <w:color w:val="auto"/>
              </w:rPr>
            </w:pPr>
            <w:r>
              <w:rPr>
                <w:rFonts w:ascii="Arial" w:cs="Arial" w:eastAsia="Arial" w:hAnsi="Arial"/>
                <w:sz w:val="20"/>
                <w:szCs w:val="20"/>
                <w:color w:val="auto"/>
                <w:w w:val="96"/>
              </w:rPr>
              <w:t>827,488</w:t>
            </w:r>
          </w:p>
        </w:tc>
        <w:tc>
          <w:tcPr>
            <w:tcW w:w="280" w:type="dxa"/>
            <w:vAlign w:val="bottom"/>
          </w:tcPr>
          <w:p>
            <w:pPr>
              <w:spacing w:after="0"/>
              <w:rPr>
                <w:sz w:val="17"/>
                <w:szCs w:val="17"/>
                <w:color w:val="auto"/>
              </w:rPr>
            </w:pPr>
          </w:p>
        </w:tc>
        <w:tc>
          <w:tcPr>
            <w:tcW w:w="38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120" w:type="dxa"/>
            <w:vAlign w:val="bottom"/>
          </w:tcPr>
          <w:p>
            <w:pPr>
              <w:jc w:val="right"/>
              <w:spacing w:after="0" w:line="207" w:lineRule="exact"/>
              <w:rPr>
                <w:sz w:val="20"/>
                <w:szCs w:val="20"/>
                <w:color w:val="auto"/>
              </w:rPr>
            </w:pPr>
            <w:r>
              <w:rPr>
                <w:rFonts w:ascii="Arial" w:cs="Arial" w:eastAsia="Arial" w:hAnsi="Arial"/>
                <w:sz w:val="20"/>
                <w:szCs w:val="20"/>
                <w:color w:val="auto"/>
              </w:rPr>
              <w:t>693,722</w:t>
            </w:r>
          </w:p>
        </w:tc>
        <w:tc>
          <w:tcPr>
            <w:tcW w:w="280" w:type="dxa"/>
            <w:vAlign w:val="bottom"/>
          </w:tcPr>
          <w:p>
            <w:pPr>
              <w:spacing w:after="0"/>
              <w:rPr>
                <w:sz w:val="17"/>
                <w:szCs w:val="17"/>
                <w:color w:val="auto"/>
              </w:rPr>
            </w:pPr>
          </w:p>
        </w:tc>
        <w:tc>
          <w:tcPr>
            <w:tcW w:w="36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100" w:type="dxa"/>
            <w:vAlign w:val="bottom"/>
          </w:tcPr>
          <w:p>
            <w:pPr>
              <w:jc w:val="right"/>
              <w:spacing w:after="0" w:line="207" w:lineRule="exact"/>
              <w:rPr>
                <w:sz w:val="20"/>
                <w:szCs w:val="20"/>
                <w:color w:val="auto"/>
              </w:rPr>
            </w:pPr>
            <w:r>
              <w:rPr>
                <w:rFonts w:ascii="Arial" w:cs="Arial" w:eastAsia="Arial" w:hAnsi="Arial"/>
                <w:sz w:val="20"/>
                <w:szCs w:val="20"/>
                <w:color w:val="auto"/>
              </w:rPr>
              <w:t>1,507,674</w:t>
            </w:r>
          </w:p>
        </w:tc>
        <w:tc>
          <w:tcPr>
            <w:tcW w:w="280" w:type="dxa"/>
            <w:vAlign w:val="bottom"/>
          </w:tcPr>
          <w:p>
            <w:pPr>
              <w:spacing w:after="0"/>
              <w:rPr>
                <w:sz w:val="17"/>
                <w:szCs w:val="17"/>
                <w:color w:val="auto"/>
              </w:rPr>
            </w:pPr>
          </w:p>
        </w:tc>
        <w:tc>
          <w:tcPr>
            <w:tcW w:w="36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120" w:type="dxa"/>
            <w:vAlign w:val="bottom"/>
          </w:tcPr>
          <w:p>
            <w:pPr>
              <w:jc w:val="right"/>
              <w:spacing w:after="0" w:line="207" w:lineRule="exact"/>
              <w:rPr>
                <w:sz w:val="20"/>
                <w:szCs w:val="20"/>
                <w:color w:val="auto"/>
              </w:rPr>
            </w:pPr>
            <w:r>
              <w:rPr>
                <w:rFonts w:ascii="Arial" w:cs="Arial" w:eastAsia="Arial" w:hAnsi="Arial"/>
                <w:sz w:val="20"/>
                <w:szCs w:val="20"/>
                <w:color w:val="auto"/>
              </w:rPr>
              <w:t>1,320,512</w:t>
            </w:r>
          </w:p>
        </w:tc>
        <w:tc>
          <w:tcPr>
            <w:tcW w:w="0" w:type="dxa"/>
            <w:vAlign w:val="bottom"/>
          </w:tcPr>
          <w:p>
            <w:pPr>
              <w:spacing w:after="0"/>
              <w:rPr>
                <w:sz w:val="1"/>
                <w:szCs w:val="1"/>
                <w:color w:val="auto"/>
              </w:rPr>
            </w:pPr>
          </w:p>
        </w:tc>
      </w:tr>
      <w:tr>
        <w:trPr>
          <w:trHeight w:val="240"/>
        </w:trPr>
        <w:tc>
          <w:tcPr>
            <w:tcW w:w="4540" w:type="dxa"/>
            <w:vAlign w:val="bottom"/>
            <w:gridSpan w:val="3"/>
          </w:tcPr>
          <w:p>
            <w:pPr>
              <w:ind w:left="40"/>
              <w:spacing w:after="0"/>
              <w:rPr>
                <w:sz w:val="20"/>
                <w:szCs w:val="20"/>
                <w:color w:val="auto"/>
              </w:rPr>
            </w:pPr>
            <w:r>
              <w:rPr>
                <w:rFonts w:ascii="Arial" w:cs="Arial" w:eastAsia="Arial" w:hAnsi="Arial"/>
                <w:sz w:val="20"/>
                <w:szCs w:val="20"/>
                <w:color w:val="auto"/>
              </w:rPr>
              <w:t>Less: AFF third-party sales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520"/>
              <w:spacing w:after="0"/>
              <w:rPr>
                <w:sz w:val="20"/>
                <w:szCs w:val="20"/>
                <w:color w:val="auto"/>
              </w:rPr>
            </w:pPr>
            <w:r>
              <w:rPr>
                <w:rFonts w:ascii="Arial" w:cs="Arial" w:eastAsia="Arial" w:hAnsi="Arial"/>
                <w:sz w:val="20"/>
                <w:szCs w:val="20"/>
                <w:color w:val="auto"/>
                <w:w w:val="94"/>
              </w:rPr>
              <w:t>(6,635)</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500"/>
              <w:spacing w:after="0"/>
              <w:rPr>
                <w:sz w:val="20"/>
                <w:szCs w:val="20"/>
                <w:color w:val="auto"/>
              </w:rPr>
            </w:pPr>
            <w:r>
              <w:rPr>
                <w:rFonts w:ascii="Arial" w:cs="Arial" w:eastAsia="Arial" w:hAnsi="Arial"/>
                <w:sz w:val="20"/>
                <w:szCs w:val="20"/>
                <w:color w:val="auto"/>
                <w:w w:val="91"/>
              </w:rPr>
              <w:t>(6,635)</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4540" w:type="dxa"/>
            <w:vAlign w:val="bottom"/>
            <w:gridSpan w:val="3"/>
          </w:tcPr>
          <w:p>
            <w:pPr>
              <w:ind w:left="40"/>
              <w:spacing w:after="0" w:line="220" w:lineRule="exact"/>
              <w:rPr>
                <w:sz w:val="20"/>
                <w:szCs w:val="20"/>
                <w:color w:val="auto"/>
              </w:rPr>
            </w:pPr>
            <w:r>
              <w:rPr>
                <w:rFonts w:ascii="Arial" w:cs="Arial" w:eastAsia="Arial" w:hAnsi="Arial"/>
                <w:sz w:val="20"/>
                <w:szCs w:val="20"/>
                <w:color w:val="auto"/>
              </w:rPr>
              <w:t>Adjusted net sales²</w:t>
            </w:r>
          </w:p>
        </w:tc>
        <w:tc>
          <w:tcPr>
            <w:tcW w:w="3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20"/>
                <w:szCs w:val="20"/>
                <w:color w:val="auto"/>
                <w:w w:val="96"/>
              </w:rPr>
              <w:t>820,853</w:t>
            </w:r>
          </w:p>
        </w:tc>
        <w:tc>
          <w:tcPr>
            <w:tcW w:w="280" w:type="dxa"/>
            <w:vAlign w:val="bottom"/>
          </w:tcPr>
          <w:p>
            <w:pPr>
              <w:spacing w:after="0"/>
              <w:rPr>
                <w:sz w:val="19"/>
                <w:szCs w:val="19"/>
                <w:color w:val="auto"/>
              </w:rPr>
            </w:pPr>
          </w:p>
        </w:tc>
        <w:tc>
          <w:tcPr>
            <w:tcW w:w="3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693,722</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1,501,039</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1,320,512</w:t>
            </w:r>
          </w:p>
        </w:tc>
        <w:tc>
          <w:tcPr>
            <w:tcW w:w="0" w:type="dxa"/>
            <w:vAlign w:val="bottom"/>
          </w:tcPr>
          <w:p>
            <w:pPr>
              <w:spacing w:after="0"/>
              <w:rPr>
                <w:sz w:val="1"/>
                <w:szCs w:val="1"/>
                <w:color w:val="auto"/>
              </w:rPr>
            </w:pPr>
          </w:p>
        </w:tc>
      </w:tr>
      <w:tr>
        <w:trPr>
          <w:trHeight w:val="20"/>
        </w:trPr>
        <w:tc>
          <w:tcPr>
            <w:tcW w:w="4540" w:type="dxa"/>
            <w:vAlign w:val="bottom"/>
            <w:gridSpan w:val="3"/>
            <w:vMerge w:val="restart"/>
          </w:tcPr>
          <w:p>
            <w:pPr>
              <w:ind w:left="40"/>
              <w:spacing w:after="0"/>
              <w:rPr>
                <w:sz w:val="20"/>
                <w:szCs w:val="20"/>
                <w:color w:val="auto"/>
              </w:rPr>
            </w:pPr>
            <w:r>
              <w:rPr>
                <w:rFonts w:ascii="Arial" w:cs="Arial" w:eastAsia="Arial" w:hAnsi="Arial"/>
                <w:sz w:val="20"/>
                <w:szCs w:val="20"/>
                <w:color w:val="auto"/>
              </w:rPr>
              <w:t>Case sales by segment:</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540" w:type="dxa"/>
            <w:vAlign w:val="bottom"/>
            <w:gridSpan w:val="3"/>
            <w:vMerge w:val="continue"/>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64" w:orient="portrait"/>
          <w:cols w:equalWidth="0" w:num="1">
            <w:col w:w="11420"/>
          </w:cols>
          <w:pgMar w:left="240" w:top="121" w:right="239" w:bottom="0" w:gutter="0" w:footer="0" w:header="0"/>
        </w:sectPr>
      </w:pPr>
    </w:p>
    <w:bookmarkStart w:id="32" w:name="page33"/>
    <w:bookmarkEnd w:id="3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1"/>
        </w:trPr>
        <w:tc>
          <w:tcPr>
            <w:tcW w:w="4500" w:type="dxa"/>
            <w:vAlign w:val="bottom"/>
          </w:tcPr>
          <w:p>
            <w:pPr>
              <w:ind w:left="180"/>
              <w:spacing w:after="0"/>
              <w:rPr>
                <w:sz w:val="20"/>
                <w:szCs w:val="20"/>
                <w:color w:val="auto"/>
              </w:rPr>
            </w:pPr>
            <w:r>
              <w:rPr>
                <w:rFonts w:ascii="Arial" w:cs="Arial" w:eastAsia="Arial" w:hAnsi="Arial"/>
                <w:sz w:val="20"/>
                <w:szCs w:val="20"/>
                <w:color w:val="auto"/>
              </w:rPr>
              <w:t>Finished Products</w:t>
            </w: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68,448</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60,132</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126,017</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111,979</w:t>
            </w:r>
          </w:p>
        </w:tc>
      </w:tr>
      <w:tr>
        <w:trPr>
          <w:trHeight w:val="230"/>
        </w:trPr>
        <w:tc>
          <w:tcPr>
            <w:tcW w:w="4500" w:type="dxa"/>
            <w:vAlign w:val="bottom"/>
          </w:tcPr>
          <w:p>
            <w:pPr>
              <w:ind w:left="180"/>
              <w:spacing w:after="0"/>
              <w:rPr>
                <w:sz w:val="20"/>
                <w:szCs w:val="20"/>
                <w:color w:val="auto"/>
              </w:rPr>
            </w:pPr>
            <w:r>
              <w:rPr>
                <w:rFonts w:ascii="Arial" w:cs="Arial" w:eastAsia="Arial" w:hAnsi="Arial"/>
                <w:sz w:val="20"/>
                <w:szCs w:val="20"/>
                <w:color w:val="auto"/>
              </w:rPr>
              <w:t>Concentrate</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19,126</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2,636</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34,210</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2,637</w:t>
            </w:r>
          </w:p>
        </w:tc>
      </w:tr>
      <w:tr>
        <w:trPr>
          <w:trHeight w:val="240"/>
        </w:trPr>
        <w:tc>
          <w:tcPr>
            <w:tcW w:w="4500" w:type="dxa"/>
            <w:vAlign w:val="bottom"/>
          </w:tcPr>
          <w:p>
            <w:pPr>
              <w:ind w:left="180"/>
              <w:spacing w:after="0"/>
              <w:rPr>
                <w:sz w:val="20"/>
                <w:szCs w:val="20"/>
                <w:color w:val="auto"/>
              </w:rPr>
            </w:pPr>
            <w:r>
              <w:rPr>
                <w:rFonts w:ascii="Arial" w:cs="Arial" w:eastAsia="Arial" w:hAnsi="Arial"/>
                <w:sz w:val="20"/>
                <w:szCs w:val="20"/>
                <w:color w:val="auto"/>
              </w:rPr>
              <w:t>Other</w:t>
            </w:r>
            <w:r>
              <w:rPr>
                <w:rFonts w:ascii="Arial" w:cs="Arial" w:eastAsia="Arial" w:hAnsi="Arial"/>
                <w:sz w:val="12"/>
                <w:szCs w:val="12"/>
                <w:color w:val="auto"/>
              </w:rPr>
              <w:t>2</w:t>
            </w: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5,269</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11,200</w:t>
            </w:r>
          </w:p>
        </w:tc>
      </w:tr>
      <w:tr>
        <w:trPr>
          <w:trHeight w:val="223"/>
        </w:trPr>
        <w:tc>
          <w:tcPr>
            <w:tcW w:w="4500" w:type="dxa"/>
            <w:vAlign w:val="bottom"/>
          </w:tcPr>
          <w:p>
            <w:pPr>
              <w:spacing w:after="0" w:line="213" w:lineRule="exact"/>
              <w:rPr>
                <w:sz w:val="20"/>
                <w:szCs w:val="20"/>
                <w:color w:val="auto"/>
              </w:rPr>
            </w:pPr>
            <w:r>
              <w:rPr>
                <w:rFonts w:ascii="Arial" w:cs="Arial" w:eastAsia="Arial" w:hAnsi="Arial"/>
                <w:sz w:val="20"/>
                <w:szCs w:val="20"/>
                <w:color w:val="auto"/>
              </w:rPr>
              <w:t>Total case sales</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87,574</w:t>
            </w:r>
          </w:p>
        </w:tc>
        <w:tc>
          <w:tcPr>
            <w:tcW w:w="2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68,037</w:t>
            </w:r>
          </w:p>
        </w:tc>
        <w:tc>
          <w:tcPr>
            <w:tcW w:w="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160,227</w:t>
            </w:r>
          </w:p>
        </w:tc>
        <w:tc>
          <w:tcPr>
            <w:tcW w:w="2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125,816</w:t>
            </w:r>
          </w:p>
        </w:tc>
      </w:tr>
      <w:tr>
        <w:trPr>
          <w:trHeight w:val="230"/>
        </w:trPr>
        <w:tc>
          <w:tcPr>
            <w:tcW w:w="4500" w:type="dxa"/>
            <w:vAlign w:val="bottom"/>
          </w:tcPr>
          <w:p>
            <w:pPr>
              <w:spacing w:after="0" w:line="220" w:lineRule="exact"/>
              <w:rPr>
                <w:sz w:val="20"/>
                <w:szCs w:val="20"/>
                <w:color w:val="auto"/>
              </w:rPr>
            </w:pPr>
            <w:r>
              <w:rPr>
                <w:rFonts w:ascii="Arial" w:cs="Arial" w:eastAsia="Arial" w:hAnsi="Arial"/>
                <w:sz w:val="20"/>
                <w:szCs w:val="20"/>
                <w:color w:val="auto"/>
              </w:rPr>
              <w:t>Average net sales per case</w:t>
            </w:r>
          </w:p>
        </w:tc>
        <w:tc>
          <w:tcPr>
            <w:tcW w:w="54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9.37</w:t>
            </w:r>
          </w:p>
        </w:tc>
        <w:tc>
          <w:tcPr>
            <w:tcW w:w="280" w:type="dxa"/>
            <w:vAlign w:val="bottom"/>
          </w:tcPr>
          <w:p>
            <w:pPr>
              <w:spacing w:after="0"/>
              <w:rPr>
                <w:sz w:val="19"/>
                <w:szCs w:val="19"/>
                <w:color w:val="auto"/>
              </w:rPr>
            </w:pPr>
          </w:p>
        </w:tc>
        <w:tc>
          <w:tcPr>
            <w:tcW w:w="54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10.20</w:t>
            </w:r>
          </w:p>
        </w:tc>
        <w:tc>
          <w:tcPr>
            <w:tcW w:w="280" w:type="dxa"/>
            <w:vAlign w:val="bottom"/>
          </w:tcPr>
          <w:p>
            <w:pPr>
              <w:spacing w:after="0"/>
              <w:rPr>
                <w:sz w:val="19"/>
                <w:szCs w:val="19"/>
                <w:color w:val="auto"/>
              </w:rPr>
            </w:pPr>
          </w:p>
        </w:tc>
        <w:tc>
          <w:tcPr>
            <w:tcW w:w="46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9.37</w:t>
            </w:r>
          </w:p>
        </w:tc>
        <w:tc>
          <w:tcPr>
            <w:tcW w:w="280" w:type="dxa"/>
            <w:vAlign w:val="bottom"/>
          </w:tcPr>
          <w:p>
            <w:pPr>
              <w:spacing w:after="0"/>
              <w:rPr>
                <w:sz w:val="19"/>
                <w:szCs w:val="19"/>
                <w:color w:val="auto"/>
              </w:rPr>
            </w:pPr>
          </w:p>
        </w:tc>
        <w:tc>
          <w:tcPr>
            <w:tcW w:w="48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10.50</w:t>
            </w:r>
          </w:p>
        </w:tc>
      </w:tr>
      <w:tr>
        <w:trPr>
          <w:trHeight w:val="20"/>
        </w:trPr>
        <w:tc>
          <w:tcPr>
            <w:tcW w:w="45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i w:val="1"/>
          <w:iCs w:val="1"/>
          <w:color w:val="auto"/>
          <w:vertAlign w:val="superscript"/>
        </w:rPr>
        <w:t>1</w:t>
      </w:r>
      <w:r>
        <w:rPr>
          <w:rFonts w:ascii="Arial" w:cs="Arial" w:eastAsia="Arial" w:hAnsi="Arial"/>
          <w:sz w:val="16"/>
          <w:szCs w:val="16"/>
          <w:i w:val="1"/>
          <w:iCs w:val="1"/>
          <w:color w:val="auto"/>
        </w:rPr>
        <w:t>Includes $5.0 million for the three-months ended June 30, 2016 related to the accelerated amortization of the deferred revenue balances associated with certain of the Company’s prior distributors who were sent notices of termination. There was no acceleration of deferred revenue for the three-months ended June 30, 2015. Includes $5.0 million and $39.8 million for the six-months ended June 30, 2016 and 2015, respectively, related to the accelerated amortization of the deferred revenue balances associated with certain of the Company’s prior distributors who were sent notices of termination.</w:t>
      </w:r>
    </w:p>
    <w:p>
      <w:pPr>
        <w:spacing w:after="0" w:line="193"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1"/>
          <w:szCs w:val="21"/>
          <w:i w:val="1"/>
          <w:iCs w:val="1"/>
          <w:color w:val="auto"/>
          <w:vertAlign w:val="superscript"/>
        </w:rPr>
        <w:t>2</w:t>
      </w:r>
      <w:r>
        <w:rPr>
          <w:rFonts w:ascii="Arial" w:cs="Arial" w:eastAsia="Arial" w:hAnsi="Arial"/>
          <w:sz w:val="16"/>
          <w:szCs w:val="16"/>
          <w:i w:val="1"/>
          <w:iCs w:val="1"/>
          <w:color w:val="auto"/>
        </w:rPr>
        <w:t>Excludes Other segment net sales of $6.6 million for the three- and six-months ended June 30, 2016 comprised of sales of certain products acquired as part of the AFF Transaction to independent third parties as these sales do not have unit case equivalents.</w:t>
      </w:r>
    </w:p>
    <w:p>
      <w:pPr>
        <w:spacing w:after="0" w:line="22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See Item 2, “Management’s Discussion and Analysis of Financial Condition and Results of Operations - Our Business” for additional information related to the increase in sales.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w:t>
      </w:r>
    </w:p>
    <w:p>
      <w:pPr>
        <w:spacing w:after="0" w:line="2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There have been no material changes to our critical accounting policies from the information provided in Item 7, “Management’s Discussion and Analysis of Financial Condition and Results of Operations”, included in our Annual Report on Form 10-K for the fiscal year ended December 31, 2015 (“Form 10-K”).</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Pronouncements</w:t>
      </w:r>
    </w:p>
    <w:p>
      <w:pPr>
        <w:spacing w:after="0" w:line="23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In June 2016, the FASB issued ASU No. 2016-13, “Financial Instruments - Credit Losses (Topic 326): Measurement of Credit Losses on Financial Instruments”. The accounting standard changes the methodology for measuring credit losses on financial instruments and the timing when such losses are recorded. ASU No. 2016-13 is effective for fiscal years, and interim periods within those years, beginning after December 15, 2019. Early adoption is permitted for fiscal years, and interim periods within those years, beginning after December 15, 2018. The Company is currently evaluating the impact of ASU No. 2016-13 on its financial position, results of operations and liquidity.</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In March 2016, the FASB issued ASU No. 2016-09, “Compensation - Stock Compensation: Improvements to Employee Share-Based Payment Accounting”, which changes how companies account for certain aspects of share-based payments to employees. The new guidance identifies areas for simplification involving several aspects of accounting for share-based payment transactions, including income tax consequences, classification of awards as either equity or liabilities, an option to recognize gross stock compensation expense with actual forfeitures recognized as they occur, and certain classifications on the statement of cash flows. The update is effective for annual reporting periods beginning after December 15, 2016, including interim periods within those annual reporting periods with early application permitted. The Company early adopted the standards update effective January 1, 2016, electing (i) retrospective adjustment in the statement of cash flows and (ii) continued recognition of stock compensation based on estimated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forfeitures. For the six-months ended June 30, 2015, net cash provided by operating activities and net cash used in financing activities increased by $300.3 million, respectively, as a result of such retrospective adjustment. For the three-and six-months ended June 30, 2016, the Company recorded $2.0 million and $3.6 million of excess tax benefits in net income that previously would have been recorded in additional paid-in-capital. The adoption of ASU No. 2016-09 did not have a material impact on the Company’s financial position, results of operations or liquidity.</w:t>
      </w:r>
    </w:p>
    <w:p>
      <w:pPr>
        <w:spacing w:after="0" w:line="20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February 2016, the FASB issued ASU No. 2016-02, “Leases (Topic 842)”. This update is intended to increase transparency and comparability among organizations by recognizing lease assets and lease liabilities on the balance sheet and disclosing key information about leasing arrangements. This update is effective for annual and interim reporting periods beginning after December 15, 2018, including interim periods within those fiscal years. Early adoption is permitted. The Company is currently evaluating the impact of ASU No. 2016-02 on its financial position, results of operations and liquidity.</w:t>
      </w:r>
    </w:p>
    <w:p>
      <w:pPr>
        <w:spacing w:after="0" w:line="208"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In November 2015, the FASB issued ASU No. 2015-17, “Income Taxes (Topic 740), Balance Sheet Classification of Deferred Taxes”. The amendments under the new guidance require that deferred tax liabilities and assets be classified as noncurrent in the classified balance sheets. The guidance is effective for financial statements issued for annual periods beginning after December 15, 2016, and interim periods within those annual periods. Earlier application is permitted for all entities as of the beginning of an interim or annual reporting period. The Company adopted the standards update effective December 31, 2015, electing to apply it retrospectively to all periods presented.</w:t>
      </w:r>
    </w:p>
    <w:p>
      <w:pPr>
        <w:spacing w:after="0" w:line="17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In July 2015, the FASB issued ASU No. 2015-11, “Inventory (Topic 330): Simplifying the Measurement of Inventory”. ASU No. 2015-11 requires entities to measure inventory at the lower of cost or net realizable value. Net realizable value is defined as the estimated selling prices in the ordinary course of business, less reasonably predictable costs of completion, disposal and transportation. ASU No. 2015-11 is effective for annual periods, and interim periods within those years, beginning after December 15, 2016. Early adoption is permitted. The adoption of ASU No. 2015-11 is not expected to have a material impact on the Company’s financial position, results of operations or liquidity.</w:t>
      </w:r>
    </w:p>
    <w:p>
      <w:pPr>
        <w:spacing w:after="0" w:line="1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In May 2014, the FASB issued ASU No. 2014-09, “Revenue from Contracts with Customers”, which supersedes previous revenue recognition guidance. ASU No. 2014-09 requires that a company recognize revenue at an amount that reflects the consideration to which the company expects to be entitled in exchange for transferring goods or services to a customer. In applying the new guidance, a company will</w:t>
      </w:r>
    </w:p>
    <w:p>
      <w:pPr>
        <w:sectPr>
          <w:pgSz w:w="11900" w:h="16838" w:orient="portrait"/>
          <w:cols w:equalWidth="0" w:num="1">
            <w:col w:w="11420"/>
          </w:cols>
          <w:pgMar w:left="240" w:top="121" w:right="239" w:bottom="0" w:gutter="0" w:footer="0" w:header="0"/>
        </w:sectPr>
      </w:pPr>
    </w:p>
    <w:bookmarkStart w:id="33" w:name="page34"/>
    <w:bookmarkEnd w:id="33"/>
    <w:p>
      <w:pPr>
        <w:spacing w:after="0" w:line="13"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9"/>
          <w:szCs w:val="19"/>
          <w:color w:val="auto"/>
        </w:rPr>
      </w:pPr>
      <w:r>
        <w:rPr>
          <w:rFonts w:ascii="Arial" w:cs="Arial" w:eastAsia="Arial" w:hAnsi="Arial"/>
          <w:sz w:val="19"/>
          <w:szCs w:val="19"/>
          <w:color w:val="auto"/>
        </w:rPr>
        <w:t>identify the contract(s) with a customer; (2) identify the performance obligations in the contract; (3) determine the transaction price;</w:t>
      </w:r>
    </w:p>
    <w:p>
      <w:pPr>
        <w:spacing w:after="0" w:line="28" w:lineRule="exact"/>
        <w:rPr>
          <w:rFonts w:ascii="Arial" w:cs="Arial" w:eastAsia="Arial" w:hAnsi="Arial"/>
          <w:sz w:val="19"/>
          <w:szCs w:val="19"/>
          <w:color w:val="auto"/>
        </w:rPr>
      </w:pPr>
    </w:p>
    <w:p>
      <w:pPr>
        <w:jc w:val="both"/>
        <w:ind w:firstLine="8"/>
        <w:spacing w:after="0"/>
        <w:tabs>
          <w:tab w:leader="none" w:pos="317" w:val="left"/>
        </w:tabs>
        <w:numPr>
          <w:ilvl w:val="0"/>
          <w:numId w:val="31"/>
        </w:numPr>
        <w:rPr>
          <w:rFonts w:ascii="Arial" w:cs="Arial" w:eastAsia="Arial" w:hAnsi="Arial"/>
          <w:sz w:val="20"/>
          <w:szCs w:val="20"/>
          <w:color w:val="auto"/>
        </w:rPr>
      </w:pPr>
      <w:r>
        <w:rPr>
          <w:rFonts w:ascii="Arial" w:cs="Arial" w:eastAsia="Arial" w:hAnsi="Arial"/>
          <w:sz w:val="20"/>
          <w:szCs w:val="20"/>
          <w:color w:val="auto"/>
        </w:rPr>
        <w:t>allocate the transaction price to the contract’s performance obligations; and (5) recognize revenue when (or as) the entity satisfies a performance obligation. ASU No. 2014-09 was to be effective for reporting periods beginning after December 15, 2016. However, on July 9, 2015, the FASB voted to approve a one-year deferral of the effective date. This new guidance is effective for the Company beginning January 1, 2018 and can be adopted using either a full retrospective or modified approach. The Company is currently evaluating the impact of ASU No. 2014-09 on its financial position, results of operations and liquidity.</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believe inflation did not have a significant impact on our results of operations for the periods presented.</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3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Certain statements made in this report may constitute forward-looking statements (within the meaning of Section 27A of the Securities Act of 1933, as amended, and Section 21E of the Securities Exchange Act of 1934, as amended) (the “Exchange Act”) regarding the expectations of management with respect to revenues, profitability, adequacy of funds from operations and our existing credit facility, among other things. All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Act. Without limiting the foregoing, the words “believes,” “thinks,” “anticipates,” “plans,” “expects,” and similar expressions are intended to identify forward-looking statements.</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Management cautions that these statements are qualified by their terms and/or important factors, many of which are outside our control, and involve a number of risks, uncertainties and other factors, that could cause actual results and events to differ materially from the statements made including, but not limited to, the following:</w:t>
      </w:r>
    </w:p>
    <w:p>
      <w:pPr>
        <w:spacing w:after="0" w:line="200" w:lineRule="exact"/>
        <w:rPr>
          <w:sz w:val="20"/>
          <w:szCs w:val="20"/>
          <w:color w:val="auto"/>
        </w:rPr>
      </w:pPr>
    </w:p>
    <w:p>
      <w:pPr>
        <w:ind w:left="280" w:hanging="272"/>
        <w:spacing w:after="0"/>
        <w:tabs>
          <w:tab w:leader="none" w:pos="2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Our ability to recognize any and/or all of the benefits from the TCCC Transaction and the AFF transaction;</w:t>
      </w:r>
    </w:p>
    <w:p>
      <w:pPr>
        <w:spacing w:after="0" w:line="15" w:lineRule="exact"/>
        <w:rPr>
          <w:rFonts w:ascii="Arial" w:cs="Arial" w:eastAsia="Arial" w:hAnsi="Arial"/>
          <w:sz w:val="20"/>
          <w:szCs w:val="20"/>
          <w:color w:val="auto"/>
        </w:rPr>
      </w:pPr>
    </w:p>
    <w:p>
      <w:pPr>
        <w:ind w:left="280" w:hanging="272"/>
        <w:spacing w:after="0"/>
        <w:tabs>
          <w:tab w:leader="none" w:pos="2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effect of our extensive commercial arrangements with TCCC on our future performance;</w:t>
      </w:r>
    </w:p>
    <w:p>
      <w:pPr>
        <w:ind w:left="340" w:hanging="332"/>
        <w:spacing w:after="0" w:line="239" w:lineRule="auto"/>
        <w:tabs>
          <w:tab w:leader="none" w:pos="349"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effect of TCCC becoming one of our significant shareholders and the potential divergence of TCCC’s interests from those of our other shareholders;</w:t>
      </w:r>
    </w:p>
    <w:p>
      <w:pPr>
        <w:spacing w:after="0" w:line="1" w:lineRule="exact"/>
        <w:rPr>
          <w:rFonts w:ascii="Arial" w:cs="Arial" w:eastAsia="Arial" w:hAnsi="Arial"/>
          <w:sz w:val="20"/>
          <w:szCs w:val="20"/>
          <w:color w:val="auto"/>
        </w:rPr>
      </w:pPr>
    </w:p>
    <w:p>
      <w:pPr>
        <w:ind w:left="340" w:hanging="332"/>
        <w:spacing w:after="0" w:line="239" w:lineRule="auto"/>
        <w:tabs>
          <w:tab w:leader="none" w:pos="7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Our ability to successfully transfer the distribution of our Monster Energy® brand energy drinks in certain existing domestic and international territories to bottlers/distributors within the TCCC distribution system on terms beneficial to us;</w:t>
      </w:r>
    </w:p>
    <w:p>
      <w:pPr>
        <w:spacing w:after="0" w:line="1" w:lineRule="exact"/>
        <w:rPr>
          <w:rFonts w:ascii="Arial" w:cs="Arial" w:eastAsia="Arial" w:hAnsi="Arial"/>
          <w:sz w:val="20"/>
          <w:szCs w:val="20"/>
          <w:color w:val="auto"/>
        </w:rPr>
      </w:pPr>
    </w:p>
    <w:p>
      <w:pPr>
        <w:ind w:left="340" w:hanging="332"/>
        <w:spacing w:after="0" w:line="239" w:lineRule="auto"/>
        <w:tabs>
          <w:tab w:leader="none" w:pos="443" w:val="left"/>
        </w:tabs>
        <w:numPr>
          <w:ilvl w:val="0"/>
          <w:numId w:val="32"/>
        </w:numPr>
        <w:rPr>
          <w:rFonts w:ascii="Arial" w:cs="Arial" w:eastAsia="Arial" w:hAnsi="Arial"/>
          <w:sz w:val="20"/>
          <w:szCs w:val="20"/>
          <w:color w:val="auto"/>
        </w:rPr>
      </w:pPr>
      <w:r>
        <w:rPr>
          <w:rFonts w:ascii="Arial" w:cs="Arial" w:eastAsia="Arial" w:hAnsi="Arial"/>
          <w:sz w:val="20"/>
          <w:szCs w:val="20"/>
          <w:color w:val="auto"/>
        </w:rPr>
        <w:t>Our ability to successfully enter into new distribution agreements with bottlers/distributors within the TCCC distribution system for new international territories;</w:t>
      </w:r>
    </w:p>
    <w:p>
      <w:pPr>
        <w:spacing w:after="0" w:line="1" w:lineRule="exact"/>
        <w:rPr>
          <w:rFonts w:ascii="Arial" w:cs="Arial" w:eastAsia="Arial" w:hAnsi="Arial"/>
          <w:sz w:val="20"/>
          <w:szCs w:val="20"/>
          <w:color w:val="auto"/>
        </w:rPr>
      </w:pPr>
    </w:p>
    <w:p>
      <w:pPr>
        <w:ind w:left="340" w:hanging="332"/>
        <w:spacing w:after="0" w:line="239" w:lineRule="auto"/>
        <w:tabs>
          <w:tab w:leader="none" w:pos="349" w:val="left"/>
        </w:tabs>
        <w:numPr>
          <w:ilvl w:val="0"/>
          <w:numId w:val="32"/>
        </w:numPr>
        <w:rPr>
          <w:rFonts w:ascii="Arial" w:cs="Arial" w:eastAsia="Arial" w:hAnsi="Arial"/>
          <w:sz w:val="20"/>
          <w:szCs w:val="20"/>
          <w:color w:val="auto"/>
        </w:rPr>
      </w:pPr>
      <w:r>
        <w:rPr>
          <w:rFonts w:ascii="Arial" w:cs="Arial" w:eastAsia="Arial" w:hAnsi="Arial"/>
          <w:sz w:val="20"/>
          <w:szCs w:val="20"/>
          <w:color w:val="auto"/>
        </w:rPr>
        <w:t>Disruption in distribution or sales and/or decline in sales due to the termination and/or appointment of existing and/or new domestic and/or international distributors;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Lack of anticipated demand for our products in domestic and/or international markets;</w:t>
      </w:r>
    </w:p>
    <w:p>
      <w:pPr>
        <w:ind w:left="340" w:right="680" w:hanging="332"/>
        <w:spacing w:after="0" w:line="239" w:lineRule="auto"/>
        <w:tabs>
          <w:tab w:leader="none" w:pos="295" w:val="left"/>
        </w:tabs>
        <w:numPr>
          <w:ilvl w:val="0"/>
          <w:numId w:val="32"/>
        </w:numPr>
        <w:rPr>
          <w:rFonts w:ascii="Arial" w:cs="Arial" w:eastAsia="Arial" w:hAnsi="Arial"/>
          <w:sz w:val="20"/>
          <w:szCs w:val="20"/>
          <w:color w:val="auto"/>
        </w:rPr>
      </w:pPr>
      <w:r>
        <w:rPr>
          <w:rFonts w:ascii="Arial" w:cs="Arial" w:eastAsia="Arial" w:hAnsi="Arial"/>
          <w:sz w:val="20"/>
          <w:szCs w:val="20"/>
          <w:color w:val="auto"/>
        </w:rPr>
        <w:t>Unfavorable regulations, including taxation requirements, product registration requirements, tariffs, trade restrictions, container size limitations and/or ingredient restrictions;</w:t>
      </w:r>
    </w:p>
    <w:p>
      <w:pPr>
        <w:spacing w:after="0" w:line="1" w:lineRule="exact"/>
        <w:rPr>
          <w:rFonts w:ascii="Arial" w:cs="Arial" w:eastAsia="Arial" w:hAnsi="Arial"/>
          <w:sz w:val="20"/>
          <w:szCs w:val="20"/>
          <w:color w:val="auto"/>
        </w:rPr>
      </w:pPr>
    </w:p>
    <w:p>
      <w:pPr>
        <w:jc w:val="both"/>
        <w:ind w:left="340" w:hanging="332"/>
        <w:spacing w:after="0" w:line="239" w:lineRule="auto"/>
        <w:tabs>
          <w:tab w:leader="none" w:pos="335"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effect of inquiries from and/or actions by state attorneys general, the Federal Trade Commission (the “FTC”), the FDA, municipalities, city attorneys, other government agencies, quasi-government agencies and/or government officials, including members of Congress, into the advertising, marketing, promotion, ingredients, sale and/or consumption of our energy drink products, including voluntary and/or required changes to our business practices;</w:t>
      </w:r>
    </w:p>
    <w:p>
      <w:pPr>
        <w:spacing w:after="0" w:line="2" w:lineRule="exact"/>
        <w:rPr>
          <w:rFonts w:ascii="Arial" w:cs="Arial" w:eastAsia="Arial" w:hAnsi="Arial"/>
          <w:sz w:val="20"/>
          <w:szCs w:val="20"/>
          <w:color w:val="auto"/>
        </w:rPr>
      </w:pPr>
    </w:p>
    <w:p>
      <w:pPr>
        <w:ind w:left="280" w:hanging="272"/>
        <w:spacing w:after="0"/>
        <w:tabs>
          <w:tab w:leader="none" w:pos="2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Our ability to achieve profitability from our operations outside the United States;</w:t>
      </w:r>
    </w:p>
    <w:p>
      <w:pPr>
        <w:ind w:left="340" w:right="20" w:hanging="332"/>
        <w:spacing w:after="0" w:line="252" w:lineRule="auto"/>
        <w:tabs>
          <w:tab w:leader="none" w:pos="538" w:val="left"/>
        </w:tabs>
        <w:numPr>
          <w:ilvl w:val="0"/>
          <w:numId w:val="32"/>
        </w:numPr>
        <w:rPr>
          <w:rFonts w:ascii="Arial" w:cs="Arial" w:eastAsia="Arial" w:hAnsi="Arial"/>
          <w:sz w:val="19"/>
          <w:szCs w:val="19"/>
          <w:color w:val="auto"/>
        </w:rPr>
      </w:pPr>
      <w:r>
        <w:rPr>
          <w:rFonts w:ascii="Arial" w:cs="Arial" w:eastAsia="Arial" w:hAnsi="Arial"/>
          <w:sz w:val="19"/>
          <w:szCs w:val="19"/>
          <w:color w:val="auto"/>
        </w:rPr>
        <w:t>Our ability to manage legal and regulatory requirements in foreign jurisdictions, potential difficulties in staffing and managing foreign operations, potentially higher incidence of fraud or corruption and credit risk of foreign customers and distributors;</w:t>
      </w:r>
    </w:p>
    <w:p>
      <w:pPr>
        <w:ind w:left="280" w:hanging="272"/>
        <w:spacing w:after="0"/>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produce our products in international markets in which they are sold, thereby reducing freight costs and/or product damages;</w:t>
      </w:r>
    </w:p>
    <w:p>
      <w:pPr>
        <w:spacing w:after="0" w:line="22" w:lineRule="exact"/>
        <w:rPr>
          <w:rFonts w:ascii="Arial" w:cs="Arial" w:eastAsia="Arial" w:hAnsi="Arial"/>
          <w:sz w:val="18"/>
          <w:szCs w:val="18"/>
          <w:color w:val="auto"/>
        </w:rPr>
      </w:pPr>
    </w:p>
    <w:p>
      <w:pPr>
        <w:ind w:left="280" w:hanging="272"/>
        <w:spacing w:after="0"/>
        <w:tabs>
          <w:tab w:leader="none" w:pos="2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Our ability to effectively manage our inventories and/or our accounts receivables;</w:t>
      </w:r>
    </w:p>
    <w:p>
      <w:pPr>
        <w:ind w:left="340" w:hanging="332"/>
        <w:spacing w:after="0" w:line="239" w:lineRule="auto"/>
        <w:tabs>
          <w:tab w:leader="none" w:pos="430" w:val="left"/>
        </w:tabs>
        <w:numPr>
          <w:ilvl w:val="0"/>
          <w:numId w:val="32"/>
        </w:numPr>
        <w:rPr>
          <w:rFonts w:ascii="Arial" w:cs="Arial" w:eastAsia="Arial" w:hAnsi="Arial"/>
          <w:sz w:val="20"/>
          <w:szCs w:val="20"/>
          <w:color w:val="auto"/>
        </w:rPr>
      </w:pPr>
      <w:r>
        <w:rPr>
          <w:rFonts w:ascii="Arial" w:cs="Arial" w:eastAsia="Arial" w:hAnsi="Arial"/>
          <w:sz w:val="20"/>
          <w:szCs w:val="20"/>
          <w:color w:val="auto"/>
        </w:rPr>
        <w:t>Our foreign currency exchange rate risk with respect to our sales, expenses, profits, assets and liabilities denominated in currencies other than the U.S. dollar, which will continue to increase as foreign sales increase;</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Changes in accounting standards may affect our reported profitability;</w:t>
      </w:r>
    </w:p>
    <w:p>
      <w:pPr>
        <w:ind w:left="340" w:hanging="332"/>
        <w:spacing w:after="0" w:line="239" w:lineRule="auto"/>
        <w:tabs>
          <w:tab w:leader="none" w:pos="430" w:val="left"/>
        </w:tabs>
        <w:numPr>
          <w:ilvl w:val="0"/>
          <w:numId w:val="32"/>
        </w:numPr>
        <w:rPr>
          <w:rFonts w:ascii="Arial" w:cs="Arial" w:eastAsia="Arial" w:hAnsi="Arial"/>
          <w:sz w:val="20"/>
          <w:szCs w:val="20"/>
          <w:color w:val="auto"/>
        </w:rPr>
      </w:pPr>
      <w:r>
        <w:rPr>
          <w:rFonts w:ascii="Arial" w:cs="Arial" w:eastAsia="Arial" w:hAnsi="Arial"/>
          <w:sz w:val="20"/>
          <w:szCs w:val="20"/>
          <w:color w:val="auto"/>
        </w:rPr>
        <w:t>Any proceedings which may be brought against us by the Securities and Exchange Commission (the “SEC”), the FDA, the FTC or other governmental agencies or bodies;</w:t>
      </w:r>
    </w:p>
    <w:p>
      <w:pPr>
        <w:spacing w:after="0" w:line="1" w:lineRule="exact"/>
        <w:rPr>
          <w:rFonts w:ascii="Arial" w:cs="Arial" w:eastAsia="Arial" w:hAnsi="Arial"/>
          <w:sz w:val="20"/>
          <w:szCs w:val="20"/>
          <w:color w:val="auto"/>
        </w:rPr>
      </w:pPr>
    </w:p>
    <w:p>
      <w:pPr>
        <w:ind w:left="340" w:right="20" w:hanging="332"/>
        <w:spacing w:after="0" w:line="239" w:lineRule="auto"/>
        <w:tabs>
          <w:tab w:leader="none" w:pos="376"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outcome of shareholder securities litigation and/or shareholder derivative actions filed against us and/or against certain of our officers and directors, and the possibility of other private shareholder litigation;</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possibility of future shareholder derivative actions or shareholder securities litigation filed against us;</w:t>
      </w:r>
    </w:p>
    <w:p>
      <w:pPr>
        <w:jc w:val="both"/>
        <w:ind w:left="340" w:hanging="332"/>
        <w:spacing w:after="0" w:line="241" w:lineRule="auto"/>
        <w:tabs>
          <w:tab w:leader="none" w:pos="335"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outcome of product liability litigation and/or class action litigation regarding the safety of our products and/or the ingredients in and/or claims made in connection with our products and/or alleging false advertising, marketing and/or promotion, and the possibility of future product liability and/or class action lawsuits;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1"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51" w:orient="portrait"/>
          <w:cols w:equalWidth="0" w:num="1">
            <w:col w:w="11420"/>
          </w:cols>
          <w:pgMar w:left="240" w:top="121" w:right="239" w:bottom="0" w:gutter="0" w:footer="0" w:header="0"/>
          <w:type w:val="continuous"/>
        </w:sectPr>
      </w:pPr>
    </w:p>
    <w:bookmarkStart w:id="34" w:name="page35"/>
    <w:bookmarkEnd w:id="34"/>
    <w:p>
      <w:pPr>
        <w:spacing w:after="0" w:line="67" w:lineRule="exact"/>
        <w:rPr>
          <w:sz w:val="20"/>
          <w:szCs w:val="20"/>
          <w:color w:val="auto"/>
        </w:rPr>
      </w:pPr>
    </w:p>
    <w:p>
      <w:pPr>
        <w:ind w:left="280" w:hanging="272"/>
        <w:spacing w:after="0"/>
        <w:tabs>
          <w:tab w:leader="none" w:pos="2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current uncertainty and volatility in the national and global economy;</w:t>
      </w:r>
    </w:p>
    <w:p>
      <w:pPr>
        <w:spacing w:after="0" w:line="15" w:lineRule="exact"/>
        <w:rPr>
          <w:rFonts w:ascii="Arial" w:cs="Arial" w:eastAsia="Arial" w:hAnsi="Arial"/>
          <w:sz w:val="20"/>
          <w:szCs w:val="20"/>
          <w:color w:val="auto"/>
        </w:rPr>
      </w:pPr>
    </w:p>
    <w:p>
      <w:pPr>
        <w:ind w:left="280" w:hanging="272"/>
        <w:spacing w:after="0"/>
        <w:tabs>
          <w:tab w:leader="none" w:pos="2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Our ability to address any significant deficiencies or material weakness in our internal controls over financial reporting;</w:t>
      </w:r>
    </w:p>
    <w:p>
      <w:pPr>
        <w:ind w:left="280" w:hanging="272"/>
        <w:spacing w:after="0"/>
        <w:tabs>
          <w:tab w:leader="none" w:pos="2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Our ability to continue to generate sufficient cash flows to support capital expansion plans and general operating activities;</w:t>
      </w:r>
    </w:p>
    <w:p>
      <w:pPr>
        <w:ind w:left="340" w:right="20" w:hanging="332"/>
        <w:spacing w:after="0" w:line="239" w:lineRule="auto"/>
        <w:tabs>
          <w:tab w:leader="none" w:pos="686" w:val="left"/>
        </w:tabs>
        <w:numPr>
          <w:ilvl w:val="0"/>
          <w:numId w:val="33"/>
        </w:numPr>
        <w:rPr>
          <w:rFonts w:ascii="Arial" w:cs="Arial" w:eastAsia="Arial" w:hAnsi="Arial"/>
          <w:sz w:val="20"/>
          <w:szCs w:val="20"/>
          <w:color w:val="auto"/>
        </w:rPr>
      </w:pPr>
      <w:r>
        <w:rPr>
          <w:rFonts w:ascii="Arial" w:cs="Arial" w:eastAsia="Arial" w:hAnsi="Arial"/>
          <w:sz w:val="20"/>
          <w:szCs w:val="20"/>
          <w:color w:val="auto"/>
        </w:rPr>
        <w:t>Decreased demand for our products resulting from changes in consumer preferences and/or from decreased consumer discretionary spending power;</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Changes in demand that are weather related;</w:t>
      </w:r>
    </w:p>
    <w:p>
      <w:pPr>
        <w:ind w:left="340" w:hanging="332"/>
        <w:spacing w:after="0" w:line="239" w:lineRule="auto"/>
        <w:tabs>
          <w:tab w:leader="none" w:pos="322" w:val="left"/>
        </w:tabs>
        <w:numPr>
          <w:ilvl w:val="0"/>
          <w:numId w:val="33"/>
        </w:numPr>
        <w:rPr>
          <w:rFonts w:ascii="Arial" w:cs="Arial" w:eastAsia="Arial" w:hAnsi="Arial"/>
          <w:sz w:val="20"/>
          <w:szCs w:val="20"/>
          <w:color w:val="auto"/>
        </w:rPr>
      </w:pPr>
      <w:r>
        <w:rPr>
          <w:rFonts w:ascii="Arial" w:cs="Arial" w:eastAsia="Arial" w:hAnsi="Arial"/>
          <w:sz w:val="20"/>
          <w:szCs w:val="20"/>
          <w:color w:val="auto"/>
        </w:rPr>
        <w:t>Competitive products and pricing pressures and our ability to gain or maintain our share of sales in the marketplace as a result of actions by competitors;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Our ability to introduce new products;</w:t>
      </w:r>
    </w:p>
    <w:p>
      <w:pPr>
        <w:ind w:left="280" w:hanging="272"/>
        <w:spacing w:after="0"/>
        <w:tabs>
          <w:tab w:leader="none" w:pos="2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An inability to achieve volume growth through product and packaging initiatives;</w:t>
      </w:r>
    </w:p>
    <w:p>
      <w:pPr>
        <w:ind w:left="340" w:hanging="332"/>
        <w:spacing w:after="0" w:line="239" w:lineRule="auto"/>
        <w:tabs>
          <w:tab w:leader="none" w:pos="524" w:val="left"/>
        </w:tabs>
        <w:numPr>
          <w:ilvl w:val="0"/>
          <w:numId w:val="33"/>
        </w:numPr>
        <w:rPr>
          <w:rFonts w:ascii="Arial" w:cs="Arial" w:eastAsia="Arial" w:hAnsi="Arial"/>
          <w:sz w:val="20"/>
          <w:szCs w:val="20"/>
          <w:color w:val="auto"/>
        </w:rPr>
      </w:pPr>
      <w:r>
        <w:rPr>
          <w:rFonts w:ascii="Arial" w:cs="Arial" w:eastAsia="Arial" w:hAnsi="Arial"/>
          <w:sz w:val="20"/>
          <w:szCs w:val="20"/>
          <w:color w:val="auto"/>
        </w:rPr>
        <w:t>Our ability to sustain the current level of sales and/or increase the sales of our Monster Energy® brand energy drinks and/or our other products, including the Strategic Brands acquired from TCCC;</w:t>
      </w:r>
    </w:p>
    <w:p>
      <w:pPr>
        <w:spacing w:after="0" w:line="1" w:lineRule="exact"/>
        <w:rPr>
          <w:rFonts w:ascii="Arial" w:cs="Arial" w:eastAsia="Arial" w:hAnsi="Arial"/>
          <w:sz w:val="20"/>
          <w:szCs w:val="20"/>
          <w:color w:val="auto"/>
        </w:rPr>
      </w:pPr>
    </w:p>
    <w:p>
      <w:pPr>
        <w:jc w:val="both"/>
        <w:ind w:left="340" w:hanging="332"/>
        <w:spacing w:after="0" w:line="266" w:lineRule="auto"/>
        <w:tabs>
          <w:tab w:leader="none" w:pos="2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criticism of our energy drink products and/or the energy drink market generally and/or legislation enacted, whether as a result of such criticism or otherwise, that restrict the sale of energy drinks (including prohibiting the sale of energy drinks at certain establishments or pursuant to certain governmental programs), limit caffeine content in beverages, require certain product labeling disclosures and/or warnings, impose excise and/or sales taxes, limit product sizes or impose age restrictions for the sale of energy drinks;</w:t>
      </w:r>
    </w:p>
    <w:p>
      <w:pPr>
        <w:jc w:val="both"/>
        <w:ind w:left="340" w:hanging="332"/>
        <w:spacing w:after="0" w:line="266" w:lineRule="auto"/>
        <w:tabs>
          <w:tab w:leader="none" w:pos="349"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comply with and/or resulting lower consumer demand for energy drinks due to proposed and/or future U.S. federal, state and local laws and regulations and/or proposed or existing laws and regulations in certain foreign jurisdictions and/or any changes therein, including changes in taxation requirements (including tax rate changes, new tax laws, new and/or increased excise and/or sales and/or other taxes on our products and revised tax law interpretations) and environmental laws, as well as the Federal Food Drug &amp; Cosmetic Act, including as amended by the Dietary Supplement Health and Education Act, and regulations made thereunder or in connection therewith, as well as changes in any other food, drug or similar laws in the United States and internationally, especially those that may restrict the sale of energy drinks (including prohibiting the sale of energy drinks at certain establishments or pursuant to certain governmental programs), limit caffeine content in beverages, require certain product labeling disclosures and/or warnings, impose excise taxes, limit product sizes, or impose age restrictions for the sale of energy drinks, as well as laws and regulations or rules made or enforced by the FDA, and/or the Bureau of Alcohol, Tobacco and Firearms and Explosives, and/or the FTC;</w:t>
      </w:r>
    </w:p>
    <w:p>
      <w:pPr>
        <w:spacing w:after="0" w:line="1" w:lineRule="exact"/>
        <w:rPr>
          <w:rFonts w:ascii="Arial" w:cs="Arial" w:eastAsia="Arial" w:hAnsi="Arial"/>
          <w:sz w:val="18"/>
          <w:szCs w:val="18"/>
          <w:color w:val="auto"/>
        </w:rPr>
      </w:pPr>
    </w:p>
    <w:p>
      <w:pPr>
        <w:jc w:val="both"/>
        <w:ind w:left="340" w:hanging="332"/>
        <w:spacing w:after="0" w:line="239" w:lineRule="auto"/>
        <w:tabs>
          <w:tab w:leader="none" w:pos="295" w:val="left"/>
        </w:tabs>
        <w:numPr>
          <w:ilvl w:val="0"/>
          <w:numId w:val="33"/>
        </w:numPr>
        <w:rPr>
          <w:rFonts w:ascii="Arial" w:cs="Arial" w:eastAsia="Arial" w:hAnsi="Arial"/>
          <w:sz w:val="20"/>
          <w:szCs w:val="20"/>
          <w:color w:val="auto"/>
        </w:rPr>
      </w:pPr>
      <w:r>
        <w:rPr>
          <w:rFonts w:ascii="Arial" w:cs="Arial" w:eastAsia="Arial" w:hAnsi="Arial"/>
          <w:sz w:val="20"/>
          <w:szCs w:val="20"/>
          <w:color w:val="auto"/>
        </w:rPr>
        <w:t>Our ability to satisfy all criteria set forth in any model energy drink guidelines, including, without limitation, those adopted by the American Beverage Association, of which the Company is a member, and/or any international beverage association and the impact on the Company of such guidelines;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Disruptions in the timely import or export of our products and/or ingredients due to port strikes and related labor issues;</w:t>
      </w:r>
    </w:p>
    <w:p>
      <w:pPr>
        <w:ind w:left="280" w:hanging="272"/>
        <w:spacing w:after="0"/>
        <w:tabs>
          <w:tab w:leader="none" w:pos="2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effect of unfavorable or adverse public relations, press, articles, comments and/or media attention;</w:t>
      </w:r>
    </w:p>
    <w:p>
      <w:pPr>
        <w:jc w:val="both"/>
        <w:ind w:left="340" w:hanging="332"/>
        <w:spacing w:after="0" w:line="252" w:lineRule="auto"/>
        <w:tabs>
          <w:tab w:leader="none" w:pos="349" w:val="left"/>
        </w:tabs>
        <w:numPr>
          <w:ilvl w:val="0"/>
          <w:numId w:val="33"/>
        </w:numPr>
        <w:rPr>
          <w:rFonts w:ascii="Arial" w:cs="Arial" w:eastAsia="Arial" w:hAnsi="Arial"/>
          <w:sz w:val="19"/>
          <w:szCs w:val="19"/>
          <w:color w:val="auto"/>
        </w:rPr>
      </w:pPr>
      <w:r>
        <w:rPr>
          <w:rFonts w:ascii="Arial" w:cs="Arial" w:eastAsia="Arial" w:hAnsi="Arial"/>
          <w:sz w:val="19"/>
          <w:szCs w:val="19"/>
          <w:color w:val="auto"/>
        </w:rPr>
        <w:t>Changes in the cost, quality and availability of containers, packaging materials, aluminum, the Midwest and other premiums, raw materials and other ingredients and juice concentrates, and our ability to obtain and/or maintain favorable supply arrangements and relationships and procure timely and/or sufficient production of all or any of our products to meet customer demand;</w:t>
      </w:r>
    </w:p>
    <w:p>
      <w:pPr>
        <w:ind w:left="280" w:hanging="272"/>
        <w:spacing w:after="0"/>
        <w:tabs>
          <w:tab w:leader="none" w:pos="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corporate activity among the limited number of suppliers from whom we purchase certain raw materials on our cost of sales;</w:t>
      </w:r>
    </w:p>
    <w:p>
      <w:pPr>
        <w:spacing w:after="0" w:line="22" w:lineRule="exact"/>
        <w:rPr>
          <w:rFonts w:ascii="Arial" w:cs="Arial" w:eastAsia="Arial" w:hAnsi="Arial"/>
          <w:sz w:val="18"/>
          <w:szCs w:val="18"/>
          <w:color w:val="auto"/>
        </w:rPr>
      </w:pPr>
    </w:p>
    <w:p>
      <w:pPr>
        <w:ind w:left="340" w:hanging="332"/>
        <w:spacing w:after="0" w:line="239" w:lineRule="auto"/>
        <w:tabs>
          <w:tab w:leader="none" w:pos="335" w:val="left"/>
        </w:tabs>
        <w:numPr>
          <w:ilvl w:val="0"/>
          <w:numId w:val="33"/>
        </w:numPr>
        <w:rPr>
          <w:rFonts w:ascii="Arial" w:cs="Arial" w:eastAsia="Arial" w:hAnsi="Arial"/>
          <w:sz w:val="20"/>
          <w:szCs w:val="20"/>
          <w:color w:val="auto"/>
        </w:rPr>
      </w:pPr>
      <w:r>
        <w:rPr>
          <w:rFonts w:ascii="Arial" w:cs="Arial" w:eastAsia="Arial" w:hAnsi="Arial"/>
          <w:sz w:val="20"/>
          <w:szCs w:val="20"/>
          <w:color w:val="auto"/>
        </w:rPr>
        <w:t>Our ability to pass on to our customers all or a portion of any increases in the costs of raw materials, ingredients, commodities and/or other cost inputs affecting our business;</w:t>
      </w:r>
    </w:p>
    <w:p>
      <w:pPr>
        <w:spacing w:after="0" w:line="1" w:lineRule="exact"/>
        <w:rPr>
          <w:rFonts w:ascii="Arial" w:cs="Arial" w:eastAsia="Arial" w:hAnsi="Arial"/>
          <w:sz w:val="20"/>
          <w:szCs w:val="20"/>
          <w:color w:val="auto"/>
        </w:rPr>
      </w:pPr>
    </w:p>
    <w:p>
      <w:pPr>
        <w:jc w:val="both"/>
        <w:ind w:left="340" w:hanging="332"/>
        <w:spacing w:after="0" w:line="241" w:lineRule="auto"/>
        <w:tabs>
          <w:tab w:leader="none" w:pos="524" w:val="left"/>
        </w:tabs>
        <w:numPr>
          <w:ilvl w:val="0"/>
          <w:numId w:val="33"/>
        </w:numPr>
        <w:rPr>
          <w:rFonts w:ascii="Arial" w:cs="Arial" w:eastAsia="Arial" w:hAnsi="Arial"/>
          <w:sz w:val="20"/>
          <w:szCs w:val="20"/>
          <w:color w:val="auto"/>
        </w:rPr>
      </w:pPr>
      <w:r>
        <w:rPr>
          <w:rFonts w:ascii="Arial" w:cs="Arial" w:eastAsia="Arial" w:hAnsi="Arial"/>
          <w:sz w:val="20"/>
          <w:szCs w:val="20"/>
          <w:color w:val="auto"/>
        </w:rPr>
        <w:t>Our ability to achieve both internal domestic and international forecasts, which may be based on projected volumes and sales of many product types and/or new products, certain of which are more profitable than others; there can be no assurance that we will achieve projected levels of sales as well as forecasted product and/or geographic mixes;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ind w:left="340" w:hanging="332"/>
        <w:spacing w:after="0" w:line="247" w:lineRule="auto"/>
        <w:tabs>
          <w:tab w:leader="none" w:pos="403" w:val="left"/>
        </w:tabs>
        <w:numPr>
          <w:ilvl w:val="0"/>
          <w:numId w:val="34"/>
        </w:numPr>
        <w:rPr>
          <w:rFonts w:ascii="Arial" w:cs="Arial" w:eastAsia="Arial" w:hAnsi="Arial"/>
          <w:sz w:val="20"/>
          <w:szCs w:val="20"/>
          <w:color w:val="auto"/>
        </w:rPr>
      </w:pPr>
      <w:r>
        <w:rPr>
          <w:rFonts w:ascii="Arial" w:cs="Arial" w:eastAsia="Arial" w:hAnsi="Arial"/>
          <w:sz w:val="20"/>
          <w:szCs w:val="20"/>
          <w:color w:val="auto"/>
        </w:rPr>
        <w:t>Our ability to penetrate new domestic and/or international markets and/or gain approval or mitigate the delay in securing approval for the sale of our products in various countries;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Economic or political instability in one or more of our international markets;</w:t>
      </w:r>
    </w:p>
    <w:p>
      <w:pPr>
        <w:ind w:left="340" w:right="20" w:hanging="332"/>
        <w:spacing w:after="0" w:line="239" w:lineRule="auto"/>
        <w:tabs>
          <w:tab w:leader="none" w:pos="376"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effectiveness of sales and/or marketing efforts by us and/or the distributors of our products, most of which distribute products that are competitive with our products;</w:t>
      </w:r>
    </w:p>
    <w:p>
      <w:pPr>
        <w:spacing w:after="0" w:line="1" w:lineRule="exact"/>
        <w:rPr>
          <w:rFonts w:ascii="Arial" w:cs="Arial" w:eastAsia="Arial" w:hAnsi="Arial"/>
          <w:sz w:val="20"/>
          <w:szCs w:val="20"/>
          <w:color w:val="auto"/>
        </w:rPr>
      </w:pPr>
    </w:p>
    <w:p>
      <w:pPr>
        <w:jc w:val="both"/>
        <w:ind w:left="340" w:hanging="332"/>
        <w:spacing w:after="0" w:line="239" w:lineRule="auto"/>
        <w:tabs>
          <w:tab w:leader="none" w:pos="376" w:val="left"/>
        </w:tabs>
        <w:numPr>
          <w:ilvl w:val="0"/>
          <w:numId w:val="34"/>
        </w:numPr>
        <w:rPr>
          <w:rFonts w:ascii="Arial" w:cs="Arial" w:eastAsia="Arial" w:hAnsi="Arial"/>
          <w:sz w:val="20"/>
          <w:szCs w:val="20"/>
          <w:color w:val="auto"/>
        </w:rPr>
      </w:pPr>
      <w:r>
        <w:rPr>
          <w:rFonts w:ascii="Arial" w:cs="Arial" w:eastAsia="Arial" w:hAnsi="Arial"/>
          <w:sz w:val="20"/>
          <w:szCs w:val="20"/>
          <w:color w:val="auto"/>
        </w:rPr>
        <w:t>Unilateral decisions by distributors, convenience chains, grocery chains, mass merchandisers, specialty chain stores, club stores and other customers to discontinue carrying all or any of our products that they are carrying at any time, restrict the range of our products they carry and/or devote less resources to the sale of our products;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costs and/or effectiveness, now or in the future, of our advertising, marketing and promotional strategies;</w:t>
      </w:r>
    </w:p>
    <w:p>
      <w:pPr>
        <w:ind w:left="280" w:hanging="272"/>
        <w:spacing w:after="0"/>
        <w:tabs>
          <w:tab w:leader="none" w:pos="2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success of our sports marketing endeavors both domestically and internationally;</w:t>
      </w:r>
    </w:p>
    <w:p>
      <w:pPr>
        <w:ind w:left="280" w:hanging="272"/>
        <w:spacing w:after="0"/>
        <w:tabs>
          <w:tab w:leader="none" w:pos="2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Changes in product category consumption;</w:t>
      </w:r>
    </w:p>
    <w:p>
      <w:pPr>
        <w:ind w:left="280" w:hanging="272"/>
        <w:spacing w:after="0"/>
        <w:tabs>
          <w:tab w:leader="none" w:pos="2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Unforeseen economic and political changes;</w:t>
      </w:r>
    </w:p>
    <w:p>
      <w:pPr>
        <w:ind w:left="280" w:hanging="272"/>
        <w:spacing w:after="0"/>
        <w:tabs>
          <w:tab w:leader="none" w:pos="2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Possible recalls of our products and/or defective production;</w:t>
      </w:r>
    </w:p>
    <w:p>
      <w:pPr>
        <w:ind w:left="340" w:hanging="332"/>
        <w:spacing w:after="0" w:line="239" w:lineRule="auto"/>
        <w:tabs>
          <w:tab w:leader="none" w:pos="335" w:val="left"/>
        </w:tabs>
        <w:numPr>
          <w:ilvl w:val="0"/>
          <w:numId w:val="34"/>
        </w:numPr>
        <w:rPr>
          <w:rFonts w:ascii="Arial" w:cs="Arial" w:eastAsia="Arial" w:hAnsi="Arial"/>
          <w:sz w:val="20"/>
          <w:szCs w:val="20"/>
          <w:color w:val="auto"/>
        </w:rPr>
      </w:pPr>
      <w:r>
        <w:rPr>
          <w:rFonts w:ascii="Arial" w:cs="Arial" w:eastAsia="Arial" w:hAnsi="Arial"/>
          <w:sz w:val="20"/>
          <w:szCs w:val="20"/>
          <w:color w:val="auto"/>
        </w:rPr>
        <w:t>Our ability to make suitable arrangements for the co-packing of any of our products both domestically and internationally and/or the timely replacement of discontinued co-packing arrangements;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Our ability to make suitable arrangements for the timely procurement of non-defective raw materials;</w:t>
      </w:r>
    </w:p>
    <w:p>
      <w:pPr>
        <w:ind w:left="340" w:hanging="332"/>
        <w:spacing w:after="0" w:line="239" w:lineRule="auto"/>
        <w:tabs>
          <w:tab w:leader="none" w:pos="430" w:val="left"/>
        </w:tabs>
        <w:numPr>
          <w:ilvl w:val="0"/>
          <w:numId w:val="34"/>
        </w:numPr>
        <w:rPr>
          <w:rFonts w:ascii="Arial" w:cs="Arial" w:eastAsia="Arial" w:hAnsi="Arial"/>
          <w:sz w:val="20"/>
          <w:szCs w:val="20"/>
          <w:color w:val="auto"/>
        </w:rPr>
      </w:pPr>
      <w:r>
        <w:rPr>
          <w:rFonts w:ascii="Arial" w:cs="Arial" w:eastAsia="Arial" w:hAnsi="Arial"/>
          <w:sz w:val="20"/>
          <w:szCs w:val="20"/>
          <w:color w:val="auto"/>
        </w:rPr>
        <w:t>Our inability to protect and/or the loss of our intellectual property rights and/or our inability to use our trademarks and/or trade names or designs in certain countries;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Volatility of stock prices which may restrict stock sales, stock purchases or other opportunities;</w:t>
      </w:r>
    </w:p>
    <w:p>
      <w:pPr>
        <w:ind w:left="340" w:hanging="332"/>
        <w:spacing w:after="0" w:line="239" w:lineRule="auto"/>
        <w:tabs>
          <w:tab w:leader="none" w:pos="322" w:val="left"/>
        </w:tabs>
        <w:numPr>
          <w:ilvl w:val="0"/>
          <w:numId w:val="34"/>
        </w:numPr>
        <w:rPr>
          <w:rFonts w:ascii="Arial" w:cs="Arial" w:eastAsia="Arial" w:hAnsi="Arial"/>
          <w:sz w:val="20"/>
          <w:szCs w:val="20"/>
          <w:color w:val="auto"/>
        </w:rPr>
      </w:pPr>
      <w:r>
        <w:rPr>
          <w:rFonts w:ascii="Arial" w:cs="Arial" w:eastAsia="Arial" w:hAnsi="Arial"/>
          <w:sz w:val="20"/>
          <w:szCs w:val="20"/>
          <w:color w:val="auto"/>
        </w:rPr>
        <w:t>Provisions in our organizational documents and/or control by insiders which may prevent changes in control even if such changes would be beneficial to other stockholders;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failure of our bottlers and/or contract packers to manufacture our products on a timely basis or at all;</w:t>
      </w:r>
    </w:p>
    <w:p>
      <w:pPr>
        <w:ind w:left="280" w:hanging="272"/>
        <w:spacing w:after="0"/>
        <w:tabs>
          <w:tab w:leader="none" w:pos="2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Exposure to significant liabilities due to litigation, legal or regulatory proceedings;</w:t>
      </w:r>
    </w:p>
    <w:p>
      <w:pPr>
        <w:ind w:left="340" w:right="20" w:hanging="332"/>
        <w:spacing w:after="0" w:line="244" w:lineRule="auto"/>
        <w:tabs>
          <w:tab w:leader="none" w:pos="322" w:val="left"/>
        </w:tabs>
        <w:numPr>
          <w:ilvl w:val="0"/>
          <w:numId w:val="34"/>
        </w:numPr>
        <w:rPr>
          <w:rFonts w:ascii="Arial" w:cs="Arial" w:eastAsia="Arial" w:hAnsi="Arial"/>
          <w:sz w:val="20"/>
          <w:szCs w:val="20"/>
          <w:color w:val="auto"/>
        </w:rPr>
      </w:pPr>
      <w:r>
        <w:rPr>
          <w:rFonts w:ascii="Arial" w:cs="Arial" w:eastAsia="Arial" w:hAnsi="Arial"/>
          <w:sz w:val="20"/>
          <w:szCs w:val="20"/>
          <w:color w:val="auto"/>
        </w:rPr>
        <w:t>Any disruption in and/or lack of effectiveness of our information technology systems, including a breach of cyber security, that disrupts our business or negatively impacts customer relationships; and</w:t>
      </w:r>
    </w:p>
    <w:p>
      <w:pPr>
        <w:sectPr>
          <w:pgSz w:w="11900" w:h="16905" w:orient="portrait"/>
          <w:cols w:equalWidth="0" w:num="1">
            <w:col w:w="11420"/>
          </w:cols>
          <w:pgMar w:left="240" w:top="352" w:right="239" w:bottom="0" w:gutter="0" w:footer="0" w:header="0"/>
        </w:sectPr>
      </w:pPr>
    </w:p>
    <w:bookmarkStart w:id="35" w:name="page36"/>
    <w:bookmarkEnd w:id="35"/>
    <w:p>
      <w:pPr>
        <w:spacing w:after="0" w:line="59" w:lineRule="exact"/>
        <w:rPr>
          <w:sz w:val="20"/>
          <w:szCs w:val="20"/>
          <w:color w:val="auto"/>
        </w:rPr>
      </w:pPr>
    </w:p>
    <w:p>
      <w:pPr>
        <w:ind w:left="280" w:hanging="272"/>
        <w:spacing w:after="0"/>
        <w:tabs>
          <w:tab w:leader="none" w:pos="2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Recruitment and retention of senior management, other key employees and our employee base in general.</w:t>
      </w:r>
    </w:p>
    <w:p>
      <w:pPr>
        <w:spacing w:after="0" w:line="23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foregoing list of important factors and other risks detailed from time to time in our reports filed with the SEC is not exhaustive. See the section entitled “Risk Factors” in our Form 10-K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3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There have been no material changes in our market risk during the three-months ended June 30, 2016 compared with the disclosures in Part II, Item 7A of our Form 10-K.</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3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 Under the supervision and with the participation of the Company’s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our Chief Executive Officer and Chief Financial Officer, we have evaluated the effectiveness of the design and operation of our disclosure controls and procedures (as defined in Rules 13(a)-15(e) and 15(d)-15(e) of the Exchange Act) as of the end of the period covered by this report. Based upon this evaluation, the Chief Executive Officer and Chief Financial Officer have concluded that our disclosure controls and procedures are adequate and effective to ensure that information we are required to disclose in reports that we file or submit under the Exchange Act is (1) recorded, processed, summarized and reported within the time periods specified in rules and forms of the SEC and</w:t>
      </w:r>
    </w:p>
    <w:p>
      <w:pPr>
        <w:spacing w:after="0" w:line="2" w:lineRule="exact"/>
        <w:rPr>
          <w:sz w:val="20"/>
          <w:szCs w:val="20"/>
          <w:color w:val="auto"/>
        </w:rPr>
      </w:pPr>
    </w:p>
    <w:p>
      <w:pPr>
        <w:ind w:firstLine="8"/>
        <w:spacing w:after="0" w:line="244" w:lineRule="auto"/>
        <w:tabs>
          <w:tab w:leader="none" w:pos="304" w:val="left"/>
        </w:tabs>
        <w:numPr>
          <w:ilvl w:val="0"/>
          <w:numId w:val="36"/>
        </w:numPr>
        <w:rPr>
          <w:rFonts w:ascii="Arial" w:cs="Arial" w:eastAsia="Arial" w:hAnsi="Arial"/>
          <w:sz w:val="20"/>
          <w:szCs w:val="20"/>
          <w:color w:val="auto"/>
        </w:rPr>
      </w:pPr>
      <w:r>
        <w:rPr>
          <w:rFonts w:ascii="Arial" w:cs="Arial" w:eastAsia="Arial" w:hAnsi="Arial"/>
          <w:sz w:val="20"/>
          <w:szCs w:val="20"/>
          <w:color w:val="auto"/>
        </w:rPr>
        <w:t>accumulated and communicated to our management, including its principal executive and principal financial officers, as appropriate, to allow timely decisions regarding required disclosures.</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Changes in Internal Control Over Financial Reporting </w:t>
      </w:r>
      <w:r>
        <w:rPr>
          <w:rFonts w:ascii="Arial" w:cs="Arial" w:eastAsia="Arial" w:hAnsi="Arial"/>
          <w:sz w:val="20"/>
          <w:szCs w:val="20"/>
          <w:color w:val="auto"/>
        </w:rPr>
        <w:t>– There were no changes in the Company’s internal controls over financial</w:t>
      </w:r>
      <w:r>
        <w:rPr>
          <w:rFonts w:ascii="Arial" w:cs="Arial" w:eastAsia="Arial" w:hAnsi="Arial"/>
          <w:sz w:val="20"/>
          <w:szCs w:val="20"/>
          <w:i w:val="1"/>
          <w:iCs w:val="1"/>
          <w:color w:val="auto"/>
        </w:rPr>
        <w:t xml:space="preserve"> </w:t>
      </w:r>
      <w:r>
        <w:rPr>
          <w:rFonts w:ascii="Arial" w:cs="Arial" w:eastAsia="Arial" w:hAnsi="Arial"/>
          <w:sz w:val="20"/>
          <w:szCs w:val="20"/>
          <w:color w:val="auto"/>
        </w:rPr>
        <w:t>reporting during the quarter ended June 30, 2016, that have materially affected, or are reasonably likely to materially affect, our internal control over financial reporting.</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 - OTHER INFORMATION</w:t>
      </w:r>
    </w:p>
    <w:p>
      <w:pPr>
        <w:spacing w:after="0" w:line="229"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9"/>
          <w:szCs w:val="19"/>
          <w:b w:val="1"/>
          <w:bCs w:val="1"/>
          <w:color w:val="auto"/>
        </w:rPr>
        <w:t>LEGAL PROCEEDINGS</w:t>
      </w:r>
    </w:p>
    <w:p>
      <w:pPr>
        <w:spacing w:after="0" w:line="23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information required by this Item is incorporated herein by reference to the Notes to Condensed Consolidated Financial Statements —Note 11. Commitments and Contingencies: Legal Proceedings in Part I, Item 1, of this Quarterly Report on Form 10-Q.</w:t>
      </w:r>
    </w:p>
    <w:p>
      <w:pPr>
        <w:spacing w:after="0" w:line="160" w:lineRule="exact"/>
        <w:rPr>
          <w:sz w:val="20"/>
          <w:szCs w:val="20"/>
          <w:color w:val="auto"/>
        </w:rPr>
      </w:pPr>
    </w:p>
    <w:p>
      <w:pPr>
        <w:spacing w:after="0"/>
        <w:tabs>
          <w:tab w:leader="none" w:pos="124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9"/>
          <w:szCs w:val="19"/>
          <w:b w:val="1"/>
          <w:bCs w:val="1"/>
          <w:color w:val="auto"/>
        </w:rPr>
        <w:t>RISK FACTORS</w:t>
      </w:r>
    </w:p>
    <w:p>
      <w:pPr>
        <w:spacing w:after="0" w:line="2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Our risk factors are discussed in our Form 10-K. There have been no material changes with respect to the risk factors disclosed in our Form 10-K.</w:t>
      </w:r>
    </w:p>
    <w:p>
      <w:pPr>
        <w:spacing w:after="0" w:line="184"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19"/>
          <w:szCs w:val="19"/>
          <w:b w:val="1"/>
          <w:bCs w:val="1"/>
          <w:color w:val="auto"/>
        </w:rPr>
        <w:t>UNREGISTERED SALES OF EQUITY SECURITIES AND USE OF PROCEEDS</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On April 28, 2016, the Board of Directors authorized the Company to commence a “modified Dutch auction” tender offer to repurchase up to $2.0 billion of its outstanding shares of common stock. The repurchase was authorized under the Company’s existing share repurchase authority and was funded with cash on hand. The Company commenced the tender offer in May 2016. On June 15, 2016, the Company accepted for payment an aggregate of 12,820,512 shares of common stock at a purchase price of $156.00 per share, for a total amount of $2.0 billion (excluding commissions), which exhausted the availability under all share repurchase plans. Such shares are included in common stock in treasury in the accompanying condensed consolidated balance sheet at June 30, 2016.</w:t>
      </w:r>
    </w:p>
    <w:p>
      <w:pPr>
        <w:spacing w:after="0" w:line="19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During the three-months ended June 30, 2016, 1,585 shares were purchased from employees in lieu of cash payments for options exercised or withholding taxes due for a total amount of $0.2 million. While such purchases are considered common stock repurchases, they are not counted as purchases against the Company’s authorized share repurchase programs.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tabular summary reflects the Company’s repurchase activity during the quarter ended June 30, 2016.</w:t>
      </w:r>
    </w:p>
    <w:p>
      <w:pPr>
        <w:sectPr>
          <w:pgSz w:w="11900" w:h="16897" w:orient="portrait"/>
          <w:cols w:equalWidth="0" w:num="1">
            <w:col w:w="11420"/>
          </w:cols>
          <w:pgMar w:left="240" w:top="121" w:right="239" w:bottom="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Period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Total Number</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of Shares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Average Price</w:t>
      </w:r>
    </w:p>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per Share¹</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Number of</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Shares Purchased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Maximum Number (or</w:t>
      </w:r>
    </w:p>
    <w:p>
      <w:pPr>
        <w:spacing w:after="0" w:line="39"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Approximate Dollar</w:t>
      </w:r>
    </w:p>
    <w:p>
      <w:pPr>
        <w:sectPr>
          <w:pgSz w:w="11900" w:h="16897" w:orient="portrait"/>
          <w:cols w:equalWidth="0" w:num="5">
            <w:col w:w="2520" w:space="720"/>
            <w:col w:w="1100" w:space="700"/>
            <w:col w:w="1160" w:space="720"/>
            <w:col w:w="1540" w:space="720"/>
            <w:col w:w="2240"/>
          </w:cols>
          <w:pgMar w:left="240" w:top="121" w:right="239" w:bottom="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right"/>
              <w:ind w:right="261"/>
              <w:spacing w:after="0"/>
              <w:rPr>
                <w:sz w:val="20"/>
                <w:szCs w:val="20"/>
                <w:color w:val="auto"/>
              </w:rPr>
            </w:pPr>
            <w:r>
              <w:rPr>
                <w:rFonts w:ascii="Arial" w:cs="Arial" w:eastAsia="Arial" w:hAnsi="Arial"/>
                <w:sz w:val="20"/>
                <w:szCs w:val="20"/>
                <w:color w:val="auto"/>
              </w:rPr>
              <w:t>Purchased</w:t>
            </w: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2"/>
          </w:tcPr>
          <w:p>
            <w:pPr>
              <w:jc w:val="center"/>
              <w:ind w:right="240"/>
              <w:spacing w:after="0"/>
              <w:rPr>
                <w:sz w:val="20"/>
                <w:szCs w:val="20"/>
                <w:color w:val="auto"/>
              </w:rPr>
            </w:pPr>
            <w:r>
              <w:rPr>
                <w:rFonts w:ascii="Arial" w:cs="Arial" w:eastAsia="Arial" w:hAnsi="Arial"/>
                <w:sz w:val="20"/>
                <w:szCs w:val="20"/>
                <w:color w:val="auto"/>
                <w:w w:val="91"/>
              </w:rPr>
              <w:t>as Part of Publicly</w:t>
            </w:r>
          </w:p>
        </w:tc>
        <w:tc>
          <w:tcPr>
            <w:tcW w:w="260" w:type="dxa"/>
            <w:vAlign w:val="bottom"/>
          </w:tcPr>
          <w:p>
            <w:pPr>
              <w:spacing w:after="0"/>
              <w:rPr>
                <w:sz w:val="20"/>
                <w:szCs w:val="20"/>
                <w:color w:val="auto"/>
              </w:rPr>
            </w:pPr>
          </w:p>
        </w:tc>
        <w:tc>
          <w:tcPr>
            <w:tcW w:w="2220" w:type="dxa"/>
            <w:vAlign w:val="bottom"/>
          </w:tcPr>
          <w:p>
            <w:pPr>
              <w:jc w:val="center"/>
              <w:ind w:right="141"/>
              <w:spacing w:after="0"/>
              <w:rPr>
                <w:sz w:val="20"/>
                <w:szCs w:val="20"/>
                <w:color w:val="auto"/>
              </w:rPr>
            </w:pPr>
            <w:r>
              <w:rPr>
                <w:rFonts w:ascii="Arial" w:cs="Arial" w:eastAsia="Arial" w:hAnsi="Arial"/>
                <w:sz w:val="20"/>
                <w:szCs w:val="20"/>
                <w:color w:val="auto"/>
                <w:w w:val="88"/>
              </w:rPr>
              <w:t>Value) of Shares that</w:t>
            </w:r>
          </w:p>
        </w:tc>
      </w:tr>
      <w:tr>
        <w:trPr>
          <w:trHeight w:val="230"/>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20" w:type="dxa"/>
            <w:vAlign w:val="bottom"/>
            <w:gridSpan w:val="2"/>
          </w:tcPr>
          <w:p>
            <w:pPr>
              <w:jc w:val="center"/>
              <w:ind w:right="220"/>
              <w:spacing w:after="0"/>
              <w:rPr>
                <w:sz w:val="20"/>
                <w:szCs w:val="20"/>
                <w:color w:val="auto"/>
              </w:rPr>
            </w:pPr>
            <w:r>
              <w:rPr>
                <w:rFonts w:ascii="Arial" w:cs="Arial" w:eastAsia="Arial" w:hAnsi="Arial"/>
                <w:sz w:val="20"/>
                <w:szCs w:val="20"/>
                <w:color w:val="auto"/>
                <w:w w:val="89"/>
              </w:rPr>
              <w:t>Announced Plans</w:t>
            </w:r>
          </w:p>
        </w:tc>
        <w:tc>
          <w:tcPr>
            <w:tcW w:w="260" w:type="dxa"/>
            <w:vAlign w:val="bottom"/>
          </w:tcPr>
          <w:p>
            <w:pPr>
              <w:spacing w:after="0"/>
              <w:rPr>
                <w:sz w:val="19"/>
                <w:szCs w:val="19"/>
                <w:color w:val="auto"/>
              </w:rPr>
            </w:pPr>
          </w:p>
        </w:tc>
        <w:tc>
          <w:tcPr>
            <w:tcW w:w="2220" w:type="dxa"/>
            <w:vAlign w:val="bottom"/>
          </w:tcPr>
          <w:p>
            <w:pPr>
              <w:jc w:val="center"/>
              <w:ind w:right="161"/>
              <w:spacing w:after="0"/>
              <w:rPr>
                <w:sz w:val="20"/>
                <w:szCs w:val="20"/>
                <w:color w:val="auto"/>
              </w:rPr>
            </w:pPr>
            <w:r>
              <w:rPr>
                <w:rFonts w:ascii="Arial" w:cs="Arial" w:eastAsia="Arial" w:hAnsi="Arial"/>
                <w:sz w:val="20"/>
                <w:szCs w:val="20"/>
                <w:color w:val="auto"/>
                <w:w w:val="87"/>
              </w:rPr>
              <w:t>May Yet Be Purchased</w:t>
            </w:r>
          </w:p>
        </w:tc>
      </w:tr>
      <w:tr>
        <w:trPr>
          <w:trHeight w:val="230"/>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20" w:type="dxa"/>
            <w:vAlign w:val="bottom"/>
            <w:gridSpan w:val="2"/>
          </w:tcPr>
          <w:p>
            <w:pPr>
              <w:jc w:val="center"/>
              <w:ind w:right="220"/>
              <w:spacing w:after="0"/>
              <w:rPr>
                <w:sz w:val="20"/>
                <w:szCs w:val="20"/>
                <w:color w:val="auto"/>
              </w:rPr>
            </w:pPr>
            <w:r>
              <w:rPr>
                <w:rFonts w:ascii="Arial" w:cs="Arial" w:eastAsia="Arial" w:hAnsi="Arial"/>
                <w:sz w:val="20"/>
                <w:szCs w:val="20"/>
                <w:color w:val="auto"/>
                <w:w w:val="87"/>
              </w:rPr>
              <w:t>or Programs</w:t>
            </w:r>
          </w:p>
        </w:tc>
        <w:tc>
          <w:tcPr>
            <w:tcW w:w="260" w:type="dxa"/>
            <w:vAlign w:val="bottom"/>
          </w:tcPr>
          <w:p>
            <w:pPr>
              <w:spacing w:after="0"/>
              <w:rPr>
                <w:sz w:val="19"/>
                <w:szCs w:val="19"/>
                <w:color w:val="auto"/>
              </w:rPr>
            </w:pPr>
          </w:p>
        </w:tc>
        <w:tc>
          <w:tcPr>
            <w:tcW w:w="2220" w:type="dxa"/>
            <w:vAlign w:val="bottom"/>
          </w:tcPr>
          <w:p>
            <w:pPr>
              <w:jc w:val="center"/>
              <w:ind w:right="161"/>
              <w:spacing w:after="0"/>
              <w:rPr>
                <w:sz w:val="20"/>
                <w:szCs w:val="20"/>
                <w:color w:val="auto"/>
              </w:rPr>
            </w:pPr>
            <w:r>
              <w:rPr>
                <w:rFonts w:ascii="Arial" w:cs="Arial" w:eastAsia="Arial" w:hAnsi="Arial"/>
                <w:sz w:val="20"/>
                <w:szCs w:val="20"/>
                <w:color w:val="auto"/>
                <w:w w:val="88"/>
              </w:rPr>
              <w:t>Under the Plans or</w:t>
            </w:r>
          </w:p>
        </w:tc>
      </w:tr>
      <w:tr>
        <w:trPr>
          <w:trHeight w:val="230"/>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20" w:type="dxa"/>
            <w:vAlign w:val="bottom"/>
          </w:tcPr>
          <w:p>
            <w:pPr>
              <w:jc w:val="center"/>
              <w:ind w:right="161"/>
              <w:spacing w:after="0"/>
              <w:rPr>
                <w:sz w:val="20"/>
                <w:szCs w:val="20"/>
                <w:color w:val="auto"/>
              </w:rPr>
            </w:pPr>
            <w:r>
              <w:rPr>
                <w:rFonts w:ascii="Arial" w:cs="Arial" w:eastAsia="Arial" w:hAnsi="Arial"/>
                <w:sz w:val="20"/>
                <w:szCs w:val="20"/>
                <w:color w:val="auto"/>
                <w:w w:val="89"/>
              </w:rPr>
              <w:t>Programs (In</w:t>
            </w:r>
          </w:p>
        </w:tc>
      </w:tr>
      <w:tr>
        <w:trPr>
          <w:trHeight w:val="246"/>
        </w:trPr>
        <w:tc>
          <w:tcPr>
            <w:tcW w:w="20" w:type="dxa"/>
            <w:vAlign w:val="bottom"/>
          </w:tcPr>
          <w:p>
            <w:pPr>
              <w:spacing w:after="0"/>
              <w:rPr>
                <w:sz w:val="21"/>
                <w:szCs w:val="21"/>
                <w:color w:val="auto"/>
              </w:rPr>
            </w:pPr>
          </w:p>
        </w:tc>
        <w:tc>
          <w:tcPr>
            <w:tcW w:w="27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tcPr>
          <w:p>
            <w:pPr>
              <w:jc w:val="center"/>
              <w:ind w:right="161"/>
              <w:spacing w:after="0"/>
              <w:rPr>
                <w:sz w:val="20"/>
                <w:szCs w:val="20"/>
                <w:color w:val="auto"/>
              </w:rPr>
            </w:pPr>
            <w:r>
              <w:rPr>
                <w:rFonts w:ascii="Arial" w:cs="Arial" w:eastAsia="Arial" w:hAnsi="Arial"/>
                <w:sz w:val="20"/>
                <w:szCs w:val="20"/>
                <w:color w:val="auto"/>
                <w:w w:val="87"/>
              </w:rPr>
              <w:t>thousands)²</w:t>
            </w:r>
          </w:p>
        </w:tc>
      </w:tr>
      <w:tr>
        <w:trPr>
          <w:trHeight w:val="206"/>
        </w:trPr>
        <w:tc>
          <w:tcPr>
            <w:tcW w:w="20" w:type="dxa"/>
            <w:vAlign w:val="bottom"/>
          </w:tcPr>
          <w:p>
            <w:pPr>
              <w:spacing w:after="0"/>
              <w:rPr>
                <w:sz w:val="17"/>
                <w:szCs w:val="17"/>
                <w:color w:val="auto"/>
              </w:rPr>
            </w:pPr>
          </w:p>
        </w:tc>
        <w:tc>
          <w:tcPr>
            <w:tcW w:w="2780" w:type="dxa"/>
            <w:vAlign w:val="bottom"/>
          </w:tcPr>
          <w:p>
            <w:pPr>
              <w:spacing w:after="0" w:line="207" w:lineRule="exact"/>
              <w:rPr>
                <w:sz w:val="20"/>
                <w:szCs w:val="20"/>
                <w:color w:val="auto"/>
              </w:rPr>
            </w:pPr>
            <w:r>
              <w:rPr>
                <w:rFonts w:ascii="Arial" w:cs="Arial" w:eastAsia="Arial" w:hAnsi="Arial"/>
                <w:sz w:val="20"/>
                <w:szCs w:val="20"/>
                <w:color w:val="auto"/>
              </w:rPr>
              <w:t>Apr 1 – Apr 30</w:t>
            </w:r>
          </w:p>
        </w:tc>
        <w:tc>
          <w:tcPr>
            <w:tcW w:w="240" w:type="dxa"/>
            <w:vAlign w:val="bottom"/>
          </w:tcPr>
          <w:p>
            <w:pPr>
              <w:spacing w:after="0"/>
              <w:rPr>
                <w:sz w:val="17"/>
                <w:szCs w:val="17"/>
                <w:color w:val="auto"/>
              </w:rPr>
            </w:pPr>
          </w:p>
        </w:tc>
        <w:tc>
          <w:tcPr>
            <w:tcW w:w="152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240" w:type="dxa"/>
            <w:vAlign w:val="bottom"/>
          </w:tcPr>
          <w:p>
            <w:pPr>
              <w:spacing w:after="0"/>
              <w:rPr>
                <w:sz w:val="17"/>
                <w:szCs w:val="17"/>
                <w:color w:val="auto"/>
              </w:rPr>
            </w:pPr>
          </w:p>
        </w:tc>
        <w:tc>
          <w:tcPr>
            <w:tcW w:w="580" w:type="dxa"/>
            <w:vAlign w:val="bottom"/>
          </w:tcPr>
          <w:p>
            <w:pPr>
              <w:jc w:val="right"/>
              <w:ind w:right="281"/>
              <w:spacing w:after="0" w:line="207" w:lineRule="exact"/>
              <w:rPr>
                <w:sz w:val="20"/>
                <w:szCs w:val="20"/>
                <w:color w:val="auto"/>
              </w:rPr>
            </w:pPr>
            <w:r>
              <w:rPr>
                <w:rFonts w:ascii="Arial" w:cs="Arial" w:eastAsia="Arial" w:hAnsi="Arial"/>
                <w:sz w:val="20"/>
                <w:szCs w:val="20"/>
                <w:color w:val="auto"/>
              </w:rPr>
              <w:t>$</w:t>
            </w:r>
          </w:p>
        </w:tc>
        <w:tc>
          <w:tcPr>
            <w:tcW w:w="102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220" w:type="dxa"/>
            <w:vAlign w:val="bottom"/>
          </w:tcPr>
          <w:p>
            <w:pPr>
              <w:spacing w:after="0"/>
              <w:rPr>
                <w:sz w:val="17"/>
                <w:szCs w:val="17"/>
                <w:color w:val="auto"/>
              </w:rPr>
            </w:pPr>
          </w:p>
        </w:tc>
        <w:tc>
          <w:tcPr>
            <w:tcW w:w="200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220" w:type="dxa"/>
            <w:vAlign w:val="bottom"/>
          </w:tcPr>
          <w:p>
            <w:pPr>
              <w:spacing w:after="0"/>
              <w:rPr>
                <w:sz w:val="17"/>
                <w:szCs w:val="17"/>
                <w:color w:val="auto"/>
              </w:rPr>
            </w:pPr>
          </w:p>
        </w:tc>
        <w:tc>
          <w:tcPr>
            <w:tcW w:w="26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2220" w:type="dxa"/>
            <w:vAlign w:val="bottom"/>
          </w:tcPr>
          <w:p>
            <w:pPr>
              <w:jc w:val="right"/>
              <w:spacing w:after="0" w:line="207" w:lineRule="exact"/>
              <w:rPr>
                <w:sz w:val="20"/>
                <w:szCs w:val="20"/>
                <w:color w:val="auto"/>
              </w:rPr>
            </w:pPr>
            <w:r>
              <w:rPr>
                <w:rFonts w:ascii="Arial" w:cs="Arial" w:eastAsia="Arial" w:hAnsi="Arial"/>
                <w:sz w:val="20"/>
                <w:szCs w:val="20"/>
                <w:color w:val="auto"/>
              </w:rPr>
              <w:t>2,000,000</w:t>
            </w:r>
          </w:p>
        </w:tc>
      </w:tr>
      <w:tr>
        <w:trPr>
          <w:trHeight w:val="230"/>
        </w:trPr>
        <w:tc>
          <w:tcPr>
            <w:tcW w:w="3040" w:type="dxa"/>
            <w:vAlign w:val="bottom"/>
            <w:gridSpan w:val="3"/>
          </w:tcPr>
          <w:p>
            <w:pPr>
              <w:spacing w:after="0"/>
              <w:rPr>
                <w:sz w:val="20"/>
                <w:szCs w:val="20"/>
                <w:color w:val="auto"/>
              </w:rPr>
            </w:pPr>
            <w:r>
              <w:rPr>
                <w:rFonts w:ascii="Arial" w:cs="Arial" w:eastAsia="Arial" w:hAnsi="Arial"/>
                <w:sz w:val="20"/>
                <w:szCs w:val="20"/>
                <w:color w:val="auto"/>
              </w:rPr>
              <w:t>May 1 – May 31</w:t>
            </w:r>
          </w:p>
        </w:tc>
        <w:tc>
          <w:tcPr>
            <w:tcW w:w="152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gridSpan w:val="2"/>
          </w:tcPr>
          <w:p>
            <w:pPr>
              <w:jc w:val="right"/>
              <w:ind w:right="281"/>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2220" w:type="dxa"/>
            <w:vAlign w:val="bottom"/>
          </w:tcPr>
          <w:p>
            <w:pPr>
              <w:jc w:val="right"/>
              <w:spacing w:after="0"/>
              <w:rPr>
                <w:sz w:val="20"/>
                <w:szCs w:val="20"/>
                <w:color w:val="auto"/>
              </w:rPr>
            </w:pPr>
            <w:r>
              <w:rPr>
                <w:rFonts w:ascii="Arial" w:cs="Arial" w:eastAsia="Arial" w:hAnsi="Arial"/>
                <w:sz w:val="20"/>
                <w:szCs w:val="20"/>
                <w:color w:val="auto"/>
              </w:rPr>
              <w:t>2,000,000</w:t>
            </w:r>
          </w:p>
        </w:tc>
      </w:tr>
      <w:tr>
        <w:trPr>
          <w:trHeight w:val="246"/>
        </w:trPr>
        <w:tc>
          <w:tcPr>
            <w:tcW w:w="3040" w:type="dxa"/>
            <w:vAlign w:val="bottom"/>
            <w:gridSpan w:val="3"/>
          </w:tcPr>
          <w:p>
            <w:pPr>
              <w:spacing w:after="0"/>
              <w:rPr>
                <w:sz w:val="20"/>
                <w:szCs w:val="20"/>
                <w:color w:val="auto"/>
              </w:rPr>
            </w:pPr>
            <w:r>
              <w:rPr>
                <w:rFonts w:ascii="Arial" w:cs="Arial" w:eastAsia="Arial" w:hAnsi="Arial"/>
                <w:sz w:val="20"/>
                <w:szCs w:val="20"/>
                <w:color w:val="auto"/>
              </w:rPr>
              <w:t>Jun 1 – Jun 30</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12,820,512</w:t>
            </w:r>
          </w:p>
        </w:tc>
        <w:tc>
          <w:tcPr>
            <w:tcW w:w="820" w:type="dxa"/>
            <w:vAlign w:val="bottom"/>
            <w:gridSpan w:val="2"/>
          </w:tcPr>
          <w:p>
            <w:pPr>
              <w:jc w:val="right"/>
              <w:ind w:right="281"/>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156.00</w:t>
            </w:r>
          </w:p>
        </w:tc>
        <w:tc>
          <w:tcPr>
            <w:tcW w:w="22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12,820,512</w:t>
            </w:r>
          </w:p>
        </w:tc>
        <w:tc>
          <w:tcPr>
            <w:tcW w:w="22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22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23"/>
        </w:trPr>
        <w:tc>
          <w:tcPr>
            <w:tcW w:w="20" w:type="dxa"/>
            <w:vAlign w:val="bottom"/>
          </w:tcPr>
          <w:p>
            <w:pPr>
              <w:spacing w:after="0"/>
              <w:rPr>
                <w:sz w:val="19"/>
                <w:szCs w:val="19"/>
                <w:color w:val="auto"/>
              </w:rPr>
            </w:pPr>
          </w:p>
        </w:tc>
        <w:tc>
          <w:tcPr>
            <w:tcW w:w="3020" w:type="dxa"/>
            <w:vAlign w:val="bottom"/>
            <w:gridSpan w:val="2"/>
          </w:tcPr>
          <w:p>
            <w:pPr>
              <w:ind w:left="1180"/>
              <w:spacing w:after="0" w:line="223" w:lineRule="exact"/>
              <w:rPr>
                <w:sz w:val="20"/>
                <w:szCs w:val="20"/>
                <w:color w:val="auto"/>
              </w:rPr>
            </w:pPr>
            <w:r>
              <w:rPr>
                <w:rFonts w:ascii="Arial" w:cs="Arial" w:eastAsia="Arial" w:hAnsi="Arial"/>
                <w:sz w:val="20"/>
                <w:szCs w:val="20"/>
                <w:color w:val="auto"/>
              </w:rPr>
              <w:t>Total</w:t>
            </w:r>
          </w:p>
        </w:tc>
        <w:tc>
          <w:tcPr>
            <w:tcW w:w="15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12,820,512</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¹Excluding broker commissions paid.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²Net of broker commissions paid.</w:t>
      </w:r>
    </w:p>
    <w:p>
      <w:pPr>
        <w:spacing w:after="0" w:line="216"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9"/>
          <w:szCs w:val="19"/>
          <w:b w:val="1"/>
          <w:bCs w:val="1"/>
          <w:color w:val="auto"/>
        </w:rPr>
        <w:t>DEFAULTS UPON SENIOR SECURITIES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23"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MINE SAFETY DISCLOSURES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200" w:type="dxa"/>
            <w:vAlign w:val="bottom"/>
          </w:tcPr>
          <w:p>
            <w:pPr>
              <w:spacing w:after="0"/>
              <w:rPr>
                <w:sz w:val="20"/>
                <w:szCs w:val="20"/>
                <w:color w:val="auto"/>
              </w:rPr>
            </w:pPr>
            <w:r>
              <w:rPr>
                <w:rFonts w:ascii="Arial" w:cs="Arial" w:eastAsia="Arial" w:hAnsi="Arial"/>
                <w:sz w:val="20"/>
                <w:szCs w:val="20"/>
                <w:b w:val="1"/>
                <w:bCs w:val="1"/>
                <w:color w:val="auto"/>
              </w:rPr>
              <w:t>ITEM 5.</w:t>
            </w:r>
          </w:p>
        </w:tc>
        <w:tc>
          <w:tcPr>
            <w:tcW w:w="10040" w:type="dxa"/>
            <w:vAlign w:val="bottom"/>
          </w:tcPr>
          <w:p>
            <w:pPr>
              <w:ind w:left="80"/>
              <w:spacing w:after="0"/>
              <w:rPr>
                <w:sz w:val="20"/>
                <w:szCs w:val="20"/>
                <w:color w:val="auto"/>
              </w:rPr>
            </w:pPr>
            <w:r>
              <w:rPr>
                <w:rFonts w:ascii="Arial" w:cs="Arial" w:eastAsia="Arial" w:hAnsi="Arial"/>
                <w:sz w:val="20"/>
                <w:szCs w:val="20"/>
                <w:b w:val="1"/>
                <w:bCs w:val="1"/>
                <w:color w:val="auto"/>
              </w:rPr>
              <w:t>OTHER INFORMATION</w:t>
            </w:r>
          </w:p>
        </w:tc>
      </w:tr>
      <w:tr>
        <w:trPr>
          <w:trHeight w:val="459"/>
        </w:trPr>
        <w:tc>
          <w:tcPr>
            <w:tcW w:w="1200" w:type="dxa"/>
            <w:vAlign w:val="bottom"/>
          </w:tcPr>
          <w:p>
            <w:pPr>
              <w:ind w:left="660"/>
              <w:spacing w:after="0"/>
              <w:rPr>
                <w:sz w:val="20"/>
                <w:szCs w:val="20"/>
                <w:color w:val="auto"/>
              </w:rPr>
            </w:pPr>
            <w:r>
              <w:rPr>
                <w:rFonts w:ascii="Arial" w:cs="Arial" w:eastAsia="Arial" w:hAnsi="Arial"/>
                <w:sz w:val="20"/>
                <w:szCs w:val="20"/>
                <w:color w:val="auto"/>
                <w:w w:val="97"/>
              </w:rPr>
              <w:t>None.</w:t>
            </w:r>
          </w:p>
        </w:tc>
        <w:tc>
          <w:tcPr>
            <w:tcW w:w="10040" w:type="dxa"/>
            <w:vAlign w:val="bottom"/>
          </w:tcPr>
          <w:p>
            <w:pPr>
              <w:spacing w:after="0"/>
              <w:rPr>
                <w:sz w:val="24"/>
                <w:szCs w:val="24"/>
                <w:color w:val="auto"/>
              </w:rPr>
            </w:pPr>
          </w:p>
        </w:tc>
      </w:tr>
      <w:tr>
        <w:trPr>
          <w:trHeight w:val="459"/>
        </w:trPr>
        <w:tc>
          <w:tcPr>
            <w:tcW w:w="1200" w:type="dxa"/>
            <w:vAlign w:val="bottom"/>
          </w:tcPr>
          <w:p>
            <w:pPr>
              <w:spacing w:after="0"/>
              <w:rPr>
                <w:sz w:val="20"/>
                <w:szCs w:val="20"/>
                <w:color w:val="auto"/>
              </w:rPr>
            </w:pPr>
            <w:r>
              <w:rPr>
                <w:rFonts w:ascii="Arial" w:cs="Arial" w:eastAsia="Arial" w:hAnsi="Arial"/>
                <w:sz w:val="20"/>
                <w:szCs w:val="20"/>
                <w:b w:val="1"/>
                <w:bCs w:val="1"/>
                <w:color w:val="auto"/>
              </w:rPr>
              <w:t>ITEM 6.</w:t>
            </w:r>
          </w:p>
        </w:tc>
        <w:tc>
          <w:tcPr>
            <w:tcW w:w="10040" w:type="dxa"/>
            <w:vAlign w:val="bottom"/>
          </w:tcPr>
          <w:p>
            <w:pPr>
              <w:ind w:left="80"/>
              <w:spacing w:after="0"/>
              <w:rPr>
                <w:sz w:val="20"/>
                <w:szCs w:val="20"/>
                <w:color w:val="auto"/>
              </w:rPr>
            </w:pPr>
            <w:r>
              <w:rPr>
                <w:rFonts w:ascii="Arial" w:cs="Arial" w:eastAsia="Arial" w:hAnsi="Arial"/>
                <w:sz w:val="20"/>
                <w:szCs w:val="20"/>
                <w:b w:val="1"/>
                <w:bCs w:val="1"/>
                <w:color w:val="auto"/>
              </w:rPr>
              <w:t>EXHIBITS</w:t>
            </w:r>
          </w:p>
        </w:tc>
      </w:tr>
      <w:tr>
        <w:trPr>
          <w:trHeight w:val="438"/>
        </w:trPr>
        <w:tc>
          <w:tcPr>
            <w:tcW w:w="1200" w:type="dxa"/>
            <w:vAlign w:val="bottom"/>
          </w:tcPr>
          <w:p>
            <w:pPr>
              <w:spacing w:after="0"/>
              <w:rPr>
                <w:sz w:val="20"/>
                <w:szCs w:val="20"/>
                <w:color w:val="auto"/>
              </w:rPr>
            </w:pPr>
            <w:r>
              <w:rPr>
                <w:rFonts w:ascii="Arial" w:cs="Arial" w:eastAsia="Arial" w:hAnsi="Arial"/>
                <w:sz w:val="20"/>
                <w:szCs w:val="20"/>
                <w:color w:val="auto"/>
              </w:rPr>
              <w:t>10.1*</w:t>
            </w:r>
          </w:p>
        </w:tc>
        <w:tc>
          <w:tcPr>
            <w:tcW w:w="10040" w:type="dxa"/>
            <w:vAlign w:val="bottom"/>
          </w:tcPr>
          <w:p>
            <w:pPr>
              <w:ind w:left="60"/>
              <w:spacing w:after="0"/>
              <w:rPr>
                <w:sz w:val="20"/>
                <w:szCs w:val="20"/>
                <w:color w:val="auto"/>
              </w:rPr>
            </w:pPr>
            <w:r>
              <w:rPr>
                <w:rFonts w:ascii="Arial" w:cs="Arial" w:eastAsia="Arial" w:hAnsi="Arial"/>
                <w:sz w:val="20"/>
                <w:szCs w:val="20"/>
                <w:color w:val="auto"/>
                <w:w w:val="92"/>
              </w:rPr>
              <w:t>Form of Restricted Stock Unit Agreement pursuant to the 2009 Hansen Natural Corporation Stock Incentive Plan for Non-</w:t>
            </w:r>
          </w:p>
        </w:tc>
      </w:tr>
      <w:tr>
        <w:trPr>
          <w:trHeight w:val="250"/>
        </w:trPr>
        <w:tc>
          <w:tcPr>
            <w:tcW w:w="1200" w:type="dxa"/>
            <w:vAlign w:val="bottom"/>
          </w:tcPr>
          <w:p>
            <w:pPr>
              <w:spacing w:after="0"/>
              <w:rPr>
                <w:sz w:val="21"/>
                <w:szCs w:val="21"/>
                <w:color w:val="auto"/>
              </w:rPr>
            </w:pPr>
          </w:p>
        </w:tc>
        <w:tc>
          <w:tcPr>
            <w:tcW w:w="10040" w:type="dxa"/>
            <w:vAlign w:val="bottom"/>
          </w:tcPr>
          <w:p>
            <w:pPr>
              <w:ind w:left="100"/>
              <w:spacing w:after="0"/>
              <w:rPr>
                <w:sz w:val="20"/>
                <w:szCs w:val="20"/>
                <w:color w:val="auto"/>
              </w:rPr>
            </w:pPr>
            <w:r>
              <w:rPr>
                <w:rFonts w:ascii="Arial" w:cs="Arial" w:eastAsia="Arial" w:hAnsi="Arial"/>
                <w:sz w:val="20"/>
                <w:szCs w:val="20"/>
                <w:color w:val="auto"/>
              </w:rPr>
              <w:t>Employee Directors</w:t>
            </w:r>
          </w:p>
        </w:tc>
      </w:tr>
      <w:tr>
        <w:trPr>
          <w:trHeight w:val="459"/>
        </w:trPr>
        <w:tc>
          <w:tcPr>
            <w:tcW w:w="1200" w:type="dxa"/>
            <w:vAlign w:val="bottom"/>
          </w:tcPr>
          <w:p>
            <w:pPr>
              <w:spacing w:after="0"/>
              <w:rPr>
                <w:sz w:val="20"/>
                <w:szCs w:val="20"/>
                <w:color w:val="auto"/>
              </w:rPr>
            </w:pPr>
            <w:r>
              <w:rPr>
                <w:rFonts w:ascii="Arial" w:cs="Arial" w:eastAsia="Arial" w:hAnsi="Arial"/>
                <w:sz w:val="20"/>
                <w:szCs w:val="20"/>
                <w:color w:val="auto"/>
              </w:rPr>
              <w:t>31.1*</w:t>
            </w:r>
          </w:p>
        </w:tc>
        <w:tc>
          <w:tcPr>
            <w:tcW w:w="10040" w:type="dxa"/>
            <w:vAlign w:val="bottom"/>
          </w:tcPr>
          <w:p>
            <w:pPr>
              <w:ind w:left="60"/>
              <w:spacing w:after="0"/>
              <w:rPr>
                <w:sz w:val="20"/>
                <w:szCs w:val="20"/>
                <w:color w:val="auto"/>
              </w:rPr>
            </w:pPr>
            <w:r>
              <w:rPr>
                <w:rFonts w:ascii="Arial" w:cs="Arial" w:eastAsia="Arial" w:hAnsi="Arial"/>
                <w:sz w:val="20"/>
                <w:szCs w:val="20"/>
                <w:color w:val="auto"/>
              </w:rPr>
              <w:t>Certification of Chief Executive Officer Pursuant to Section 302 of the Sarbanes-Oxley Act of 2002</w:t>
            </w:r>
          </w:p>
        </w:tc>
      </w:tr>
      <w:tr>
        <w:trPr>
          <w:trHeight w:val="459"/>
        </w:trPr>
        <w:tc>
          <w:tcPr>
            <w:tcW w:w="1200" w:type="dxa"/>
            <w:vAlign w:val="bottom"/>
          </w:tcPr>
          <w:p>
            <w:pPr>
              <w:spacing w:after="0"/>
              <w:rPr>
                <w:sz w:val="20"/>
                <w:szCs w:val="20"/>
                <w:color w:val="auto"/>
              </w:rPr>
            </w:pPr>
            <w:r>
              <w:rPr>
                <w:rFonts w:ascii="Arial" w:cs="Arial" w:eastAsia="Arial" w:hAnsi="Arial"/>
                <w:sz w:val="20"/>
                <w:szCs w:val="20"/>
                <w:color w:val="auto"/>
              </w:rPr>
              <w:t>31.2*</w:t>
            </w:r>
          </w:p>
        </w:tc>
        <w:tc>
          <w:tcPr>
            <w:tcW w:w="10040" w:type="dxa"/>
            <w:vAlign w:val="bottom"/>
          </w:tcPr>
          <w:p>
            <w:pPr>
              <w:ind w:left="60"/>
              <w:spacing w:after="0"/>
              <w:rPr>
                <w:sz w:val="20"/>
                <w:szCs w:val="20"/>
                <w:color w:val="auto"/>
              </w:rPr>
            </w:pPr>
            <w:r>
              <w:rPr>
                <w:rFonts w:ascii="Arial" w:cs="Arial" w:eastAsia="Arial" w:hAnsi="Arial"/>
                <w:sz w:val="20"/>
                <w:szCs w:val="20"/>
                <w:color w:val="auto"/>
              </w:rPr>
              <w:t>Certification of Chief Financial Officer Pursuant to Section 302 of the Sarbanes-Oxley Act of 2002</w:t>
            </w:r>
          </w:p>
        </w:tc>
      </w:tr>
      <w:tr>
        <w:trPr>
          <w:trHeight w:val="438"/>
        </w:trPr>
        <w:tc>
          <w:tcPr>
            <w:tcW w:w="1200" w:type="dxa"/>
            <w:vAlign w:val="bottom"/>
          </w:tcPr>
          <w:p>
            <w:pPr>
              <w:spacing w:after="0"/>
              <w:rPr>
                <w:sz w:val="20"/>
                <w:szCs w:val="20"/>
                <w:color w:val="auto"/>
              </w:rPr>
            </w:pPr>
            <w:r>
              <w:rPr>
                <w:rFonts w:ascii="Arial" w:cs="Arial" w:eastAsia="Arial" w:hAnsi="Arial"/>
                <w:sz w:val="20"/>
                <w:szCs w:val="20"/>
                <w:color w:val="auto"/>
              </w:rPr>
              <w:t>32.1*</w:t>
            </w:r>
          </w:p>
        </w:tc>
        <w:tc>
          <w:tcPr>
            <w:tcW w:w="10040" w:type="dxa"/>
            <w:vAlign w:val="bottom"/>
          </w:tcPr>
          <w:p>
            <w:pPr>
              <w:ind w:left="60"/>
              <w:spacing w:after="0"/>
              <w:rPr>
                <w:sz w:val="20"/>
                <w:szCs w:val="20"/>
                <w:color w:val="auto"/>
              </w:rPr>
            </w:pPr>
            <w:r>
              <w:rPr>
                <w:rFonts w:ascii="Arial" w:cs="Arial" w:eastAsia="Arial" w:hAnsi="Arial"/>
                <w:sz w:val="20"/>
                <w:szCs w:val="20"/>
                <w:color w:val="auto"/>
                <w:w w:val="95"/>
              </w:rPr>
              <w:t>Certification of Chief Executive Officer Pursuant to 18 U.S.C. Section 1350, as Adopted Pursuant to Section 906 of the</w:t>
            </w:r>
          </w:p>
        </w:tc>
      </w:tr>
      <w:tr>
        <w:trPr>
          <w:trHeight w:val="250"/>
        </w:trPr>
        <w:tc>
          <w:tcPr>
            <w:tcW w:w="1200" w:type="dxa"/>
            <w:vAlign w:val="bottom"/>
          </w:tcPr>
          <w:p>
            <w:pPr>
              <w:spacing w:after="0"/>
              <w:rPr>
                <w:sz w:val="21"/>
                <w:szCs w:val="21"/>
                <w:color w:val="auto"/>
              </w:rPr>
            </w:pPr>
          </w:p>
        </w:tc>
        <w:tc>
          <w:tcPr>
            <w:tcW w:w="10040" w:type="dxa"/>
            <w:vAlign w:val="bottom"/>
          </w:tcPr>
          <w:p>
            <w:pPr>
              <w:ind w:left="100"/>
              <w:spacing w:after="0"/>
              <w:rPr>
                <w:sz w:val="20"/>
                <w:szCs w:val="20"/>
                <w:color w:val="auto"/>
              </w:rPr>
            </w:pPr>
            <w:r>
              <w:rPr>
                <w:rFonts w:ascii="Arial" w:cs="Arial" w:eastAsia="Arial" w:hAnsi="Arial"/>
                <w:sz w:val="20"/>
                <w:szCs w:val="20"/>
                <w:color w:val="auto"/>
              </w:rPr>
              <w:t>Sarbanes-Oxley Act of 2002</w:t>
            </w:r>
          </w:p>
        </w:tc>
      </w:tr>
      <w:tr>
        <w:trPr>
          <w:trHeight w:val="438"/>
        </w:trPr>
        <w:tc>
          <w:tcPr>
            <w:tcW w:w="1200" w:type="dxa"/>
            <w:vAlign w:val="bottom"/>
          </w:tcPr>
          <w:p>
            <w:pPr>
              <w:spacing w:after="0"/>
              <w:rPr>
                <w:sz w:val="20"/>
                <w:szCs w:val="20"/>
                <w:color w:val="auto"/>
              </w:rPr>
            </w:pPr>
            <w:r>
              <w:rPr>
                <w:rFonts w:ascii="Arial" w:cs="Arial" w:eastAsia="Arial" w:hAnsi="Arial"/>
                <w:sz w:val="20"/>
                <w:szCs w:val="20"/>
                <w:color w:val="auto"/>
              </w:rPr>
              <w:t>32.2*</w:t>
            </w:r>
          </w:p>
        </w:tc>
        <w:tc>
          <w:tcPr>
            <w:tcW w:w="10040" w:type="dxa"/>
            <w:vAlign w:val="bottom"/>
          </w:tcPr>
          <w:p>
            <w:pPr>
              <w:ind w:left="60"/>
              <w:spacing w:after="0"/>
              <w:rPr>
                <w:sz w:val="20"/>
                <w:szCs w:val="20"/>
                <w:color w:val="auto"/>
              </w:rPr>
            </w:pPr>
            <w:r>
              <w:rPr>
                <w:rFonts w:ascii="Arial" w:cs="Arial" w:eastAsia="Arial" w:hAnsi="Arial"/>
                <w:sz w:val="20"/>
                <w:szCs w:val="20"/>
                <w:color w:val="auto"/>
                <w:w w:val="95"/>
              </w:rPr>
              <w:t>Certification by Chief Financial Officer Pursuant to 18 U.S.C. Section 1350, as Adopted Pursuant to Section 906 of the</w:t>
            </w:r>
          </w:p>
        </w:tc>
      </w:tr>
      <w:tr>
        <w:trPr>
          <w:trHeight w:val="250"/>
        </w:trPr>
        <w:tc>
          <w:tcPr>
            <w:tcW w:w="1200" w:type="dxa"/>
            <w:vAlign w:val="bottom"/>
          </w:tcPr>
          <w:p>
            <w:pPr>
              <w:spacing w:after="0"/>
              <w:rPr>
                <w:sz w:val="21"/>
                <w:szCs w:val="21"/>
                <w:color w:val="auto"/>
              </w:rPr>
            </w:pPr>
          </w:p>
        </w:tc>
        <w:tc>
          <w:tcPr>
            <w:tcW w:w="10040" w:type="dxa"/>
            <w:vAlign w:val="bottom"/>
          </w:tcPr>
          <w:p>
            <w:pPr>
              <w:ind w:left="100"/>
              <w:spacing w:after="0"/>
              <w:rPr>
                <w:sz w:val="20"/>
                <w:szCs w:val="20"/>
                <w:color w:val="auto"/>
              </w:rPr>
            </w:pPr>
            <w:r>
              <w:rPr>
                <w:rFonts w:ascii="Arial" w:cs="Arial" w:eastAsia="Arial" w:hAnsi="Arial"/>
                <w:sz w:val="20"/>
                <w:szCs w:val="20"/>
                <w:color w:val="auto"/>
              </w:rPr>
              <w:t>Sarbanes-Oxley Act of 2002</w:t>
            </w:r>
          </w:p>
        </w:tc>
      </w:tr>
      <w:tr>
        <w:trPr>
          <w:trHeight w:val="438"/>
        </w:trPr>
        <w:tc>
          <w:tcPr>
            <w:tcW w:w="1200" w:type="dxa"/>
            <w:vAlign w:val="bottom"/>
          </w:tcPr>
          <w:p>
            <w:pPr>
              <w:spacing w:after="0"/>
              <w:rPr>
                <w:sz w:val="20"/>
                <w:szCs w:val="20"/>
                <w:color w:val="auto"/>
              </w:rPr>
            </w:pPr>
            <w:r>
              <w:rPr>
                <w:rFonts w:ascii="Arial" w:cs="Arial" w:eastAsia="Arial" w:hAnsi="Arial"/>
                <w:sz w:val="20"/>
                <w:szCs w:val="20"/>
                <w:color w:val="auto"/>
              </w:rPr>
              <w:t>101*</w:t>
            </w:r>
          </w:p>
        </w:tc>
        <w:tc>
          <w:tcPr>
            <w:tcW w:w="10040" w:type="dxa"/>
            <w:vAlign w:val="bottom"/>
          </w:tcPr>
          <w:p>
            <w:pPr>
              <w:ind w:left="60"/>
              <w:spacing w:after="0"/>
              <w:rPr>
                <w:sz w:val="20"/>
                <w:szCs w:val="20"/>
                <w:color w:val="auto"/>
              </w:rPr>
            </w:pPr>
            <w:r>
              <w:rPr>
                <w:rFonts w:ascii="Arial" w:cs="Arial" w:eastAsia="Arial" w:hAnsi="Arial"/>
                <w:sz w:val="20"/>
                <w:szCs w:val="20"/>
                <w:color w:val="auto"/>
                <w:w w:val="94"/>
              </w:rPr>
              <w:t>The following financial information from Monster Beverage Corporation’s Quarterly Report on Form 10-Q for the quarter</w:t>
            </w:r>
          </w:p>
        </w:tc>
      </w:tr>
      <w:tr>
        <w:trPr>
          <w:trHeight w:val="230"/>
        </w:trPr>
        <w:tc>
          <w:tcPr>
            <w:tcW w:w="1200" w:type="dxa"/>
            <w:vAlign w:val="bottom"/>
          </w:tcPr>
          <w:p>
            <w:pPr>
              <w:spacing w:after="0"/>
              <w:rPr>
                <w:sz w:val="19"/>
                <w:szCs w:val="19"/>
                <w:color w:val="auto"/>
              </w:rPr>
            </w:pPr>
          </w:p>
        </w:tc>
        <w:tc>
          <w:tcPr>
            <w:tcW w:w="10040" w:type="dxa"/>
            <w:vAlign w:val="bottom"/>
          </w:tcPr>
          <w:p>
            <w:pPr>
              <w:ind w:left="100"/>
              <w:spacing w:after="0"/>
              <w:rPr>
                <w:sz w:val="20"/>
                <w:szCs w:val="20"/>
                <w:color w:val="auto"/>
              </w:rPr>
            </w:pPr>
            <w:r>
              <w:rPr>
                <w:rFonts w:ascii="Arial" w:cs="Arial" w:eastAsia="Arial" w:hAnsi="Arial"/>
                <w:sz w:val="20"/>
                <w:szCs w:val="20"/>
                <w:color w:val="auto"/>
                <w:w w:val="91"/>
              </w:rPr>
              <w:t>ended June 30, 2016, formatted in XBRL (eXtensible Business Reporting Language): (i) Condensed Consolidated Balance</w:t>
            </w:r>
          </w:p>
        </w:tc>
      </w:tr>
      <w:tr>
        <w:trPr>
          <w:trHeight w:val="246"/>
        </w:trPr>
        <w:tc>
          <w:tcPr>
            <w:tcW w:w="1200" w:type="dxa"/>
            <w:vAlign w:val="bottom"/>
          </w:tcPr>
          <w:p>
            <w:pPr>
              <w:spacing w:after="0"/>
              <w:rPr>
                <w:sz w:val="21"/>
                <w:szCs w:val="21"/>
                <w:color w:val="auto"/>
              </w:rPr>
            </w:pPr>
          </w:p>
        </w:tc>
        <w:tc>
          <w:tcPr>
            <w:tcW w:w="10040" w:type="dxa"/>
            <w:vAlign w:val="bottom"/>
          </w:tcPr>
          <w:p>
            <w:pPr>
              <w:ind w:left="100"/>
              <w:spacing w:after="0"/>
              <w:rPr>
                <w:sz w:val="20"/>
                <w:szCs w:val="20"/>
                <w:color w:val="auto"/>
              </w:rPr>
            </w:pPr>
            <w:r>
              <w:rPr>
                <w:rFonts w:ascii="Arial" w:cs="Arial" w:eastAsia="Arial" w:hAnsi="Arial"/>
                <w:sz w:val="20"/>
                <w:szCs w:val="20"/>
                <w:color w:val="auto"/>
                <w:w w:val="88"/>
              </w:rPr>
              <w:t>Sheets as of June 30, 2016 and December 31, 2015, (ii) Condensed Consolidated Statements of Income for the three- and six-</w:t>
            </w:r>
          </w:p>
        </w:tc>
      </w:tr>
    </w:tbl>
    <w:p>
      <w:pPr>
        <w:jc w:val="both"/>
        <w:ind w:left="1300" w:right="220"/>
        <w:spacing w:after="0" w:line="260" w:lineRule="auto"/>
        <w:rPr>
          <w:sz w:val="20"/>
          <w:szCs w:val="20"/>
          <w:color w:val="auto"/>
        </w:rPr>
      </w:pPr>
      <w:r>
        <w:rPr>
          <w:rFonts w:ascii="Arial" w:cs="Arial" w:eastAsia="Arial" w:hAnsi="Arial"/>
          <w:sz w:val="19"/>
          <w:szCs w:val="19"/>
          <w:color w:val="auto"/>
        </w:rPr>
        <w:t>months ended June 30, 2016 and 2015, (iii) Condensed Consolidated Statements of Comprehensive Income for the three-and six-months ended June 30, 2016 and 2015, (iv) Condensed Consolidated Statements of Cash Flows for the six-months ended June 30, 2016 and 2015, and (v) the Notes to Condensed Consolidated Financial Statements.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Filed herewith</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3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20"/>
                <w:szCs w:val="20"/>
                <w:color w:val="auto"/>
                <w:w w:val="93"/>
              </w:rPr>
              <w:t>MONSTER BEVERAGE CORPORATION</w:t>
            </w:r>
          </w:p>
        </w:tc>
      </w:tr>
      <w:tr>
        <w:trPr>
          <w:trHeight w:val="250"/>
        </w:trPr>
        <w:tc>
          <w:tcPr>
            <w:tcW w:w="5720" w:type="dxa"/>
            <w:vAlign w:val="bottom"/>
          </w:tcPr>
          <w:p>
            <w:pPr>
              <w:spacing w:after="0"/>
              <w:rPr>
                <w:sz w:val="21"/>
                <w:szCs w:val="21"/>
                <w:color w:val="auto"/>
              </w:rPr>
            </w:pPr>
          </w:p>
        </w:tc>
        <w:tc>
          <w:tcPr>
            <w:tcW w:w="3480" w:type="dxa"/>
            <w:vAlign w:val="bottom"/>
            <w:gridSpan w:val="2"/>
          </w:tcPr>
          <w:p>
            <w:pPr>
              <w:spacing w:after="0"/>
              <w:rPr>
                <w:sz w:val="20"/>
                <w:szCs w:val="20"/>
                <w:color w:val="auto"/>
              </w:rPr>
            </w:pPr>
            <w:r>
              <w:rPr>
                <w:rFonts w:ascii="Arial" w:cs="Arial" w:eastAsia="Arial" w:hAnsi="Arial"/>
                <w:sz w:val="20"/>
                <w:szCs w:val="20"/>
                <w:color w:val="auto"/>
              </w:rPr>
              <w:t>Registrant</w:t>
            </w:r>
          </w:p>
        </w:tc>
      </w:tr>
      <w:tr>
        <w:trPr>
          <w:trHeight w:val="644"/>
        </w:trPr>
        <w:tc>
          <w:tcPr>
            <w:tcW w:w="5720" w:type="dxa"/>
            <w:vAlign w:val="bottom"/>
          </w:tcPr>
          <w:p>
            <w:pPr>
              <w:spacing w:after="0"/>
              <w:rPr>
                <w:sz w:val="20"/>
                <w:szCs w:val="20"/>
                <w:color w:val="auto"/>
              </w:rPr>
            </w:pPr>
            <w:r>
              <w:rPr>
                <w:rFonts w:ascii="Arial" w:cs="Arial" w:eastAsia="Arial" w:hAnsi="Arial"/>
                <w:sz w:val="20"/>
                <w:szCs w:val="20"/>
                <w:color w:val="auto"/>
              </w:rPr>
              <w:t>Date: August 5, 2016</w:t>
            </w:r>
          </w:p>
        </w:tc>
        <w:tc>
          <w:tcPr>
            <w:tcW w:w="3480" w:type="dxa"/>
            <w:vAlign w:val="bottom"/>
            <w:gridSpan w:val="2"/>
          </w:tcPr>
          <w:p>
            <w:pPr>
              <w:spacing w:after="0"/>
              <w:rPr>
                <w:sz w:val="20"/>
                <w:szCs w:val="20"/>
                <w:color w:val="auto"/>
              </w:rPr>
            </w:pPr>
            <w:r>
              <w:rPr>
                <w:rFonts w:ascii="Arial" w:cs="Arial" w:eastAsia="Arial" w:hAnsi="Arial"/>
                <w:sz w:val="20"/>
                <w:szCs w:val="20"/>
                <w:color w:val="auto"/>
              </w:rPr>
              <w:t>/s/ RODNEY C. SACKS</w:t>
            </w:r>
          </w:p>
        </w:tc>
      </w:tr>
      <w:tr>
        <w:trPr>
          <w:trHeight w:val="233"/>
        </w:trPr>
        <w:tc>
          <w:tcPr>
            <w:tcW w:w="5720" w:type="dxa"/>
            <w:vAlign w:val="bottom"/>
          </w:tcPr>
          <w:p>
            <w:pPr>
              <w:spacing w:after="0"/>
              <w:rPr>
                <w:sz w:val="20"/>
                <w:szCs w:val="20"/>
                <w:color w:val="auto"/>
              </w:rPr>
            </w:pPr>
          </w:p>
        </w:tc>
        <w:tc>
          <w:tcPr>
            <w:tcW w:w="198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Rodney C. Sacks</w:t>
            </w:r>
          </w:p>
        </w:tc>
        <w:tc>
          <w:tcPr>
            <w:tcW w:w="1500" w:type="dxa"/>
            <w:vAlign w:val="bottom"/>
          </w:tcPr>
          <w:p>
            <w:pPr>
              <w:spacing w:after="0"/>
              <w:rPr>
                <w:sz w:val="20"/>
                <w:szCs w:val="20"/>
                <w:color w:val="auto"/>
              </w:rPr>
            </w:pPr>
          </w:p>
        </w:tc>
      </w:tr>
      <w:tr>
        <w:trPr>
          <w:trHeight w:val="230"/>
        </w:trPr>
        <w:tc>
          <w:tcPr>
            <w:tcW w:w="572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20"/>
                <w:szCs w:val="20"/>
                <w:color w:val="auto"/>
              </w:rPr>
              <w:t>Chairman of the Board of Directors</w:t>
            </w:r>
          </w:p>
        </w:tc>
      </w:tr>
      <w:tr>
        <w:trPr>
          <w:trHeight w:val="250"/>
        </w:trPr>
        <w:tc>
          <w:tcPr>
            <w:tcW w:w="5720" w:type="dxa"/>
            <w:vAlign w:val="bottom"/>
          </w:tcPr>
          <w:p>
            <w:pPr>
              <w:spacing w:after="0"/>
              <w:rPr>
                <w:sz w:val="21"/>
                <w:szCs w:val="21"/>
                <w:color w:val="auto"/>
              </w:rPr>
            </w:pPr>
          </w:p>
        </w:tc>
        <w:tc>
          <w:tcPr>
            <w:tcW w:w="3480" w:type="dxa"/>
            <w:vAlign w:val="bottom"/>
            <w:gridSpan w:val="2"/>
          </w:tcPr>
          <w:p>
            <w:pPr>
              <w:spacing w:after="0"/>
              <w:rPr>
                <w:sz w:val="20"/>
                <w:szCs w:val="20"/>
                <w:color w:val="auto"/>
              </w:rPr>
            </w:pPr>
            <w:r>
              <w:rPr>
                <w:rFonts w:ascii="Arial" w:cs="Arial" w:eastAsia="Arial" w:hAnsi="Arial"/>
                <w:sz w:val="20"/>
                <w:szCs w:val="20"/>
                <w:color w:val="auto"/>
              </w:rPr>
              <w:t>and Chief Executive Officer</w:t>
            </w:r>
          </w:p>
        </w:tc>
      </w:tr>
    </w:tbl>
    <w:p>
      <w:pPr>
        <w:spacing w:after="0" w:line="200" w:lineRule="exact"/>
        <w:rPr>
          <w:sz w:val="20"/>
          <w:szCs w:val="20"/>
          <w:color w:val="auto"/>
        </w:rPr>
      </w:pPr>
    </w:p>
    <w:p>
      <w:pPr>
        <w:sectPr>
          <w:pgSz w:w="11900" w:h="16838" w:orient="portrait"/>
          <w:cols w:equalWidth="0" w:num="1">
            <w:col w:w="11420"/>
          </w:cols>
          <w:pgMar w:left="240" w:top="121" w:right="239" w:bottom="69" w:gutter="0" w:footer="0" w:header="0"/>
        </w:sectPr>
      </w:pP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69" w:gutter="0" w:footer="0" w:header="0"/>
          <w:type w:val="continuous"/>
        </w:sectPr>
      </w:pPr>
    </w:p>
    <w:bookmarkStart w:id="37" w:name="page38"/>
    <w:bookmarkEnd w:id="37"/>
    <w:p>
      <w:pPr>
        <w:spacing w:after="0" w:line="16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RESTRICTED STOCK UNIT AGREEMENT</w:t>
      </w:r>
    </w:p>
    <w:p>
      <w:pPr>
        <w:spacing w:after="0" w:line="200" w:lineRule="exact"/>
        <w:rPr>
          <w:sz w:val="20"/>
          <w:szCs w:val="20"/>
          <w:color w:val="auto"/>
        </w:rPr>
      </w:pPr>
    </w:p>
    <w:p>
      <w:pPr>
        <w:spacing w:after="0" w:line="26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This Restricted Stock Unit Agreement (“Agreement”), is made as of ___________, 2016 (the “Grant Date”), by and</w:t>
      </w:r>
    </w:p>
    <w:p>
      <w:pPr>
        <w:spacing w:after="0" w:line="83" w:lineRule="exact"/>
        <w:rPr>
          <w:sz w:val="20"/>
          <w:szCs w:val="20"/>
          <w:color w:val="auto"/>
        </w:rPr>
      </w:pPr>
    </w:p>
    <w:p>
      <w:pPr>
        <w:spacing w:after="0"/>
        <w:rPr>
          <w:sz w:val="20"/>
          <w:szCs w:val="20"/>
          <w:color w:val="auto"/>
        </w:rPr>
      </w:pPr>
      <w:r>
        <w:rPr>
          <w:rFonts w:ascii="Arial" w:cs="Arial" w:eastAsia="Arial" w:hAnsi="Arial"/>
          <w:sz w:val="22"/>
          <w:szCs w:val="22"/>
          <w:color w:val="auto"/>
        </w:rPr>
        <w:t>between Monster Beverage Corporation, a Delaware corporation (the “Company”), and ___________ (“Holder”).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Preliminary Recitals</w:t>
      </w:r>
    </w:p>
    <w:p>
      <w:pPr>
        <w:spacing w:after="0" w:line="200" w:lineRule="exact"/>
        <w:rPr>
          <w:sz w:val="20"/>
          <w:szCs w:val="20"/>
          <w:color w:val="auto"/>
        </w:rPr>
      </w:pPr>
    </w:p>
    <w:p>
      <w:pPr>
        <w:spacing w:after="0" w:line="263" w:lineRule="exact"/>
        <w:rPr>
          <w:sz w:val="20"/>
          <w:szCs w:val="20"/>
          <w:color w:val="auto"/>
        </w:rPr>
      </w:pPr>
    </w:p>
    <w:p>
      <w:pPr>
        <w:ind w:left="1600" w:hanging="944"/>
        <w:spacing w:after="0"/>
        <w:tabs>
          <w:tab w:leader="none" w:pos="1600" w:val="left"/>
        </w:tabs>
        <w:numPr>
          <w:ilvl w:val="0"/>
          <w:numId w:val="37"/>
        </w:numPr>
        <w:rPr>
          <w:rFonts w:ascii="Arial" w:cs="Arial" w:eastAsia="Arial" w:hAnsi="Arial"/>
          <w:sz w:val="19"/>
          <w:szCs w:val="19"/>
          <w:color w:val="auto"/>
        </w:rPr>
      </w:pPr>
      <w:r>
        <w:rPr>
          <w:rFonts w:ascii="Arial" w:cs="Arial" w:eastAsia="Arial" w:hAnsi="Arial"/>
          <w:sz w:val="19"/>
          <w:szCs w:val="19"/>
          <w:color w:val="auto"/>
        </w:rPr>
        <w:t>Holder is a member of the Board of Directors of the Company (the “Board”) who: (i) is not an employee of the</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color w:val="auto"/>
        </w:rPr>
        <w:t>Company or its subsidiaries or its Affiliates; (ii) does not serve as a consultant of the Company or its subsidiaries or Affiliates and</w:t>
      </w:r>
    </w:p>
    <w:p>
      <w:pPr>
        <w:spacing w:after="0" w:line="106" w:lineRule="exact"/>
        <w:rPr>
          <w:sz w:val="20"/>
          <w:szCs w:val="20"/>
          <w:color w:val="auto"/>
        </w:rPr>
      </w:pPr>
    </w:p>
    <w:p>
      <w:pPr>
        <w:ind w:left="380" w:hanging="372"/>
        <w:spacing w:after="0"/>
        <w:tabs>
          <w:tab w:leader="none" w:pos="380"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Company is not contractually obligated to nominate as a Director.</w:t>
      </w:r>
    </w:p>
    <w:p>
      <w:pPr>
        <w:spacing w:after="0" w:line="7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B.</w:t>
      </w:r>
      <w:r>
        <w:rPr>
          <w:rFonts w:ascii="Arial" w:cs="Arial" w:eastAsia="Arial" w:hAnsi="Arial"/>
          <w:sz w:val="19"/>
          <w:szCs w:val="19"/>
          <w:color w:val="auto"/>
        </w:rPr>
        <w:t>Pursuant to the 2009 Monster Beverage Corporation Stock Incentive Plan for Non-Employee Directors (the “Plan”),</w:t>
      </w:r>
    </w:p>
    <w:p>
      <w:pPr>
        <w:spacing w:after="0" w:line="125" w:lineRule="exact"/>
        <w:rPr>
          <w:sz w:val="20"/>
          <w:szCs w:val="20"/>
          <w:color w:val="auto"/>
        </w:rPr>
      </w:pPr>
    </w:p>
    <w:p>
      <w:pPr>
        <w:spacing w:after="0" w:line="307" w:lineRule="auto"/>
        <w:rPr>
          <w:sz w:val="20"/>
          <w:szCs w:val="20"/>
          <w:color w:val="auto"/>
        </w:rPr>
      </w:pPr>
      <w:r>
        <w:rPr>
          <w:rFonts w:ascii="Arial" w:cs="Arial" w:eastAsia="Arial" w:hAnsi="Arial"/>
          <w:sz w:val="22"/>
          <w:szCs w:val="22"/>
          <w:color w:val="auto"/>
        </w:rPr>
        <w:t>the Company desires to grant Holder Restricted Stock Units subject to the terms and conditions of the Plan and subject further to the terms and conditions set forth below.</w:t>
      </w:r>
    </w:p>
    <w:p>
      <w:pPr>
        <w:spacing w:after="0" w:line="1"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21"/>
          <w:szCs w:val="21"/>
          <w:color w:val="auto"/>
        </w:rPr>
      </w:pPr>
      <w:r>
        <w:rPr>
          <w:rFonts w:ascii="Arial" w:cs="Arial" w:eastAsia="Arial" w:hAnsi="Arial"/>
          <w:sz w:val="21"/>
          <w:szCs w:val="21"/>
          <w:color w:val="auto"/>
        </w:rPr>
        <w:t>Capitalized terms not otherwise defined in this Agreement shall have the meaning given to them in the Plan.</w:t>
      </w:r>
    </w:p>
    <w:p>
      <w:pPr>
        <w:spacing w:after="0" w:line="200" w:lineRule="exact"/>
        <w:rPr>
          <w:sz w:val="20"/>
          <w:szCs w:val="20"/>
          <w:color w:val="auto"/>
        </w:rPr>
      </w:pPr>
    </w:p>
    <w:p>
      <w:pPr>
        <w:spacing w:after="0" w:line="32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Company and Holder agree as follows:</w:t>
      </w:r>
    </w:p>
    <w:p>
      <w:pPr>
        <w:spacing w:after="0" w:line="200" w:lineRule="exact"/>
        <w:rPr>
          <w:sz w:val="20"/>
          <w:szCs w:val="20"/>
          <w:color w:val="auto"/>
        </w:rPr>
      </w:pPr>
    </w:p>
    <w:p>
      <w:pPr>
        <w:spacing w:after="0" w:line="263" w:lineRule="exact"/>
        <w:rPr>
          <w:sz w:val="20"/>
          <w:szCs w:val="20"/>
          <w:color w:val="auto"/>
        </w:rPr>
      </w:pPr>
    </w:p>
    <w:p>
      <w:pPr>
        <w:ind w:firstLine="656"/>
        <w:spacing w:after="0" w:line="476" w:lineRule="auto"/>
        <w:tabs>
          <w:tab w:leader="none" w:pos="1405"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Grant of Restricted Stock Units</w:t>
      </w:r>
      <w:r>
        <w:rPr>
          <w:rFonts w:ascii="Arial" w:cs="Arial" w:eastAsia="Arial" w:hAnsi="Arial"/>
          <w:sz w:val="19"/>
          <w:szCs w:val="19"/>
          <w:color w:val="auto"/>
        </w:rPr>
        <w:t>. The Company hereby grants to the Holder, subject to the terms and conditions set forth herein and in the Plan, ____ Restricted Stock Units, each of which shall be deemed to be the equivalent of one Share.</w:t>
      </w:r>
    </w:p>
    <w:p>
      <w:pPr>
        <w:spacing w:after="0" w:line="267" w:lineRule="exact"/>
        <w:rPr>
          <w:rFonts w:ascii="Arial" w:cs="Arial" w:eastAsia="Arial" w:hAnsi="Arial"/>
          <w:sz w:val="19"/>
          <w:szCs w:val="19"/>
          <w:color w:val="auto"/>
        </w:rPr>
      </w:pPr>
    </w:p>
    <w:p>
      <w:pPr>
        <w:ind w:left="1340" w:hanging="684"/>
        <w:spacing w:after="0"/>
        <w:tabs>
          <w:tab w:leader="none" w:pos="1340"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Vesting</w:t>
      </w:r>
      <w:r>
        <w:rPr>
          <w:rFonts w:ascii="Arial" w:cs="Arial" w:eastAsia="Arial" w:hAnsi="Arial"/>
          <w:sz w:val="19"/>
          <w:szCs w:val="19"/>
          <w:color w:val="auto"/>
        </w:rPr>
        <w:t>. The Restricted Stock Units shall vest with respect to 100% of such Restricted Stock Units upon the earliest</w:t>
      </w:r>
    </w:p>
    <w:p>
      <w:pPr>
        <w:spacing w:after="0" w:line="160" w:lineRule="exact"/>
        <w:rPr>
          <w:sz w:val="20"/>
          <w:szCs w:val="20"/>
          <w:color w:val="auto"/>
        </w:rPr>
      </w:pPr>
    </w:p>
    <w:p>
      <w:pPr>
        <w:jc w:val="both"/>
        <w:spacing w:after="0" w:line="333" w:lineRule="auto"/>
        <w:rPr>
          <w:sz w:val="20"/>
          <w:szCs w:val="20"/>
          <w:color w:val="auto"/>
        </w:rPr>
      </w:pPr>
      <w:r>
        <w:rPr>
          <w:rFonts w:ascii="Arial" w:cs="Arial" w:eastAsia="Arial" w:hAnsi="Arial"/>
          <w:sz w:val="21"/>
          <w:szCs w:val="21"/>
          <w:color w:val="auto"/>
        </w:rPr>
        <w:t>to occur of (a) the last business day prior to the date of the Company’s annual shareholder meeting in the calendar year following the calendar year in which the Grant Date occurs, (b) a Change of Control, (c) the Holder’s death and (d) the date of the termination of the Holder’s service with the Company by the Company due to the Holder’s Disability (such date, the “Vesting Date”), in each case provided that the Holder remains an Eligible Director through the applicable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163830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300" w:hanging="644"/>
        <w:spacing w:after="0"/>
        <w:tabs>
          <w:tab w:leader="none" w:pos="1300"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Payment of Restricted Stock Units.</w:t>
      </w:r>
      <w:r>
        <w:rPr>
          <w:rFonts w:ascii="Arial" w:cs="Arial" w:eastAsia="Arial" w:hAnsi="Arial"/>
          <w:sz w:val="19"/>
          <w:szCs w:val="19"/>
          <w:color w:val="auto"/>
        </w:rPr>
        <w:t xml:space="preserve">  The Company shall make a payment to the Holder of the Restricted Stock Units</w:t>
      </w:r>
    </w:p>
    <w:p>
      <w:pPr>
        <w:spacing w:after="0" w:line="160" w:lineRule="exact"/>
        <w:rPr>
          <w:sz w:val="20"/>
          <w:szCs w:val="20"/>
          <w:color w:val="auto"/>
        </w:rPr>
      </w:pPr>
    </w:p>
    <w:p>
      <w:pPr>
        <w:spacing w:after="0" w:line="417" w:lineRule="auto"/>
        <w:rPr>
          <w:sz w:val="20"/>
          <w:szCs w:val="20"/>
          <w:color w:val="auto"/>
        </w:rPr>
      </w:pPr>
      <w:r>
        <w:rPr>
          <w:rFonts w:ascii="Arial" w:cs="Arial" w:eastAsia="Arial" w:hAnsi="Arial"/>
          <w:sz w:val="19"/>
          <w:szCs w:val="19"/>
          <w:color w:val="auto"/>
        </w:rPr>
        <w:t>on the earliest practicable date (but no later than thirty (30) days after the Vesting Date) in the form of Shares equal to the number of vested Restricted Stock Units or the cash equivalent of such shares as of the Vesting Date, as determined by the Board.</w:t>
      </w:r>
    </w:p>
    <w:p>
      <w:pPr>
        <w:spacing w:after="0" w:line="321" w:lineRule="exact"/>
        <w:rPr>
          <w:sz w:val="20"/>
          <w:szCs w:val="20"/>
          <w:color w:val="auto"/>
        </w:rPr>
      </w:pPr>
    </w:p>
    <w:p>
      <w:pPr>
        <w:ind w:firstLine="656"/>
        <w:spacing w:after="0" w:line="379" w:lineRule="auto"/>
        <w:tabs>
          <w:tab w:leader="none" w:pos="1432"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Nontransferability</w:t>
      </w:r>
      <w:r>
        <w:rPr>
          <w:rFonts w:ascii="Arial" w:cs="Arial" w:eastAsia="Arial" w:hAnsi="Arial"/>
          <w:sz w:val="22"/>
          <w:szCs w:val="22"/>
          <w:color w:val="auto"/>
        </w:rPr>
        <w:t>. Unless otherwise determined by the Board, the Restricted Stock Units shall not be transferable other than by will or by the laws of descent and distribution.</w:t>
      </w:r>
    </w:p>
    <w:p>
      <w:pPr>
        <w:spacing w:after="0" w:line="335" w:lineRule="exact"/>
        <w:rPr>
          <w:rFonts w:ascii="Arial" w:cs="Arial" w:eastAsia="Arial" w:hAnsi="Arial"/>
          <w:sz w:val="22"/>
          <w:szCs w:val="22"/>
          <w:color w:val="auto"/>
        </w:rPr>
      </w:pPr>
    </w:p>
    <w:p>
      <w:pPr>
        <w:ind w:left="1600" w:hanging="944"/>
        <w:spacing w:after="0"/>
        <w:tabs>
          <w:tab w:leader="none" w:pos="1600"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Adjustments</w:t>
      </w:r>
      <w:r>
        <w:rPr>
          <w:rFonts w:ascii="Arial" w:cs="Arial" w:eastAsia="Arial" w:hAnsi="Arial"/>
          <w:sz w:val="19"/>
          <w:szCs w:val="19"/>
          <w:color w:val="auto"/>
        </w:rPr>
        <w:t>.  In the event of any change in the outstanding Shares after the Grant Date by reason of any Share</w:t>
      </w:r>
    </w:p>
    <w:p>
      <w:pPr>
        <w:spacing w:after="0" w:line="160" w:lineRule="exact"/>
        <w:rPr>
          <w:sz w:val="20"/>
          <w:szCs w:val="20"/>
          <w:color w:val="auto"/>
        </w:rPr>
      </w:pPr>
    </w:p>
    <w:p>
      <w:pPr>
        <w:jc w:val="both"/>
        <w:spacing w:after="0" w:line="327" w:lineRule="auto"/>
        <w:rPr>
          <w:sz w:val="20"/>
          <w:szCs w:val="20"/>
          <w:color w:val="auto"/>
        </w:rPr>
      </w:pPr>
      <w:r>
        <w:rPr>
          <w:rFonts w:ascii="Arial" w:cs="Arial" w:eastAsia="Arial" w:hAnsi="Arial"/>
          <w:sz w:val="21"/>
          <w:szCs w:val="21"/>
          <w:color w:val="auto"/>
        </w:rPr>
        <w:t>dividend or split, reorganization, recapitalization, merger, consolidation, spin-off, combination, combination or transaction or exchange of Shares or other corporate exchange, or any distribution to shareholders of Shares other than regular cash dividends or any transaction similar to the foregoing, the Board in its sole discretion and without liability to any person shall make such substitution or adjustment, if any, as it deems to be equitable, as to the number and/or kinds of shares or other securities subject to the Restricted Stock Units, if any. Any adjustment under this clause 5 shall be made by the Board, whose determination as to what adjustments shall be made, if any, and the extent thereof, will be final, binding and conclusive. No fractional Restricted Stock Units will be issued under this Agreement resulting from any such adjustment.</w:t>
      </w:r>
    </w:p>
    <w:p>
      <w:pPr>
        <w:spacing w:after="0" w:line="398" w:lineRule="exact"/>
        <w:rPr>
          <w:sz w:val="20"/>
          <w:szCs w:val="20"/>
          <w:color w:val="auto"/>
        </w:rPr>
      </w:pPr>
    </w:p>
    <w:p>
      <w:pPr>
        <w:jc w:val="both"/>
        <w:ind w:firstLine="656"/>
        <w:spacing w:after="0" w:line="476" w:lineRule="auto"/>
        <w:tabs>
          <w:tab w:leader="none" w:pos="1351"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No Rights as Stockholder</w:t>
      </w:r>
      <w:r>
        <w:rPr>
          <w:rFonts w:ascii="Arial" w:cs="Arial" w:eastAsia="Arial" w:hAnsi="Arial"/>
          <w:sz w:val="19"/>
          <w:szCs w:val="19"/>
          <w:color w:val="auto"/>
        </w:rPr>
        <w:t>. Holder shall have no rights as a stockholder with respect to the Restricted Stock Units. The Holder’s right to receive payment under this Agreement shall be an unfunded entitlement and shall be an unsecured claim</w:t>
      </w:r>
    </w:p>
    <w:p>
      <w:pPr>
        <w:sectPr>
          <w:pgSz w:w="11900" w:h="17000" w:orient="portrait"/>
          <w:cols w:equalWidth="0" w:num="1">
            <w:col w:w="11420"/>
          </w:cols>
          <w:pgMar w:left="240" w:top="118" w:right="239" w:bottom="0" w:gutter="0" w:footer="0" w:header="0"/>
        </w:sectPr>
      </w:pPr>
    </w:p>
    <w:bookmarkStart w:id="38" w:name="page39"/>
    <w:bookmarkEnd w:id="38"/>
    <w:p>
      <w:pPr>
        <w:jc w:val="both"/>
        <w:spacing w:after="0" w:line="376" w:lineRule="auto"/>
        <w:rPr>
          <w:sz w:val="20"/>
          <w:szCs w:val="20"/>
          <w:color w:val="auto"/>
        </w:rPr>
      </w:pPr>
      <w:r>
        <w:rPr>
          <w:rFonts w:ascii="Arial" w:cs="Arial" w:eastAsia="Arial" w:hAnsi="Arial"/>
          <w:sz w:val="19"/>
          <w:szCs w:val="19"/>
          <w:color w:val="auto"/>
        </w:rPr>
        <w:t>against the general assets of the Company. The Holder has only the status of a general unsecured creditor hereunder, and this Agreement constitutes only a promise by the Company to pay the value of the Restricted Stock Units on the payment date. In the event that shares are paid to the Holder in respect of the Restricted Stock Units, Holder shall not have any rights as a shareholder with respect to such shares prior to the date of issuance to him of a certificate or certificates for such shares.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300" w:hanging="644"/>
        <w:spacing w:after="0"/>
        <w:tabs>
          <w:tab w:leader="none" w:pos="1300"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No Right to Continue Membership on Board</w:t>
      </w:r>
      <w:r>
        <w:rPr>
          <w:rFonts w:ascii="Arial" w:cs="Arial" w:eastAsia="Arial" w:hAnsi="Arial"/>
          <w:sz w:val="19"/>
          <w:szCs w:val="19"/>
          <w:color w:val="auto"/>
        </w:rPr>
        <w:t>. This Agreement shall not confer upon Holder any right with respect to</w:t>
      </w:r>
    </w:p>
    <w:p>
      <w:pPr>
        <w:spacing w:after="0" w:line="160" w:lineRule="exact"/>
        <w:rPr>
          <w:sz w:val="20"/>
          <w:szCs w:val="20"/>
          <w:color w:val="auto"/>
        </w:rPr>
      </w:pPr>
    </w:p>
    <w:p>
      <w:pPr>
        <w:spacing w:after="0" w:line="327" w:lineRule="auto"/>
        <w:rPr>
          <w:sz w:val="20"/>
          <w:szCs w:val="20"/>
          <w:color w:val="auto"/>
        </w:rPr>
      </w:pPr>
      <w:r>
        <w:rPr>
          <w:rFonts w:ascii="Arial" w:cs="Arial" w:eastAsia="Arial" w:hAnsi="Arial"/>
          <w:sz w:val="22"/>
          <w:szCs w:val="22"/>
          <w:color w:val="auto"/>
        </w:rPr>
        <w:t>continuance on the Board nor shall it interfere in any way with the rights of Holder to terminate his membership on the Board at any time.</w:t>
      </w:r>
    </w:p>
    <w:p>
      <w:pPr>
        <w:spacing w:after="0" w:line="391" w:lineRule="exact"/>
        <w:rPr>
          <w:sz w:val="20"/>
          <w:szCs w:val="20"/>
          <w:color w:val="auto"/>
        </w:rPr>
      </w:pPr>
    </w:p>
    <w:p>
      <w:pPr>
        <w:ind w:left="1760" w:hanging="1104"/>
        <w:spacing w:after="0"/>
        <w:tabs>
          <w:tab w:leader="none" w:pos="1760"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Compliance With Law and Regulation</w:t>
      </w:r>
      <w:r>
        <w:rPr>
          <w:rFonts w:ascii="Arial" w:cs="Arial" w:eastAsia="Arial" w:hAnsi="Arial"/>
          <w:sz w:val="19"/>
          <w:szCs w:val="19"/>
          <w:color w:val="auto"/>
        </w:rPr>
        <w:t>. This Agreement and the obligation of the Company to deliver Shares</w:t>
      </w:r>
    </w:p>
    <w:p>
      <w:pPr>
        <w:spacing w:after="0" w:line="160" w:lineRule="exact"/>
        <w:rPr>
          <w:sz w:val="20"/>
          <w:szCs w:val="20"/>
          <w:color w:val="auto"/>
        </w:rPr>
      </w:pPr>
    </w:p>
    <w:p>
      <w:pPr>
        <w:spacing w:after="0" w:line="327" w:lineRule="auto"/>
        <w:rPr>
          <w:sz w:val="20"/>
          <w:szCs w:val="20"/>
          <w:color w:val="auto"/>
        </w:rPr>
      </w:pPr>
      <w:r>
        <w:rPr>
          <w:rFonts w:ascii="Arial" w:cs="Arial" w:eastAsia="Arial" w:hAnsi="Arial"/>
          <w:sz w:val="22"/>
          <w:szCs w:val="22"/>
          <w:color w:val="auto"/>
        </w:rPr>
        <w:t>hereunder shall be subject to all applicable federal and state laws, rules and regulations and to such approvals by any government or regulatory agency as may be required.</w:t>
      </w:r>
    </w:p>
    <w:p>
      <w:pPr>
        <w:spacing w:after="0" w:line="391" w:lineRule="exact"/>
        <w:rPr>
          <w:sz w:val="20"/>
          <w:szCs w:val="20"/>
          <w:color w:val="auto"/>
        </w:rPr>
      </w:pPr>
    </w:p>
    <w:p>
      <w:pPr>
        <w:ind w:left="1660" w:hanging="1004"/>
        <w:spacing w:after="0"/>
        <w:tabs>
          <w:tab w:leader="none" w:pos="1660"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 hereunder to the Company shall be addressed to it at its office at 1 Monster Way, Corona,</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color w:val="auto"/>
        </w:rPr>
        <w:t>California 92879, Attention: Rodney C. Sacks with a copy to ___________________________, and any notice hereunder to Holder</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shall be addressed to him at ___________________________, subject to the right of either party to designate at any time hereafter</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color w:val="auto"/>
        </w:rPr>
        <w:t>in writing some other address.</w:t>
      </w:r>
    </w:p>
    <w:p>
      <w:pPr>
        <w:spacing w:after="0" w:line="200" w:lineRule="exact"/>
        <w:rPr>
          <w:sz w:val="20"/>
          <w:szCs w:val="20"/>
          <w:color w:val="auto"/>
        </w:rPr>
      </w:pPr>
    </w:p>
    <w:p>
      <w:pPr>
        <w:spacing w:after="0" w:line="303" w:lineRule="exact"/>
        <w:rPr>
          <w:sz w:val="20"/>
          <w:szCs w:val="20"/>
          <w:color w:val="auto"/>
        </w:rPr>
      </w:pPr>
    </w:p>
    <w:p>
      <w:pPr>
        <w:ind w:firstLine="656"/>
        <w:spacing w:after="0" w:line="379" w:lineRule="auto"/>
        <w:tabs>
          <w:tab w:leader="none" w:pos="1391"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No modification, amendment or waiver of any of the provisions of this Agreement shall be effective unless in writing specifically referring hereto, and signed by both parties.</w:t>
      </w:r>
    </w:p>
    <w:p>
      <w:pPr>
        <w:spacing w:after="0" w:line="335" w:lineRule="exact"/>
        <w:rPr>
          <w:rFonts w:ascii="Arial" w:cs="Arial" w:eastAsia="Arial" w:hAnsi="Arial"/>
          <w:sz w:val="22"/>
          <w:szCs w:val="22"/>
          <w:color w:val="auto"/>
        </w:rPr>
      </w:pPr>
    </w:p>
    <w:p>
      <w:pPr>
        <w:ind w:left="1320" w:hanging="664"/>
        <w:spacing w:after="0"/>
        <w:tabs>
          <w:tab w:leader="none" w:pos="1320"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construed according to the laws of the State of Delaware and all provisions</w:t>
      </w:r>
    </w:p>
    <w:p>
      <w:pPr>
        <w:spacing w:after="0" w:line="160" w:lineRule="exact"/>
        <w:rPr>
          <w:sz w:val="20"/>
          <w:szCs w:val="20"/>
          <w:color w:val="auto"/>
        </w:rPr>
      </w:pPr>
    </w:p>
    <w:p>
      <w:pPr>
        <w:spacing w:after="0" w:line="327" w:lineRule="auto"/>
        <w:rPr>
          <w:sz w:val="20"/>
          <w:szCs w:val="20"/>
          <w:color w:val="auto"/>
        </w:rPr>
      </w:pPr>
      <w:r>
        <w:rPr>
          <w:rFonts w:ascii="Arial" w:cs="Arial" w:eastAsia="Arial" w:hAnsi="Arial"/>
          <w:sz w:val="22"/>
          <w:szCs w:val="22"/>
          <w:color w:val="auto"/>
        </w:rPr>
        <w:t>hereof shall be administered according to and its validity shall be determined under, the laws of such State, except where preempted by federal laws.</w:t>
      </w:r>
    </w:p>
    <w:p>
      <w:pPr>
        <w:spacing w:after="0" w:line="391" w:lineRule="exact"/>
        <w:rPr>
          <w:sz w:val="20"/>
          <w:szCs w:val="20"/>
          <w:color w:val="auto"/>
        </w:rPr>
      </w:pPr>
    </w:p>
    <w:p>
      <w:pPr>
        <w:ind w:firstLine="656"/>
        <w:spacing w:after="0" w:line="379" w:lineRule="auto"/>
        <w:tabs>
          <w:tab w:leader="none" w:pos="1337"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each of which shall constitute one and the same instrument.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PAGE INTENTIONALLY BLANK]</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firstLine="648"/>
        <w:spacing w:after="0" w:line="327" w:lineRule="auto"/>
        <w:rPr>
          <w:sz w:val="20"/>
          <w:szCs w:val="20"/>
          <w:color w:val="auto"/>
        </w:rPr>
      </w:pPr>
      <w:r>
        <w:rPr>
          <w:rFonts w:ascii="Arial" w:cs="Arial" w:eastAsia="Arial" w:hAnsi="Arial"/>
          <w:sz w:val="22"/>
          <w:szCs w:val="22"/>
          <w:color w:val="auto"/>
        </w:rPr>
        <w:t>IN WITNESS WHEREOF, Monster Beverage Corporation has caused this Agreement to be executed by a duly authorized officer and Holder has executed this Agreement both as of the day and year first above written.</w:t>
      </w:r>
    </w:p>
    <w:p>
      <w:pPr>
        <w:spacing w:after="0" w:line="351"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MONSTER BEVERAGE CORPORATION</w:t>
      </w:r>
    </w:p>
    <w:p>
      <w:pPr>
        <w:spacing w:after="0" w:line="200" w:lineRule="exact"/>
        <w:rPr>
          <w:sz w:val="20"/>
          <w:szCs w:val="20"/>
          <w:color w:val="auto"/>
        </w:rPr>
      </w:pPr>
    </w:p>
    <w:p>
      <w:pPr>
        <w:spacing w:after="0" w:line="249"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49160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491605" cy="8890"/>
                    </a:xfrm>
                    <a:prstGeom prst="rect">
                      <a:avLst/>
                    </a:prstGeom>
                    <a:noFill/>
                  </pic:spPr>
                </pic:pic>
              </a:graphicData>
            </a:graphic>
          </wp:anchor>
        </w:drawing>
      </w:r>
    </w:p>
    <w:p>
      <w:pPr>
        <w:ind w:left="6380"/>
        <w:spacing w:after="0"/>
        <w:rPr>
          <w:sz w:val="20"/>
          <w:szCs w:val="20"/>
          <w:color w:val="auto"/>
        </w:rPr>
      </w:pPr>
      <w:r>
        <w:rPr>
          <w:rFonts w:ascii="Arial" w:cs="Arial" w:eastAsia="Arial" w:hAnsi="Arial"/>
          <w:sz w:val="22"/>
          <w:szCs w:val="22"/>
          <w:color w:val="auto"/>
        </w:rPr>
        <w:t>Rodney Sacks</w:t>
      </w:r>
    </w:p>
    <w:p>
      <w:pPr>
        <w:ind w:left="6380"/>
        <w:spacing w:after="0"/>
        <w:rPr>
          <w:sz w:val="20"/>
          <w:szCs w:val="20"/>
          <w:color w:val="auto"/>
        </w:rPr>
      </w:pPr>
      <w:r>
        <w:rPr>
          <w:rFonts w:ascii="Arial" w:cs="Arial" w:eastAsia="Arial" w:hAnsi="Arial"/>
          <w:sz w:val="22"/>
          <w:szCs w:val="22"/>
          <w:color w:val="auto"/>
        </w:rPr>
        <w:t>Chairman/Chief Executive Officer</w:t>
      </w:r>
    </w:p>
    <w:p>
      <w:pPr>
        <w:sectPr>
          <w:pgSz w:w="11900" w:h="16838" w:orient="portrait"/>
          <w:cols w:equalWidth="0" w:num="1">
            <w:col w:w="11420"/>
          </w:cols>
          <w:pgMar w:left="240" w:top="159" w:right="239" w:bottom="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59" w:right="239" w:bottom="0" w:gutter="0" w:footer="0" w:header="0"/>
          <w:type w:val="continuous"/>
        </w:sectPr>
      </w:pPr>
    </w:p>
    <w:bookmarkStart w:id="39" w:name="page40"/>
    <w:bookmarkEnd w:id="39"/>
    <w:p>
      <w:pPr>
        <w:jc w:val="right"/>
        <w:ind w:right="40"/>
        <w:spacing w:after="0"/>
        <w:rPr>
          <w:sz w:val="20"/>
          <w:szCs w:val="20"/>
          <w:color w:val="auto"/>
        </w:rPr>
      </w:pPr>
      <w:r>
        <w:rPr>
          <w:rFonts w:ascii="Arial" w:cs="Arial" w:eastAsia="Arial" w:hAnsi="Arial"/>
          <w:sz w:val="20"/>
          <w:szCs w:val="20"/>
          <w:b w:val="1"/>
          <w:bCs w:val="1"/>
          <w:color w:val="auto"/>
        </w:rPr>
        <w:t>EXHIBIT 31.1</w:t>
      </w:r>
    </w:p>
    <w:p>
      <w:pPr>
        <w:spacing w:after="0" w:line="236" w:lineRule="exact"/>
        <w:rPr>
          <w:sz w:val="20"/>
          <w:szCs w:val="20"/>
          <w:color w:val="auto"/>
        </w:rPr>
      </w:pPr>
    </w:p>
    <w:p>
      <w:pPr>
        <w:jc w:val="center"/>
        <w:ind w:right="40"/>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 Rodney Sacks, certify that:</w:t>
      </w:r>
    </w:p>
    <w:p>
      <w:pPr>
        <w:spacing w:after="0" w:line="229"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Monster Beverage Corporation;</w:t>
      </w:r>
    </w:p>
    <w:p>
      <w:pPr>
        <w:spacing w:after="0" w:line="229" w:lineRule="exact"/>
        <w:rPr>
          <w:rFonts w:ascii="Arial" w:cs="Arial" w:eastAsia="Arial" w:hAnsi="Arial"/>
          <w:sz w:val="20"/>
          <w:szCs w:val="20"/>
          <w:color w:val="auto"/>
        </w:rPr>
      </w:pPr>
    </w:p>
    <w:p>
      <w:pPr>
        <w:jc w:val="both"/>
        <w:ind w:left="340" w:right="40" w:hanging="332"/>
        <w:spacing w:after="0" w:line="250" w:lineRule="auto"/>
        <w:tabs>
          <w:tab w:leader="none" w:pos="434" w:val="left"/>
        </w:tabs>
        <w:numPr>
          <w:ilvl w:val="0"/>
          <w:numId w:val="49"/>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60" w:hanging="332"/>
        <w:spacing w:after="0" w:line="316" w:lineRule="auto"/>
        <w:tabs>
          <w:tab w:leader="none" w:pos="529"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340" w:right="40" w:hanging="332"/>
        <w:spacing w:after="0" w:line="250" w:lineRule="auto"/>
        <w:tabs>
          <w:tab w:leader="none" w:pos="502"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663"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620" w:right="40" w:hanging="315"/>
        <w:spacing w:after="0" w:line="291" w:lineRule="auto"/>
        <w:tabs>
          <w:tab w:leader="none" w:pos="1863"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jc w:val="both"/>
        <w:ind w:left="1620" w:right="40" w:hanging="315"/>
        <w:spacing w:after="0" w:line="250" w:lineRule="auto"/>
        <w:tabs>
          <w:tab w:leader="none" w:pos="2027" w:val="left"/>
        </w:tabs>
        <w:numPr>
          <w:ilvl w:val="1"/>
          <w:numId w:val="49"/>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809"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8"/>
          <w:szCs w:val="18"/>
          <w:color w:val="auto"/>
        </w:rPr>
      </w:pPr>
    </w:p>
    <w:p>
      <w:pPr>
        <w:jc w:val="both"/>
        <w:ind w:left="340" w:right="40" w:hanging="332"/>
        <w:spacing w:after="0" w:line="250" w:lineRule="auto"/>
        <w:tabs>
          <w:tab w:leader="none" w:pos="542"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99" w:lineRule="exact"/>
        <w:rPr>
          <w:rFonts w:ascii="Arial" w:cs="Arial" w:eastAsia="Arial" w:hAnsi="Arial"/>
          <w:sz w:val="20"/>
          <w:szCs w:val="20"/>
          <w:color w:val="auto"/>
        </w:rPr>
      </w:pPr>
    </w:p>
    <w:p>
      <w:pPr>
        <w:jc w:val="both"/>
        <w:ind w:left="1620" w:right="40" w:hanging="315"/>
        <w:spacing w:after="0" w:line="250" w:lineRule="auto"/>
        <w:tabs>
          <w:tab w:leader="none" w:pos="1717" w:val="left"/>
        </w:tabs>
        <w:numPr>
          <w:ilvl w:val="1"/>
          <w:numId w:val="49"/>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620" w:right="40" w:hanging="315"/>
        <w:spacing w:after="0" w:line="260" w:lineRule="auto"/>
        <w:tabs>
          <w:tab w:leader="none" w:pos="1863" w:val="left"/>
        </w:tabs>
        <w:numPr>
          <w:ilvl w:val="1"/>
          <w:numId w:val="49"/>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40" w:type="dxa"/>
            <w:vAlign w:val="bottom"/>
          </w:tcPr>
          <w:p>
            <w:pPr>
              <w:spacing w:after="0"/>
              <w:rPr>
                <w:sz w:val="20"/>
                <w:szCs w:val="20"/>
                <w:color w:val="auto"/>
              </w:rPr>
            </w:pPr>
            <w:r>
              <w:rPr>
                <w:rFonts w:ascii="Arial" w:cs="Arial" w:eastAsia="Arial" w:hAnsi="Arial"/>
                <w:sz w:val="20"/>
                <w:szCs w:val="20"/>
                <w:color w:val="auto"/>
              </w:rPr>
              <w:t>Date:</w:t>
            </w:r>
          </w:p>
        </w:tc>
        <w:tc>
          <w:tcPr>
            <w:tcW w:w="5160" w:type="dxa"/>
            <w:vAlign w:val="bottom"/>
          </w:tcPr>
          <w:p>
            <w:pPr>
              <w:ind w:left="420"/>
              <w:spacing w:after="0"/>
              <w:rPr>
                <w:sz w:val="20"/>
                <w:szCs w:val="20"/>
                <w:color w:val="auto"/>
              </w:rPr>
            </w:pPr>
            <w:r>
              <w:rPr>
                <w:rFonts w:ascii="Arial" w:cs="Arial" w:eastAsia="Arial" w:hAnsi="Arial"/>
                <w:sz w:val="20"/>
                <w:szCs w:val="20"/>
                <w:color w:val="auto"/>
              </w:rPr>
              <w:t>August 5, 2016</w:t>
            </w:r>
          </w:p>
        </w:tc>
        <w:tc>
          <w:tcPr>
            <w:tcW w:w="542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/s/Rodney C. Sacks</w:t>
            </w:r>
          </w:p>
        </w:tc>
        <w:tc>
          <w:tcPr>
            <w:tcW w:w="40" w:type="dxa"/>
            <w:vAlign w:val="bottom"/>
          </w:tcPr>
          <w:p>
            <w:pPr>
              <w:spacing w:after="0"/>
              <w:rPr>
                <w:sz w:val="21"/>
                <w:szCs w:val="21"/>
                <w:color w:val="auto"/>
              </w:rPr>
            </w:pPr>
          </w:p>
        </w:tc>
      </w:tr>
      <w:tr>
        <w:trPr>
          <w:trHeight w:val="206"/>
        </w:trPr>
        <w:tc>
          <w:tcPr>
            <w:tcW w:w="84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5420" w:type="dxa"/>
            <w:vAlign w:val="bottom"/>
          </w:tcPr>
          <w:p>
            <w:pPr>
              <w:ind w:left="80"/>
              <w:spacing w:after="0" w:line="207" w:lineRule="exact"/>
              <w:rPr>
                <w:sz w:val="20"/>
                <w:szCs w:val="20"/>
                <w:color w:val="auto"/>
              </w:rPr>
            </w:pPr>
            <w:r>
              <w:rPr>
                <w:rFonts w:ascii="Arial" w:cs="Arial" w:eastAsia="Arial" w:hAnsi="Arial"/>
                <w:sz w:val="20"/>
                <w:szCs w:val="20"/>
                <w:color w:val="auto"/>
              </w:rPr>
              <w:t>Rodney C. Sacks</w:t>
            </w:r>
          </w:p>
        </w:tc>
        <w:tc>
          <w:tcPr>
            <w:tcW w:w="40" w:type="dxa"/>
            <w:vAlign w:val="bottom"/>
          </w:tcPr>
          <w:p>
            <w:pPr>
              <w:spacing w:after="0"/>
              <w:rPr>
                <w:sz w:val="17"/>
                <w:szCs w:val="17"/>
                <w:color w:val="auto"/>
              </w:rPr>
            </w:pPr>
          </w:p>
        </w:tc>
      </w:tr>
      <w:tr>
        <w:trPr>
          <w:trHeight w:val="230"/>
        </w:trPr>
        <w:tc>
          <w:tcPr>
            <w:tcW w:w="8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5420" w:type="dxa"/>
            <w:vAlign w:val="bottom"/>
          </w:tcPr>
          <w:p>
            <w:pPr>
              <w:ind w:left="80"/>
              <w:spacing w:after="0"/>
              <w:rPr>
                <w:sz w:val="20"/>
                <w:szCs w:val="20"/>
                <w:color w:val="auto"/>
              </w:rPr>
            </w:pPr>
            <w:r>
              <w:rPr>
                <w:rFonts w:ascii="Arial" w:cs="Arial" w:eastAsia="Arial" w:hAnsi="Arial"/>
                <w:sz w:val="20"/>
                <w:szCs w:val="20"/>
                <w:color w:val="auto"/>
              </w:rPr>
              <w:t>Chairman of the Board of Directors</w:t>
            </w:r>
          </w:p>
        </w:tc>
        <w:tc>
          <w:tcPr>
            <w:tcW w:w="40" w:type="dxa"/>
            <w:vAlign w:val="bottom"/>
          </w:tcPr>
          <w:p>
            <w:pPr>
              <w:spacing w:after="0"/>
              <w:rPr>
                <w:sz w:val="19"/>
                <w:szCs w:val="19"/>
                <w:color w:val="auto"/>
              </w:rPr>
            </w:pPr>
          </w:p>
        </w:tc>
      </w:tr>
      <w:tr>
        <w:trPr>
          <w:trHeight w:val="250"/>
        </w:trPr>
        <w:tc>
          <w:tcPr>
            <w:tcW w:w="84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5420" w:type="dxa"/>
            <w:vAlign w:val="bottom"/>
          </w:tcPr>
          <w:p>
            <w:pPr>
              <w:ind w:left="80"/>
              <w:spacing w:after="0"/>
              <w:rPr>
                <w:sz w:val="20"/>
                <w:szCs w:val="20"/>
                <w:color w:val="auto"/>
              </w:rPr>
            </w:pPr>
            <w:r>
              <w:rPr>
                <w:rFonts w:ascii="Arial" w:cs="Arial" w:eastAsia="Arial" w:hAnsi="Arial"/>
                <w:sz w:val="20"/>
                <w:szCs w:val="20"/>
                <w:color w:val="auto"/>
              </w:rPr>
              <w:t>and Chief Executive Officer</w:t>
            </w:r>
          </w:p>
        </w:tc>
        <w:tc>
          <w:tcPr>
            <w:tcW w:w="40" w:type="dxa"/>
            <w:vAlign w:val="bottom"/>
          </w:tcPr>
          <w:p>
            <w:pPr>
              <w:spacing w:after="0"/>
              <w:rPr>
                <w:sz w:val="21"/>
                <w:szCs w:val="21"/>
                <w:color w:val="auto"/>
              </w:rPr>
            </w:pPr>
          </w:p>
        </w:tc>
      </w:tr>
      <w:tr>
        <w:trPr>
          <w:trHeight w:val="357"/>
        </w:trPr>
        <w:tc>
          <w:tcPr>
            <w:tcW w:w="840" w:type="dxa"/>
            <w:vAlign w:val="bottom"/>
            <w:tcBorders>
              <w:bottom w:val="single" w:sz="8" w:color="808080"/>
            </w:tcBorders>
          </w:tcPr>
          <w:p>
            <w:pPr>
              <w:spacing w:after="0"/>
              <w:rPr>
                <w:sz w:val="24"/>
                <w:szCs w:val="24"/>
                <w:color w:val="auto"/>
              </w:rPr>
            </w:pPr>
          </w:p>
        </w:tc>
        <w:tc>
          <w:tcPr>
            <w:tcW w:w="5160" w:type="dxa"/>
            <w:vAlign w:val="bottom"/>
            <w:tcBorders>
              <w:bottom w:val="single" w:sz="8" w:color="808080"/>
            </w:tcBorders>
          </w:tcPr>
          <w:p>
            <w:pPr>
              <w:spacing w:after="0"/>
              <w:rPr>
                <w:sz w:val="24"/>
                <w:szCs w:val="24"/>
                <w:color w:val="auto"/>
              </w:rPr>
            </w:pPr>
          </w:p>
        </w:tc>
        <w:tc>
          <w:tcPr>
            <w:tcW w:w="54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6" w:right="199" w:bottom="1440" w:gutter="0" w:footer="0" w:header="0"/>
        </w:sectPr>
      </w:pPr>
    </w:p>
    <w:bookmarkStart w:id="40" w:name="page41"/>
    <w:bookmarkEnd w:id="40"/>
    <w:p>
      <w:pPr>
        <w:jc w:val="right"/>
        <w:ind w:right="40"/>
        <w:spacing w:after="0"/>
        <w:rPr>
          <w:sz w:val="20"/>
          <w:szCs w:val="20"/>
          <w:color w:val="auto"/>
        </w:rPr>
      </w:pPr>
      <w:r>
        <w:rPr>
          <w:rFonts w:ascii="Arial" w:cs="Arial" w:eastAsia="Arial" w:hAnsi="Arial"/>
          <w:sz w:val="20"/>
          <w:szCs w:val="20"/>
          <w:b w:val="1"/>
          <w:bCs w:val="1"/>
          <w:color w:val="auto"/>
        </w:rPr>
        <w:t>EXHIBIT 31.2</w:t>
      </w:r>
    </w:p>
    <w:p>
      <w:pPr>
        <w:spacing w:after="0" w:line="234" w:lineRule="exact"/>
        <w:rPr>
          <w:sz w:val="20"/>
          <w:szCs w:val="20"/>
          <w:color w:val="auto"/>
        </w:rPr>
      </w:pPr>
    </w:p>
    <w:p>
      <w:pPr>
        <w:jc w:val="center"/>
        <w:ind w:right="40"/>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 Hilton Schlosberg, certify that:</w:t>
      </w:r>
    </w:p>
    <w:p>
      <w:pPr>
        <w:spacing w:after="0" w:line="229" w:lineRule="exact"/>
        <w:rPr>
          <w:sz w:val="20"/>
          <w:szCs w:val="20"/>
          <w:color w:val="auto"/>
        </w:rPr>
      </w:pPr>
    </w:p>
    <w:p>
      <w:pPr>
        <w:ind w:left="320" w:hanging="312"/>
        <w:spacing w:after="0"/>
        <w:tabs>
          <w:tab w:leader="none" w:pos="320" w:val="left"/>
        </w:tabs>
        <w:numPr>
          <w:ilvl w:val="0"/>
          <w:numId w:val="50"/>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Monster Beverage Corporation;</w:t>
      </w:r>
    </w:p>
    <w:p>
      <w:pPr>
        <w:spacing w:after="0" w:line="229" w:lineRule="exact"/>
        <w:rPr>
          <w:rFonts w:ascii="Arial" w:cs="Arial" w:eastAsia="Arial" w:hAnsi="Arial"/>
          <w:sz w:val="20"/>
          <w:szCs w:val="20"/>
          <w:color w:val="auto"/>
        </w:rPr>
      </w:pPr>
    </w:p>
    <w:p>
      <w:pPr>
        <w:jc w:val="both"/>
        <w:ind w:left="340" w:right="40" w:hanging="332"/>
        <w:spacing w:after="0" w:line="250" w:lineRule="auto"/>
        <w:tabs>
          <w:tab w:leader="none" w:pos="434" w:val="left"/>
        </w:tabs>
        <w:numPr>
          <w:ilvl w:val="0"/>
          <w:numId w:val="50"/>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60" w:hanging="332"/>
        <w:spacing w:after="0" w:line="316" w:lineRule="auto"/>
        <w:tabs>
          <w:tab w:leader="none" w:pos="529"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340" w:right="40" w:hanging="332"/>
        <w:spacing w:after="0" w:line="250" w:lineRule="auto"/>
        <w:tabs>
          <w:tab w:leader="none" w:pos="502"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663"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620" w:right="40" w:hanging="315"/>
        <w:spacing w:after="0" w:line="291" w:lineRule="auto"/>
        <w:tabs>
          <w:tab w:leader="none" w:pos="1863"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jc w:val="both"/>
        <w:ind w:left="1620" w:right="40" w:hanging="315"/>
        <w:spacing w:after="0" w:line="250" w:lineRule="auto"/>
        <w:tabs>
          <w:tab w:leader="none" w:pos="2027" w:val="left"/>
        </w:tabs>
        <w:numPr>
          <w:ilvl w:val="1"/>
          <w:numId w:val="50"/>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809"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8"/>
          <w:szCs w:val="18"/>
          <w:color w:val="auto"/>
        </w:rPr>
      </w:pPr>
    </w:p>
    <w:p>
      <w:pPr>
        <w:jc w:val="both"/>
        <w:ind w:left="340" w:right="40" w:hanging="332"/>
        <w:spacing w:after="0" w:line="250" w:lineRule="auto"/>
        <w:tabs>
          <w:tab w:leader="none" w:pos="542"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99" w:lineRule="exact"/>
        <w:rPr>
          <w:rFonts w:ascii="Arial" w:cs="Arial" w:eastAsia="Arial" w:hAnsi="Arial"/>
          <w:sz w:val="20"/>
          <w:szCs w:val="20"/>
          <w:color w:val="auto"/>
        </w:rPr>
      </w:pPr>
    </w:p>
    <w:p>
      <w:pPr>
        <w:jc w:val="both"/>
        <w:ind w:left="1620" w:right="40" w:hanging="315"/>
        <w:spacing w:after="0" w:line="250" w:lineRule="auto"/>
        <w:tabs>
          <w:tab w:leader="none" w:pos="1717" w:val="left"/>
        </w:tabs>
        <w:numPr>
          <w:ilvl w:val="1"/>
          <w:numId w:val="50"/>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620" w:right="40" w:hanging="315"/>
        <w:spacing w:after="0" w:line="260" w:lineRule="auto"/>
        <w:tabs>
          <w:tab w:leader="none" w:pos="1863" w:val="left"/>
        </w:tabs>
        <w:numPr>
          <w:ilvl w:val="1"/>
          <w:numId w:val="50"/>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40" w:type="dxa"/>
            <w:vAlign w:val="bottom"/>
          </w:tcPr>
          <w:p>
            <w:pPr>
              <w:spacing w:after="0"/>
              <w:rPr>
                <w:sz w:val="20"/>
                <w:szCs w:val="20"/>
                <w:color w:val="auto"/>
              </w:rPr>
            </w:pPr>
            <w:r>
              <w:rPr>
                <w:rFonts w:ascii="Arial" w:cs="Arial" w:eastAsia="Arial" w:hAnsi="Arial"/>
                <w:sz w:val="20"/>
                <w:szCs w:val="20"/>
                <w:color w:val="auto"/>
              </w:rPr>
              <w:t>Date:</w:t>
            </w:r>
          </w:p>
        </w:tc>
        <w:tc>
          <w:tcPr>
            <w:tcW w:w="5160" w:type="dxa"/>
            <w:vAlign w:val="bottom"/>
          </w:tcPr>
          <w:p>
            <w:pPr>
              <w:ind w:left="420"/>
              <w:spacing w:after="0"/>
              <w:rPr>
                <w:sz w:val="20"/>
                <w:szCs w:val="20"/>
                <w:color w:val="auto"/>
              </w:rPr>
            </w:pPr>
            <w:r>
              <w:rPr>
                <w:rFonts w:ascii="Arial" w:cs="Arial" w:eastAsia="Arial" w:hAnsi="Arial"/>
                <w:sz w:val="20"/>
                <w:szCs w:val="20"/>
                <w:color w:val="auto"/>
              </w:rPr>
              <w:t>August 5, 2016</w:t>
            </w:r>
          </w:p>
        </w:tc>
        <w:tc>
          <w:tcPr>
            <w:tcW w:w="494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/s/ Hilton H. Schlosberg</w:t>
            </w:r>
          </w:p>
        </w:tc>
        <w:tc>
          <w:tcPr>
            <w:tcW w:w="520" w:type="dxa"/>
            <w:vAlign w:val="bottom"/>
          </w:tcPr>
          <w:p>
            <w:pPr>
              <w:spacing w:after="0"/>
              <w:rPr>
                <w:sz w:val="21"/>
                <w:szCs w:val="21"/>
                <w:color w:val="auto"/>
              </w:rPr>
            </w:pPr>
          </w:p>
        </w:tc>
      </w:tr>
      <w:tr>
        <w:trPr>
          <w:trHeight w:val="206"/>
        </w:trPr>
        <w:tc>
          <w:tcPr>
            <w:tcW w:w="84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4940" w:type="dxa"/>
            <w:vAlign w:val="bottom"/>
          </w:tcPr>
          <w:p>
            <w:pPr>
              <w:ind w:left="80"/>
              <w:spacing w:after="0" w:line="207" w:lineRule="exact"/>
              <w:rPr>
                <w:sz w:val="20"/>
                <w:szCs w:val="20"/>
                <w:color w:val="auto"/>
              </w:rPr>
            </w:pPr>
            <w:r>
              <w:rPr>
                <w:rFonts w:ascii="Arial" w:cs="Arial" w:eastAsia="Arial" w:hAnsi="Arial"/>
                <w:sz w:val="20"/>
                <w:szCs w:val="20"/>
                <w:color w:val="auto"/>
              </w:rPr>
              <w:t>Hilton H. Schlosberg</w:t>
            </w:r>
          </w:p>
        </w:tc>
        <w:tc>
          <w:tcPr>
            <w:tcW w:w="520" w:type="dxa"/>
            <w:vAlign w:val="bottom"/>
          </w:tcPr>
          <w:p>
            <w:pPr>
              <w:spacing w:after="0"/>
              <w:rPr>
                <w:sz w:val="17"/>
                <w:szCs w:val="17"/>
                <w:color w:val="auto"/>
              </w:rPr>
            </w:pPr>
          </w:p>
        </w:tc>
      </w:tr>
      <w:tr>
        <w:trPr>
          <w:trHeight w:val="230"/>
        </w:trPr>
        <w:tc>
          <w:tcPr>
            <w:tcW w:w="8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4940" w:type="dxa"/>
            <w:vAlign w:val="bottom"/>
          </w:tcPr>
          <w:p>
            <w:pPr>
              <w:ind w:left="80"/>
              <w:spacing w:after="0"/>
              <w:rPr>
                <w:sz w:val="20"/>
                <w:szCs w:val="20"/>
                <w:color w:val="auto"/>
              </w:rPr>
            </w:pPr>
            <w:r>
              <w:rPr>
                <w:rFonts w:ascii="Arial" w:cs="Arial" w:eastAsia="Arial" w:hAnsi="Arial"/>
                <w:sz w:val="20"/>
                <w:szCs w:val="20"/>
                <w:color w:val="auto"/>
              </w:rPr>
              <w:t>Vice Chairman of the Board of Directors,</w:t>
            </w:r>
          </w:p>
        </w:tc>
        <w:tc>
          <w:tcPr>
            <w:tcW w:w="520" w:type="dxa"/>
            <w:vAlign w:val="bottom"/>
          </w:tcPr>
          <w:p>
            <w:pPr>
              <w:spacing w:after="0"/>
              <w:rPr>
                <w:sz w:val="19"/>
                <w:szCs w:val="19"/>
                <w:color w:val="auto"/>
              </w:rPr>
            </w:pPr>
          </w:p>
        </w:tc>
      </w:tr>
      <w:tr>
        <w:trPr>
          <w:trHeight w:val="230"/>
        </w:trPr>
        <w:tc>
          <w:tcPr>
            <w:tcW w:w="8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4940" w:type="dxa"/>
            <w:vAlign w:val="bottom"/>
          </w:tcPr>
          <w:p>
            <w:pPr>
              <w:ind w:left="80"/>
              <w:spacing w:after="0"/>
              <w:rPr>
                <w:sz w:val="20"/>
                <w:szCs w:val="20"/>
                <w:color w:val="auto"/>
              </w:rPr>
            </w:pPr>
            <w:r>
              <w:rPr>
                <w:rFonts w:ascii="Arial" w:cs="Arial" w:eastAsia="Arial" w:hAnsi="Arial"/>
                <w:sz w:val="20"/>
                <w:szCs w:val="20"/>
                <w:color w:val="auto"/>
              </w:rPr>
              <w:t>President, Chief Operating Officer, Chief</w:t>
            </w:r>
          </w:p>
        </w:tc>
        <w:tc>
          <w:tcPr>
            <w:tcW w:w="520" w:type="dxa"/>
            <w:vAlign w:val="bottom"/>
          </w:tcPr>
          <w:p>
            <w:pPr>
              <w:spacing w:after="0"/>
              <w:rPr>
                <w:sz w:val="19"/>
                <w:szCs w:val="19"/>
                <w:color w:val="auto"/>
              </w:rPr>
            </w:pPr>
          </w:p>
        </w:tc>
      </w:tr>
      <w:tr>
        <w:trPr>
          <w:trHeight w:val="250"/>
        </w:trPr>
        <w:tc>
          <w:tcPr>
            <w:tcW w:w="84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4940" w:type="dxa"/>
            <w:vAlign w:val="bottom"/>
          </w:tcPr>
          <w:p>
            <w:pPr>
              <w:ind w:left="80"/>
              <w:spacing w:after="0"/>
              <w:rPr>
                <w:sz w:val="20"/>
                <w:szCs w:val="20"/>
                <w:color w:val="auto"/>
              </w:rPr>
            </w:pPr>
            <w:r>
              <w:rPr>
                <w:rFonts w:ascii="Arial" w:cs="Arial" w:eastAsia="Arial" w:hAnsi="Arial"/>
                <w:sz w:val="20"/>
                <w:szCs w:val="20"/>
                <w:color w:val="auto"/>
              </w:rPr>
              <w:t>Financial Officer and Secretary</w:t>
            </w:r>
          </w:p>
        </w:tc>
        <w:tc>
          <w:tcPr>
            <w:tcW w:w="520" w:type="dxa"/>
            <w:vAlign w:val="bottom"/>
          </w:tcPr>
          <w:p>
            <w:pPr>
              <w:spacing w:after="0"/>
              <w:rPr>
                <w:sz w:val="21"/>
                <w:szCs w:val="21"/>
                <w:color w:val="auto"/>
              </w:rPr>
            </w:pPr>
          </w:p>
        </w:tc>
      </w:tr>
      <w:tr>
        <w:trPr>
          <w:trHeight w:val="357"/>
        </w:trPr>
        <w:tc>
          <w:tcPr>
            <w:tcW w:w="840" w:type="dxa"/>
            <w:vAlign w:val="bottom"/>
            <w:tcBorders>
              <w:bottom w:val="single" w:sz="8" w:color="808080"/>
            </w:tcBorders>
          </w:tcPr>
          <w:p>
            <w:pPr>
              <w:spacing w:after="0"/>
              <w:rPr>
                <w:sz w:val="24"/>
                <w:szCs w:val="24"/>
                <w:color w:val="auto"/>
              </w:rPr>
            </w:pPr>
          </w:p>
        </w:tc>
        <w:tc>
          <w:tcPr>
            <w:tcW w:w="5160" w:type="dxa"/>
            <w:vAlign w:val="bottom"/>
            <w:tcBorders>
              <w:bottom w:val="single" w:sz="8" w:color="808080"/>
            </w:tcBorders>
          </w:tcPr>
          <w:p>
            <w:pPr>
              <w:spacing w:after="0"/>
              <w:rPr>
                <w:sz w:val="24"/>
                <w:szCs w:val="24"/>
                <w:color w:val="auto"/>
              </w:rPr>
            </w:pPr>
          </w:p>
        </w:tc>
        <w:tc>
          <w:tcPr>
            <w:tcW w:w="49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8" w:right="199" w:bottom="1440" w:gutter="0" w:footer="0" w:header="0"/>
        </w:sectPr>
      </w:pPr>
    </w:p>
    <w:bookmarkStart w:id="41" w:name="page42"/>
    <w:bookmarkEnd w:id="41"/>
    <w:p>
      <w:pPr>
        <w:jc w:val="right"/>
        <w:ind w:right="40"/>
        <w:spacing w:after="0"/>
        <w:rPr>
          <w:sz w:val="20"/>
          <w:szCs w:val="20"/>
          <w:color w:val="auto"/>
        </w:rPr>
      </w:pPr>
      <w:r>
        <w:rPr>
          <w:rFonts w:ascii="Arial" w:cs="Arial" w:eastAsia="Arial" w:hAnsi="Arial"/>
          <w:sz w:val="22"/>
          <w:szCs w:val="22"/>
          <w:b w:val="1"/>
          <w:bCs w:val="1"/>
          <w:color w:val="auto"/>
        </w:rPr>
        <w:t>EXHIBIT 32.1</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18 U.S.C. SECTION 1350,</w:t>
      </w:r>
    </w:p>
    <w:p>
      <w:pPr>
        <w:jc w:val="center"/>
        <w:ind w:right="40"/>
        <w:spacing w:after="0"/>
        <w:rPr>
          <w:sz w:val="20"/>
          <w:szCs w:val="20"/>
          <w:color w:val="auto"/>
        </w:rPr>
      </w:pPr>
      <w:r>
        <w:rPr>
          <w:rFonts w:ascii="Arial" w:cs="Arial" w:eastAsia="Arial" w:hAnsi="Arial"/>
          <w:sz w:val="20"/>
          <w:szCs w:val="20"/>
          <w:color w:val="auto"/>
        </w:rPr>
        <w:t>AS ADOPTED PURSUANT TO</w:t>
      </w:r>
    </w:p>
    <w:p>
      <w:pPr>
        <w:jc w:val="center"/>
        <w:ind w:right="40"/>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In connection with the quarterly report of Monster Beverage Corporation (the “Company”) on Form 10-Q for the quarter ended June 30, 2016 as filed with the Securities and Exchange Commission (the “Report”), the undersigned, Rodney C. Sacks, Chairman of the Board of Directors and Chief Executive Officer of the Company, certifies, pursuant to 18 U.S.C. 1350, as adopted pursuant to Section 906 of the Sarbanes-Oxley Act of 2002, that:</w:t>
      </w:r>
    </w:p>
    <w:p>
      <w:pPr>
        <w:spacing w:after="0" w:line="205" w:lineRule="exact"/>
        <w:rPr>
          <w:sz w:val="20"/>
          <w:szCs w:val="20"/>
          <w:color w:val="auto"/>
        </w:rPr>
      </w:pPr>
    </w:p>
    <w:p>
      <w:pPr>
        <w:ind w:left="960" w:hanging="304"/>
        <w:spacing w:after="0"/>
        <w:tabs>
          <w:tab w:leader="none" w:pos="96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980" w:right="160" w:hanging="324"/>
        <w:spacing w:after="0" w:line="260" w:lineRule="auto"/>
        <w:tabs>
          <w:tab w:leader="none" w:pos="966"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40" w:type="dxa"/>
            <w:vAlign w:val="bottom"/>
          </w:tcPr>
          <w:p>
            <w:pPr>
              <w:spacing w:after="0"/>
              <w:rPr>
                <w:sz w:val="20"/>
                <w:szCs w:val="20"/>
                <w:color w:val="auto"/>
              </w:rPr>
            </w:pPr>
            <w:r>
              <w:rPr>
                <w:rFonts w:ascii="Arial" w:cs="Arial" w:eastAsia="Arial" w:hAnsi="Arial"/>
                <w:sz w:val="20"/>
                <w:szCs w:val="20"/>
                <w:color w:val="auto"/>
              </w:rPr>
              <w:t>Date:</w:t>
            </w:r>
          </w:p>
        </w:tc>
        <w:tc>
          <w:tcPr>
            <w:tcW w:w="5160" w:type="dxa"/>
            <w:vAlign w:val="bottom"/>
          </w:tcPr>
          <w:p>
            <w:pPr>
              <w:ind w:left="420"/>
              <w:spacing w:after="0"/>
              <w:rPr>
                <w:sz w:val="20"/>
                <w:szCs w:val="20"/>
                <w:color w:val="auto"/>
              </w:rPr>
            </w:pPr>
            <w:r>
              <w:rPr>
                <w:rFonts w:ascii="Arial" w:cs="Arial" w:eastAsia="Arial" w:hAnsi="Arial"/>
                <w:sz w:val="20"/>
                <w:szCs w:val="20"/>
                <w:color w:val="auto"/>
              </w:rPr>
              <w:t>August 5, 2016</w:t>
            </w:r>
          </w:p>
        </w:tc>
        <w:tc>
          <w:tcPr>
            <w:tcW w:w="542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/s/ Rodney C. Sacks</w:t>
            </w:r>
          </w:p>
        </w:tc>
        <w:tc>
          <w:tcPr>
            <w:tcW w:w="40" w:type="dxa"/>
            <w:vAlign w:val="bottom"/>
          </w:tcPr>
          <w:p>
            <w:pPr>
              <w:spacing w:after="0"/>
              <w:rPr>
                <w:sz w:val="21"/>
                <w:szCs w:val="21"/>
                <w:color w:val="auto"/>
              </w:rPr>
            </w:pPr>
          </w:p>
        </w:tc>
      </w:tr>
      <w:tr>
        <w:trPr>
          <w:trHeight w:val="206"/>
        </w:trPr>
        <w:tc>
          <w:tcPr>
            <w:tcW w:w="84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5420" w:type="dxa"/>
            <w:vAlign w:val="bottom"/>
          </w:tcPr>
          <w:p>
            <w:pPr>
              <w:ind w:left="80"/>
              <w:spacing w:after="0" w:line="207" w:lineRule="exact"/>
              <w:rPr>
                <w:sz w:val="20"/>
                <w:szCs w:val="20"/>
                <w:color w:val="auto"/>
              </w:rPr>
            </w:pPr>
            <w:r>
              <w:rPr>
                <w:rFonts w:ascii="Arial" w:cs="Arial" w:eastAsia="Arial" w:hAnsi="Arial"/>
                <w:sz w:val="20"/>
                <w:szCs w:val="20"/>
                <w:color w:val="auto"/>
              </w:rPr>
              <w:t>Rodney C. Sacks</w:t>
            </w:r>
          </w:p>
        </w:tc>
        <w:tc>
          <w:tcPr>
            <w:tcW w:w="40" w:type="dxa"/>
            <w:vAlign w:val="bottom"/>
          </w:tcPr>
          <w:p>
            <w:pPr>
              <w:spacing w:after="0"/>
              <w:rPr>
                <w:sz w:val="17"/>
                <w:szCs w:val="17"/>
                <w:color w:val="auto"/>
              </w:rPr>
            </w:pPr>
          </w:p>
        </w:tc>
      </w:tr>
      <w:tr>
        <w:trPr>
          <w:trHeight w:val="230"/>
        </w:trPr>
        <w:tc>
          <w:tcPr>
            <w:tcW w:w="8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5420" w:type="dxa"/>
            <w:vAlign w:val="bottom"/>
          </w:tcPr>
          <w:p>
            <w:pPr>
              <w:ind w:left="80"/>
              <w:spacing w:after="0"/>
              <w:rPr>
                <w:sz w:val="20"/>
                <w:szCs w:val="20"/>
                <w:color w:val="auto"/>
              </w:rPr>
            </w:pPr>
            <w:r>
              <w:rPr>
                <w:rFonts w:ascii="Arial" w:cs="Arial" w:eastAsia="Arial" w:hAnsi="Arial"/>
                <w:sz w:val="20"/>
                <w:szCs w:val="20"/>
                <w:color w:val="auto"/>
              </w:rPr>
              <w:t>Chairman of the Board of Directors</w:t>
            </w:r>
          </w:p>
        </w:tc>
        <w:tc>
          <w:tcPr>
            <w:tcW w:w="40" w:type="dxa"/>
            <w:vAlign w:val="bottom"/>
          </w:tcPr>
          <w:p>
            <w:pPr>
              <w:spacing w:after="0"/>
              <w:rPr>
                <w:sz w:val="19"/>
                <w:szCs w:val="19"/>
                <w:color w:val="auto"/>
              </w:rPr>
            </w:pPr>
          </w:p>
        </w:tc>
      </w:tr>
      <w:tr>
        <w:trPr>
          <w:trHeight w:val="250"/>
        </w:trPr>
        <w:tc>
          <w:tcPr>
            <w:tcW w:w="84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5420" w:type="dxa"/>
            <w:vAlign w:val="bottom"/>
          </w:tcPr>
          <w:p>
            <w:pPr>
              <w:ind w:left="80"/>
              <w:spacing w:after="0"/>
              <w:rPr>
                <w:sz w:val="20"/>
                <w:szCs w:val="20"/>
                <w:color w:val="auto"/>
              </w:rPr>
            </w:pPr>
            <w:r>
              <w:rPr>
                <w:rFonts w:ascii="Arial" w:cs="Arial" w:eastAsia="Arial" w:hAnsi="Arial"/>
                <w:sz w:val="20"/>
                <w:szCs w:val="20"/>
                <w:color w:val="auto"/>
              </w:rPr>
              <w:t>and Chief Executive Officer</w:t>
            </w:r>
          </w:p>
        </w:tc>
        <w:tc>
          <w:tcPr>
            <w:tcW w:w="40" w:type="dxa"/>
            <w:vAlign w:val="bottom"/>
          </w:tcPr>
          <w:p>
            <w:pPr>
              <w:spacing w:after="0"/>
              <w:rPr>
                <w:sz w:val="21"/>
                <w:szCs w:val="21"/>
                <w:color w:val="auto"/>
              </w:rPr>
            </w:pPr>
          </w:p>
        </w:tc>
      </w:tr>
      <w:tr>
        <w:trPr>
          <w:trHeight w:val="357"/>
        </w:trPr>
        <w:tc>
          <w:tcPr>
            <w:tcW w:w="840" w:type="dxa"/>
            <w:vAlign w:val="bottom"/>
            <w:tcBorders>
              <w:bottom w:val="single" w:sz="8" w:color="808080"/>
            </w:tcBorders>
          </w:tcPr>
          <w:p>
            <w:pPr>
              <w:spacing w:after="0"/>
              <w:rPr>
                <w:sz w:val="24"/>
                <w:szCs w:val="24"/>
                <w:color w:val="auto"/>
              </w:rPr>
            </w:pPr>
          </w:p>
        </w:tc>
        <w:tc>
          <w:tcPr>
            <w:tcW w:w="5160" w:type="dxa"/>
            <w:vAlign w:val="bottom"/>
            <w:tcBorders>
              <w:bottom w:val="single" w:sz="8" w:color="808080"/>
            </w:tcBorders>
          </w:tcPr>
          <w:p>
            <w:pPr>
              <w:spacing w:after="0"/>
              <w:rPr>
                <w:sz w:val="24"/>
                <w:szCs w:val="24"/>
                <w:color w:val="auto"/>
              </w:rPr>
            </w:pPr>
          </w:p>
        </w:tc>
        <w:tc>
          <w:tcPr>
            <w:tcW w:w="54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2" w:right="199" w:bottom="1440" w:gutter="0" w:footer="0" w:header="0"/>
        </w:sectPr>
      </w:pPr>
    </w:p>
    <w:bookmarkStart w:id="42" w:name="page43"/>
    <w:bookmarkEnd w:id="42"/>
    <w:p>
      <w:pPr>
        <w:jc w:val="right"/>
        <w:ind w:right="40"/>
        <w:spacing w:after="0"/>
        <w:rPr>
          <w:sz w:val="20"/>
          <w:szCs w:val="20"/>
          <w:color w:val="auto"/>
        </w:rPr>
      </w:pPr>
      <w:r>
        <w:rPr>
          <w:rFonts w:ascii="Arial" w:cs="Arial" w:eastAsia="Arial" w:hAnsi="Arial"/>
          <w:sz w:val="22"/>
          <w:szCs w:val="22"/>
          <w:b w:val="1"/>
          <w:bCs w:val="1"/>
          <w:color w:val="auto"/>
        </w:rPr>
        <w:t>EXHIBIT 32.2</w:t>
      </w:r>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18 U.S.C. SECTION 1350,</w:t>
      </w:r>
    </w:p>
    <w:p>
      <w:pPr>
        <w:jc w:val="center"/>
        <w:ind w:right="40"/>
        <w:spacing w:after="0"/>
        <w:rPr>
          <w:sz w:val="20"/>
          <w:szCs w:val="20"/>
          <w:color w:val="auto"/>
        </w:rPr>
      </w:pPr>
      <w:r>
        <w:rPr>
          <w:rFonts w:ascii="Arial" w:cs="Arial" w:eastAsia="Arial" w:hAnsi="Arial"/>
          <w:sz w:val="20"/>
          <w:szCs w:val="20"/>
          <w:color w:val="auto"/>
        </w:rPr>
        <w:t>AS ADOPTED PURSUANT TO</w:t>
      </w:r>
    </w:p>
    <w:p>
      <w:pPr>
        <w:jc w:val="center"/>
        <w:ind w:right="40"/>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In connection with the quarterly report of Monster Beverage Corporation (the “Company”) on Form 10-Q for the quarter ended June 30, 2016 as filed with the Securities and Exchange Commission (the “Report”), the undersigned, Hilton H. Schlosberg, Vice Chairman of the Board of Directors, President, Chief Operating Officer, Chief Financial Officer and Secretary of the Company, certifies, pursuant to 18 U.S.C. 1350, as adopted pursuant to Section 906 of the Sarbanes-Oxley Act of 2002, that:</w:t>
      </w:r>
    </w:p>
    <w:p>
      <w:pPr>
        <w:spacing w:after="0" w:line="205" w:lineRule="exact"/>
        <w:rPr>
          <w:sz w:val="20"/>
          <w:szCs w:val="20"/>
          <w:color w:val="auto"/>
        </w:rPr>
      </w:pPr>
    </w:p>
    <w:p>
      <w:pPr>
        <w:ind w:left="960" w:hanging="304"/>
        <w:spacing w:after="0"/>
        <w:tabs>
          <w:tab w:leader="none" w:pos="96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980" w:right="160" w:hanging="324"/>
        <w:spacing w:after="0" w:line="260" w:lineRule="auto"/>
        <w:tabs>
          <w:tab w:leader="none" w:pos="966"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40" w:type="dxa"/>
            <w:vAlign w:val="bottom"/>
          </w:tcPr>
          <w:p>
            <w:pPr>
              <w:spacing w:after="0"/>
              <w:rPr>
                <w:sz w:val="20"/>
                <w:szCs w:val="20"/>
                <w:color w:val="auto"/>
              </w:rPr>
            </w:pPr>
            <w:r>
              <w:rPr>
                <w:rFonts w:ascii="Arial" w:cs="Arial" w:eastAsia="Arial" w:hAnsi="Arial"/>
                <w:sz w:val="20"/>
                <w:szCs w:val="20"/>
                <w:color w:val="auto"/>
              </w:rPr>
              <w:t>Date:</w:t>
            </w:r>
          </w:p>
        </w:tc>
        <w:tc>
          <w:tcPr>
            <w:tcW w:w="5160" w:type="dxa"/>
            <w:vAlign w:val="bottom"/>
          </w:tcPr>
          <w:p>
            <w:pPr>
              <w:ind w:left="420"/>
              <w:spacing w:after="0"/>
              <w:rPr>
                <w:sz w:val="20"/>
                <w:szCs w:val="20"/>
                <w:color w:val="auto"/>
              </w:rPr>
            </w:pPr>
            <w:r>
              <w:rPr>
                <w:rFonts w:ascii="Arial" w:cs="Arial" w:eastAsia="Arial" w:hAnsi="Arial"/>
                <w:sz w:val="20"/>
                <w:szCs w:val="20"/>
                <w:color w:val="auto"/>
              </w:rPr>
              <w:t>August 5, 2016</w:t>
            </w:r>
          </w:p>
        </w:tc>
        <w:tc>
          <w:tcPr>
            <w:tcW w:w="476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/s/ Hilton H. Schlosberg</w:t>
            </w:r>
          </w:p>
        </w:tc>
        <w:tc>
          <w:tcPr>
            <w:tcW w:w="700" w:type="dxa"/>
            <w:vAlign w:val="bottom"/>
          </w:tcPr>
          <w:p>
            <w:pPr>
              <w:spacing w:after="0"/>
              <w:rPr>
                <w:sz w:val="21"/>
                <w:szCs w:val="21"/>
                <w:color w:val="auto"/>
              </w:rPr>
            </w:pPr>
          </w:p>
        </w:tc>
      </w:tr>
      <w:tr>
        <w:trPr>
          <w:trHeight w:val="206"/>
        </w:trPr>
        <w:tc>
          <w:tcPr>
            <w:tcW w:w="84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4760" w:type="dxa"/>
            <w:vAlign w:val="bottom"/>
          </w:tcPr>
          <w:p>
            <w:pPr>
              <w:ind w:left="80"/>
              <w:spacing w:after="0" w:line="207" w:lineRule="exact"/>
              <w:rPr>
                <w:sz w:val="20"/>
                <w:szCs w:val="20"/>
                <w:color w:val="auto"/>
              </w:rPr>
            </w:pPr>
            <w:r>
              <w:rPr>
                <w:rFonts w:ascii="Arial" w:cs="Arial" w:eastAsia="Arial" w:hAnsi="Arial"/>
                <w:sz w:val="20"/>
                <w:szCs w:val="20"/>
                <w:color w:val="auto"/>
              </w:rPr>
              <w:t>Hilton H. Schlosberg</w:t>
            </w:r>
          </w:p>
        </w:tc>
        <w:tc>
          <w:tcPr>
            <w:tcW w:w="700" w:type="dxa"/>
            <w:vAlign w:val="bottom"/>
          </w:tcPr>
          <w:p>
            <w:pPr>
              <w:spacing w:after="0"/>
              <w:rPr>
                <w:sz w:val="17"/>
                <w:szCs w:val="17"/>
                <w:color w:val="auto"/>
              </w:rPr>
            </w:pPr>
          </w:p>
        </w:tc>
      </w:tr>
      <w:tr>
        <w:trPr>
          <w:trHeight w:val="230"/>
        </w:trPr>
        <w:tc>
          <w:tcPr>
            <w:tcW w:w="8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4760" w:type="dxa"/>
            <w:vAlign w:val="bottom"/>
          </w:tcPr>
          <w:p>
            <w:pPr>
              <w:ind w:left="80"/>
              <w:spacing w:after="0"/>
              <w:rPr>
                <w:sz w:val="20"/>
                <w:szCs w:val="20"/>
                <w:color w:val="auto"/>
              </w:rPr>
            </w:pPr>
            <w:r>
              <w:rPr>
                <w:rFonts w:ascii="Arial" w:cs="Arial" w:eastAsia="Arial" w:hAnsi="Arial"/>
                <w:sz w:val="20"/>
                <w:szCs w:val="20"/>
                <w:color w:val="auto"/>
              </w:rPr>
              <w:t>Vice Chairman of the Board of Directors,</w:t>
            </w:r>
          </w:p>
        </w:tc>
        <w:tc>
          <w:tcPr>
            <w:tcW w:w="700" w:type="dxa"/>
            <w:vAlign w:val="bottom"/>
          </w:tcPr>
          <w:p>
            <w:pPr>
              <w:spacing w:after="0"/>
              <w:rPr>
                <w:sz w:val="19"/>
                <w:szCs w:val="19"/>
                <w:color w:val="auto"/>
              </w:rPr>
            </w:pPr>
          </w:p>
        </w:tc>
      </w:tr>
      <w:tr>
        <w:trPr>
          <w:trHeight w:val="230"/>
        </w:trPr>
        <w:tc>
          <w:tcPr>
            <w:tcW w:w="8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4760" w:type="dxa"/>
            <w:vAlign w:val="bottom"/>
          </w:tcPr>
          <w:p>
            <w:pPr>
              <w:ind w:left="80"/>
              <w:spacing w:after="0"/>
              <w:rPr>
                <w:sz w:val="20"/>
                <w:szCs w:val="20"/>
                <w:color w:val="auto"/>
              </w:rPr>
            </w:pPr>
            <w:r>
              <w:rPr>
                <w:rFonts w:ascii="Arial" w:cs="Arial" w:eastAsia="Arial" w:hAnsi="Arial"/>
                <w:sz w:val="20"/>
                <w:szCs w:val="20"/>
                <w:color w:val="auto"/>
              </w:rPr>
              <w:t>President, Chief Operating Officer, Chief</w:t>
            </w:r>
          </w:p>
        </w:tc>
        <w:tc>
          <w:tcPr>
            <w:tcW w:w="700" w:type="dxa"/>
            <w:vAlign w:val="bottom"/>
          </w:tcPr>
          <w:p>
            <w:pPr>
              <w:spacing w:after="0"/>
              <w:rPr>
                <w:sz w:val="19"/>
                <w:szCs w:val="19"/>
                <w:color w:val="auto"/>
              </w:rPr>
            </w:pPr>
          </w:p>
        </w:tc>
      </w:tr>
      <w:tr>
        <w:trPr>
          <w:trHeight w:val="250"/>
        </w:trPr>
        <w:tc>
          <w:tcPr>
            <w:tcW w:w="84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4760" w:type="dxa"/>
            <w:vAlign w:val="bottom"/>
          </w:tcPr>
          <w:p>
            <w:pPr>
              <w:ind w:left="80"/>
              <w:spacing w:after="0"/>
              <w:rPr>
                <w:sz w:val="20"/>
                <w:szCs w:val="20"/>
                <w:color w:val="auto"/>
              </w:rPr>
            </w:pPr>
            <w:r>
              <w:rPr>
                <w:rFonts w:ascii="Arial" w:cs="Arial" w:eastAsia="Arial" w:hAnsi="Arial"/>
                <w:sz w:val="20"/>
                <w:szCs w:val="20"/>
                <w:color w:val="auto"/>
              </w:rPr>
              <w:t>Financial Officer and Secretary</w:t>
            </w:r>
          </w:p>
        </w:tc>
        <w:tc>
          <w:tcPr>
            <w:tcW w:w="700" w:type="dxa"/>
            <w:vAlign w:val="bottom"/>
          </w:tcPr>
          <w:p>
            <w:pPr>
              <w:spacing w:after="0"/>
              <w:rPr>
                <w:sz w:val="21"/>
                <w:szCs w:val="21"/>
                <w:color w:val="auto"/>
              </w:rPr>
            </w:pPr>
          </w:p>
        </w:tc>
      </w:tr>
      <w:tr>
        <w:trPr>
          <w:trHeight w:val="357"/>
        </w:trPr>
        <w:tc>
          <w:tcPr>
            <w:tcW w:w="840" w:type="dxa"/>
            <w:vAlign w:val="bottom"/>
            <w:tcBorders>
              <w:bottom w:val="single" w:sz="8" w:color="808080"/>
            </w:tcBorders>
          </w:tcPr>
          <w:p>
            <w:pPr>
              <w:spacing w:after="0"/>
              <w:rPr>
                <w:sz w:val="24"/>
                <w:szCs w:val="24"/>
                <w:color w:val="auto"/>
              </w:rPr>
            </w:pPr>
          </w:p>
        </w:tc>
        <w:tc>
          <w:tcPr>
            <w:tcW w:w="5160" w:type="dxa"/>
            <w:vAlign w:val="bottom"/>
            <w:tcBorders>
              <w:bottom w:val="single" w:sz="8" w:color="808080"/>
            </w:tcBorders>
          </w:tcPr>
          <w:p>
            <w:pPr>
              <w:spacing w:after="0"/>
              <w:rPr>
                <w:sz w:val="24"/>
                <w:szCs w:val="24"/>
                <w:color w:val="auto"/>
              </w:rPr>
            </w:pPr>
          </w:p>
        </w:tc>
        <w:tc>
          <w:tcPr>
            <w:tcW w:w="47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12"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1."/>
      <w:numFmt w:val="decimal"/>
      <w:start w:val="1"/>
    </w:lvl>
  </w:abstractNum>
  <w:abstractNum w:abstractNumId="1">
    <w:nsid w:val="54E49EB4"/>
    <w:multiLevelType w:val="hybridMultilevel"/>
    <w:lvl w:ilvl="0">
      <w:lvlJc w:val="left"/>
      <w:lvlText w:val="%1."/>
      <w:numFmt w:val="decimal"/>
      <w:start w:val="2"/>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1"/>
      <w:numFmt w:val="bullet"/>
      <w:start w:val="1"/>
    </w:lvl>
  </w:abstractNum>
  <w:abstractNum w:abstractNumId="4">
    <w:nsid w:val="836C40E"/>
    <w:multiLevelType w:val="hybridMultilevel"/>
    <w:lvl w:ilvl="0">
      <w:lvlJc w:val="left"/>
      <w:lvlText w:val="2"/>
      <w:numFmt w:val="bullet"/>
      <w:start w:val="1"/>
    </w:lvl>
  </w:abstractNum>
  <w:abstractNum w:abstractNumId="5">
    <w:nsid w:val="2901D82"/>
    <w:multiLevelType w:val="hybridMultilevel"/>
    <w:lvl w:ilvl="0">
      <w:lvlJc w:val="left"/>
      <w:lvlText w:val="3"/>
      <w:numFmt w:val="bullet"/>
      <w:start w:val="1"/>
    </w:lvl>
  </w:abstractNum>
  <w:abstractNum w:abstractNumId="6">
    <w:nsid w:val="3A95F874"/>
    <w:multiLevelType w:val="hybridMultilevel"/>
    <w:lvl w:ilvl="0">
      <w:lvlJc w:val="left"/>
      <w:lvlText w:val="%1."/>
      <w:numFmt w:val="decimal"/>
      <w:start w:val="3"/>
    </w:lvl>
  </w:abstractNum>
  <w:abstractNum w:abstractNumId="7">
    <w:nsid w:val="8138641"/>
    <w:multiLevelType w:val="hybridMultilevel"/>
    <w:lvl w:ilvl="0">
      <w:lvlJc w:val="left"/>
      <w:lvlText w:val="(%1)"/>
      <w:numFmt w:val="lowerRoman"/>
      <w:start w:val="1"/>
    </w:lvl>
  </w:abstractNum>
  <w:abstractNum w:abstractNumId="8">
    <w:nsid w:val="1E7FF521"/>
    <w:multiLevelType w:val="hybridMultilevel"/>
    <w:lvl w:ilvl="0">
      <w:lvlJc w:val="left"/>
      <w:lvlText w:val="(%1)"/>
      <w:numFmt w:val="lowerRoman"/>
      <w:start w:val="4"/>
    </w:lvl>
  </w:abstractNum>
  <w:abstractNum w:abstractNumId="9">
    <w:nsid w:val="7C3DBD3D"/>
    <w:multiLevelType w:val="hybridMultilevel"/>
    <w:lvl w:ilvl="0">
      <w:lvlJc w:val="left"/>
      <w:lvlText w:val="%1."/>
      <w:numFmt w:val="decimal"/>
      <w:start w:val="4"/>
    </w:lvl>
  </w:abstractNum>
  <w:abstractNum w:abstractNumId="10">
    <w:nsid w:val="737B8DDC"/>
    <w:multiLevelType w:val="hybridMultilevel"/>
    <w:lvl w:ilvl="0">
      <w:lvlJc w:val="left"/>
      <w:lvlText w:val="%1."/>
      <w:numFmt w:val="decimal"/>
      <w:start w:val="5"/>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1."/>
      <w:numFmt w:val="decimal"/>
      <w:start w:val="6"/>
    </w:lvl>
  </w:abstractNum>
  <w:abstractNum w:abstractNumId="13">
    <w:nsid w:val="4516DDE9"/>
    <w:multiLevelType w:val="hybridMultilevel"/>
    <w:lvl w:ilvl="0">
      <w:lvlJc w:val="left"/>
      <w:lvlText w:val="%1."/>
      <w:numFmt w:val="decimal"/>
      <w:start w:val="7"/>
    </w:lvl>
  </w:abstractNum>
  <w:abstractNum w:abstractNumId="14">
    <w:nsid w:val="3006C83E"/>
    <w:multiLevelType w:val="hybridMultilevel"/>
    <w:lvl w:ilvl="0">
      <w:lvlJc w:val="left"/>
      <w:lvlText w:val="%1."/>
      <w:numFmt w:val="decimal"/>
      <w:start w:val="8"/>
    </w:lvl>
  </w:abstractNum>
  <w:abstractNum w:abstractNumId="15">
    <w:nsid w:val="614FD4A1"/>
    <w:multiLevelType w:val="hybridMultilevel"/>
    <w:lvl w:ilvl="0">
      <w:lvlJc w:val="left"/>
      <w:lvlText w:val="%1."/>
      <w:numFmt w:val="decimal"/>
      <w:start w:val="9"/>
    </w:lvl>
  </w:abstractNum>
  <w:abstractNum w:abstractNumId="16">
    <w:nsid w:val="419AC241"/>
    <w:multiLevelType w:val="hybridMultilevel"/>
    <w:lvl w:ilvl="0">
      <w:lvlJc w:val="left"/>
      <w:lvlText w:val="%1."/>
      <w:numFmt w:val="decimal"/>
      <w:start w:val="10"/>
    </w:lvl>
  </w:abstractNum>
  <w:abstractNum w:abstractNumId="17">
    <w:nsid w:val="5577F8E1"/>
    <w:multiLevelType w:val="hybridMultilevel"/>
    <w:lvl w:ilvl="0">
      <w:lvlJc w:val="left"/>
      <w:lvlText w:val="%1."/>
      <w:numFmt w:val="decimal"/>
      <w:start w:val="11"/>
    </w:lvl>
  </w:abstractNum>
  <w:abstractNum w:abstractNumId="18">
    <w:nsid w:val="440BADFC"/>
    <w:multiLevelType w:val="hybridMultilevel"/>
    <w:lvl w:ilvl="0">
      <w:lvlJc w:val="left"/>
      <w:lvlText w:val="(%1)"/>
      <w:numFmt w:val="lowerRoman"/>
      <w:start w:val="1"/>
    </w:lvl>
    <w:lvl w:ilvl="1">
      <w:lvlJc w:val="left"/>
      <w:lvlText w:val="(%2)"/>
      <w:numFmt w:val="lowerRoman"/>
      <w:start w:val="1"/>
    </w:lvl>
  </w:abstractNum>
  <w:abstractNum w:abstractNumId="19">
    <w:nsid w:val="5072367"/>
    <w:multiLevelType w:val="hybridMultilevel"/>
    <w:lvl w:ilvl="0">
      <w:lvlJc w:val="left"/>
      <w:lvlText w:val="%1."/>
      <w:numFmt w:val="decimal"/>
      <w:start w:val="12"/>
    </w:lvl>
  </w:abstractNum>
  <w:abstractNum w:abstractNumId="20">
    <w:nsid w:val="3804823E"/>
    <w:multiLevelType w:val="hybridMultilevel"/>
    <w:lvl w:ilvl="0">
      <w:lvlJc w:val="left"/>
      <w:lvlText w:val="%1."/>
      <w:numFmt w:val="decimal"/>
      <w:start w:val="14"/>
    </w:lvl>
  </w:abstractNum>
  <w:abstractNum w:abstractNumId="21">
    <w:nsid w:val="77465F01"/>
    <w:multiLevelType w:val="hybridMultilevel"/>
    <w:lvl w:ilvl="0">
      <w:lvlJc w:val="left"/>
      <w:lvlText w:val="%1."/>
      <w:numFmt w:val="decimal"/>
      <w:start w:val="15"/>
    </w:lvl>
  </w:abstractNum>
  <w:abstractNum w:abstractNumId="22">
    <w:nsid w:val="7724C67E"/>
    <w:multiLevelType w:val="hybridMultilevel"/>
    <w:lvl w:ilvl="0">
      <w:lvlJc w:val="left"/>
      <w:lvlText w:val="%1."/>
      <w:numFmt w:val="decimal"/>
      <w:start w:val="16"/>
    </w:lvl>
  </w:abstractNum>
  <w:abstractNum w:abstractNumId="23">
    <w:nsid w:val="5C482A97"/>
    <w:multiLevelType w:val="hybridMultilevel"/>
    <w:lvl w:ilvl="0">
      <w:lvlJc w:val="left"/>
      <w:lvlText w:val="%1."/>
      <w:numFmt w:val="decimal"/>
      <w:start w:val="17"/>
    </w:lvl>
  </w:abstractNum>
  <w:abstractNum w:abstractNumId="24">
    <w:nsid w:val="2463B9EA"/>
    <w:multiLevelType w:val="hybridMultilevel"/>
    <w:lvl w:ilvl="0">
      <w:lvlJc w:val="left"/>
      <w:lvlText w:val="(%1)"/>
      <w:numFmt w:val="decimal"/>
      <w:start w:val="1"/>
    </w:lvl>
  </w:abstractNum>
  <w:abstractNum w:abstractNumId="25">
    <w:nsid w:val="5E884ADC"/>
    <w:multiLevelType w:val="hybridMultilevel"/>
    <w:lvl w:ilvl="0">
      <w:lvlJc w:val="left"/>
      <w:lvlText w:val="%1."/>
      <w:numFmt w:val="decimal"/>
      <w:start w:val="18"/>
    </w:lvl>
  </w:abstractNum>
  <w:abstractNum w:abstractNumId="26">
    <w:nsid w:val="51EAD36B"/>
    <w:multiLevelType w:val="hybridMultilevel"/>
    <w:lvl w:ilvl="0">
      <w:lvlJc w:val="left"/>
      <w:lvlText w:val="%1."/>
      <w:numFmt w:val="decimal"/>
      <w:start w:val="19"/>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1)"/>
      <w:numFmt w:val="lowerRoman"/>
      <w:start w:val="1"/>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1)"/>
      <w:numFmt w:val="decimal"/>
      <w:start w:val="4"/>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1)"/>
      <w:numFmt w:val="decimal"/>
      <w:start w:val="2"/>
    </w:lvl>
  </w:abstractNum>
  <w:abstractNum w:abstractNumId="36">
    <w:nsid w:val="2CD89A32"/>
    <w:multiLevelType w:val="hybridMultilevel"/>
    <w:lvl w:ilvl="0">
      <w:lvlJc w:val="left"/>
      <w:lvlText w:val="%1."/>
      <w:numFmt w:val="upperLetter"/>
      <w:start w:val="1"/>
    </w:lvl>
  </w:abstractNum>
  <w:abstractNum w:abstractNumId="37">
    <w:nsid w:val="57E4CCAF"/>
    <w:multiLevelType w:val="hybridMultilevel"/>
    <w:lvl w:ilvl="0">
      <w:lvlJc w:val="left"/>
      <w:lvlText w:val="(%1)"/>
      <w:numFmt w:val="lowerRoman"/>
      <w:start w:val="3"/>
    </w:lvl>
    <w:lvl w:ilvl="1">
      <w:lvlJc w:val="left"/>
      <w:lvlText w:val="%2"/>
      <w:numFmt w:val="upperLetter"/>
      <w:start w:val="1"/>
    </w:lvl>
  </w:abstractNum>
  <w:abstractNum w:abstractNumId="38">
    <w:nsid w:val="7A6D8D3C"/>
    <w:multiLevelType w:val="hybridMultilevel"/>
    <w:lvl w:ilvl="0">
      <w:lvlJc w:val="left"/>
      <w:lvlText w:val="%1."/>
      <w:numFmt w:val="upperLetter"/>
      <w:start w:val="3"/>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1."/>
      <w:numFmt w:val="decimal"/>
      <w:start w:val="3"/>
    </w:lvl>
  </w:abstractNum>
  <w:abstractNum w:abstractNumId="41">
    <w:nsid w:val="6DE91B18"/>
    <w:multiLevelType w:val="hybridMultilevel"/>
    <w:lvl w:ilvl="0">
      <w:lvlJc w:val="left"/>
      <w:lvlText w:val="%1."/>
      <w:numFmt w:val="decimal"/>
      <w:start w:val="4"/>
    </w:lvl>
  </w:abstractNum>
  <w:abstractNum w:abstractNumId="42">
    <w:nsid w:val="38437FDB"/>
    <w:multiLevelType w:val="hybridMultilevel"/>
    <w:lvl w:ilvl="0">
      <w:lvlJc w:val="left"/>
      <w:lvlText w:val="%1."/>
      <w:numFmt w:val="decimal"/>
      <w:start w:val="6"/>
    </w:lvl>
  </w:abstractNum>
  <w:abstractNum w:abstractNumId="43">
    <w:nsid w:val="7644A45C"/>
    <w:multiLevelType w:val="hybridMultilevel"/>
    <w:lvl w:ilvl="0">
      <w:lvlJc w:val="left"/>
      <w:lvlText w:val="%1."/>
      <w:numFmt w:val="decimal"/>
      <w:start w:val="7"/>
    </w:lvl>
  </w:abstractNum>
  <w:abstractNum w:abstractNumId="44">
    <w:nsid w:val="32FFF902"/>
    <w:multiLevelType w:val="hybridMultilevel"/>
    <w:lvl w:ilvl="0">
      <w:lvlJc w:val="left"/>
      <w:lvlText w:val="%1."/>
      <w:numFmt w:val="decimal"/>
      <w:start w:val="8"/>
    </w:lvl>
  </w:abstractNum>
  <w:abstractNum w:abstractNumId="45">
    <w:nsid w:val="684A481A"/>
    <w:multiLevelType w:val="hybridMultilevel"/>
    <w:lvl w:ilvl="0">
      <w:lvlJc w:val="left"/>
      <w:lvlText w:val="%1."/>
      <w:numFmt w:val="decimal"/>
      <w:start w:val="9"/>
    </w:lvl>
  </w:abstractNum>
  <w:abstractNum w:abstractNumId="46">
    <w:nsid w:val="579478FE"/>
    <w:multiLevelType w:val="hybridMultilevel"/>
    <w:lvl w:ilvl="0">
      <w:lvlJc w:val="left"/>
      <w:lvlText w:val="%1."/>
      <w:numFmt w:val="decimal"/>
      <w:start w:val="10"/>
    </w:lvl>
  </w:abstractNum>
  <w:abstractNum w:abstractNumId="47">
    <w:nsid w:val="749ABB43"/>
    <w:multiLevelType w:val="hybridMultilevel"/>
    <w:lvl w:ilvl="0">
      <w:lvlJc w:val="left"/>
      <w:lvlText w:val="%1."/>
      <w:numFmt w:val="decimal"/>
      <w:start w:val="12"/>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2019-12-29T10:13:37Z</dcterms:created>
  <dcterms:modified xsi:type="dcterms:W3CDTF">2019-12-29T10:13:37Z</dcterms:modified>
</cp:coreProperties>
</file>