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color w:val="auto"/>
        </w:rPr>
        <w:t>For the quarterly period ended March 31, 2024</w:t>
      </w:r>
      <w:r>
        <w:rPr>
          <w:sz w:val="20"/>
          <w:szCs w:val="20"/>
          <w:color w:val="auto"/>
        </w:rPr>
        <w:tab/>
      </w:r>
      <w:r>
        <w:rPr>
          <w:rFonts w:ascii="Times New Roman" w:cs="Times New Roman" w:eastAsia="Times New Roman" w:hAnsi="Times New Roman"/>
          <w:sz w:val="18"/>
          <w:szCs w:val="18"/>
          <w:color w:val="auto"/>
        </w:rPr>
        <w:t>Commission File Number 001-18761</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340" w:type="dxa"/>
            <w:vAlign w:val="bottom"/>
          </w:tcPr>
          <w:p>
            <w:pPr>
              <w:jc w:val="center"/>
              <w:ind w:left="2376"/>
              <w:spacing w:after="0"/>
              <w:rPr>
                <w:sz w:val="20"/>
                <w:szCs w:val="20"/>
                <w:color w:val="auto"/>
              </w:rPr>
            </w:pPr>
            <w:r>
              <w:rPr>
                <w:rFonts w:ascii="Times New Roman" w:cs="Times New Roman" w:eastAsia="Times New Roman" w:hAnsi="Times New Roman"/>
                <w:sz w:val="18"/>
                <w:szCs w:val="18"/>
                <w:color w:val="auto"/>
                <w:w w:val="98"/>
              </w:rPr>
              <w:t>Delaware</w:t>
            </w:r>
          </w:p>
        </w:tc>
        <w:tc>
          <w:tcPr>
            <w:tcW w:w="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60" w:type="dxa"/>
            <w:vAlign w:val="bottom"/>
          </w:tcPr>
          <w:p>
            <w:pPr>
              <w:jc w:val="center"/>
              <w:ind w:right="2017"/>
              <w:spacing w:after="0"/>
              <w:rPr>
                <w:sz w:val="20"/>
                <w:szCs w:val="20"/>
                <w:color w:val="auto"/>
              </w:rPr>
            </w:pPr>
            <w:r>
              <w:rPr>
                <w:rFonts w:ascii="Times New Roman" w:cs="Times New Roman" w:eastAsia="Times New Roman" w:hAnsi="Times New Roman"/>
                <w:sz w:val="18"/>
                <w:szCs w:val="18"/>
                <w:color w:val="auto"/>
              </w:rPr>
              <w:t>47-1809393</w:t>
            </w:r>
          </w:p>
        </w:tc>
      </w:tr>
      <w:tr>
        <w:trPr>
          <w:trHeight w:val="148"/>
        </w:trPr>
        <w:tc>
          <w:tcPr>
            <w:tcW w:w="608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60" w:type="dxa"/>
            <w:vAlign w:val="bottom"/>
          </w:tcPr>
          <w:p>
            <w:pPr>
              <w:jc w:val="center"/>
              <w:ind w:right="1997"/>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08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60" w:type="dxa"/>
            <w:vAlign w:val="bottom"/>
          </w:tcPr>
          <w:p>
            <w:pPr>
              <w:jc w:val="center"/>
              <w:ind w:right="2017"/>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16"/>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Monster Way</w:t>
            </w:r>
          </w:p>
        </w:tc>
        <w:tc>
          <w:tcPr>
            <w:tcW w:w="386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3860" w:type="dxa"/>
            <w:vAlign w:val="bottom"/>
          </w:tcPr>
          <w:p>
            <w:pPr>
              <w:spacing w:after="0"/>
              <w:rPr>
                <w:sz w:val="18"/>
                <w:szCs w:val="18"/>
                <w:color w:val="auto"/>
              </w:rPr>
            </w:pPr>
          </w:p>
        </w:tc>
      </w:tr>
      <w:tr>
        <w:trPr>
          <w:trHeight w:val="188"/>
        </w:trPr>
        <w:tc>
          <w:tcPr>
            <w:tcW w:w="3340" w:type="dxa"/>
            <w:vAlign w:val="bottom"/>
          </w:tcPr>
          <w:p>
            <w:pPr>
              <w:spacing w:after="0"/>
              <w:rPr>
                <w:sz w:val="16"/>
                <w:szCs w:val="16"/>
                <w:color w:val="auto"/>
              </w:rPr>
            </w:pPr>
          </w:p>
        </w:tc>
        <w:tc>
          <w:tcPr>
            <w:tcW w:w="6600" w:type="dxa"/>
            <w:vAlign w:val="bottom"/>
            <w:gridSpan w:val="3"/>
          </w:tcPr>
          <w:p>
            <w:pPr>
              <w:jc w:val="center"/>
              <w:ind w:right="3277"/>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311"/>
        </w:trPr>
        <w:tc>
          <w:tcPr>
            <w:tcW w:w="3340" w:type="dxa"/>
            <w:vAlign w:val="bottom"/>
          </w:tcPr>
          <w:p>
            <w:pPr>
              <w:spacing w:after="0"/>
              <w:rPr>
                <w:sz w:val="24"/>
                <w:szCs w:val="24"/>
                <w:color w:val="auto"/>
              </w:rPr>
            </w:pPr>
          </w:p>
        </w:tc>
        <w:tc>
          <w:tcPr>
            <w:tcW w:w="274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color w:val="auto"/>
              </w:rPr>
              <w:t>(951) 739 - 6200</w:t>
            </w:r>
          </w:p>
        </w:tc>
        <w:tc>
          <w:tcPr>
            <w:tcW w:w="3860" w:type="dxa"/>
            <w:vAlign w:val="bottom"/>
          </w:tcPr>
          <w:p>
            <w:pPr>
              <w:spacing w:after="0"/>
              <w:rPr>
                <w:sz w:val="24"/>
                <w:szCs w:val="24"/>
                <w:color w:val="auto"/>
              </w:rPr>
            </w:pPr>
          </w:p>
        </w:tc>
      </w:tr>
      <w:tr>
        <w:trPr>
          <w:trHeight w:val="188"/>
        </w:trPr>
        <w:tc>
          <w:tcPr>
            <w:tcW w:w="3340" w:type="dxa"/>
            <w:vAlign w:val="bottom"/>
          </w:tcPr>
          <w:p>
            <w:pPr>
              <w:spacing w:after="0"/>
              <w:rPr>
                <w:sz w:val="16"/>
                <w:szCs w:val="16"/>
                <w:color w:val="auto"/>
              </w:rPr>
            </w:pPr>
          </w:p>
        </w:tc>
        <w:tc>
          <w:tcPr>
            <w:tcW w:w="6600" w:type="dxa"/>
            <w:vAlign w:val="bottom"/>
            <w:gridSpan w:val="3"/>
          </w:tcPr>
          <w:p>
            <w:pPr>
              <w:jc w:val="center"/>
              <w:ind w:right="327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60" w:type="dxa"/>
            <w:vAlign w:val="bottom"/>
          </w:tcPr>
          <w:p>
            <w:pPr>
              <w:spacing w:after="0"/>
              <w:rPr>
                <w:sz w:val="24"/>
                <w:szCs w:val="24"/>
                <w:color w:val="auto"/>
              </w:rPr>
            </w:pPr>
          </w:p>
        </w:tc>
      </w:tr>
      <w:tr>
        <w:trPr>
          <w:trHeight w:val="148"/>
        </w:trPr>
        <w:tc>
          <w:tcPr>
            <w:tcW w:w="3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r>
      <w:tr>
        <w:trPr>
          <w:trHeight w:val="210"/>
        </w:trPr>
        <w:tc>
          <w:tcPr>
            <w:tcW w:w="3340" w:type="dxa"/>
            <w:vAlign w:val="bottom"/>
            <w:tcBorders>
              <w:left w:val="single" w:sz="8" w:color="auto"/>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340" w:type="dxa"/>
            <w:vAlign w:val="bottom"/>
            <w:tcBorders>
              <w:left w:val="single" w:sz="8" w:color="auto"/>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9"/>
              </w:rPr>
              <w:t>Common Stock</w:t>
            </w:r>
          </w:p>
        </w:tc>
        <w:tc>
          <w:tcPr>
            <w:tcW w:w="5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MNST</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17"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6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4320" w:space="720"/>
            <w:col w:w="4900"/>
          </w:cols>
          <w:pgMar w:left="980" w:top="661" w:right="979" w:bottom="1440" w:gutter="0" w:footer="0" w:header="0"/>
          <w:type w:val="continuous"/>
        </w:sect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Yes __</w:t>
        <w:tab/>
        <w:t xml:space="preserve">No </w:t>
      </w:r>
      <w:r>
        <w:rPr>
          <w:rFonts w:ascii="Times New Roman" w:cs="Times New Roman" w:eastAsia="Times New Roman" w:hAnsi="Times New Roman"/>
          <w:sz w:val="18"/>
          <w:szCs w:val="18"/>
          <w:u w:val="single" w:color="auto"/>
          <w:color w:val="auto"/>
        </w:rPr>
        <w:t>X</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registrant had 1,041,728,228 shares of common stock, par value $0.005 per share, outstanding as of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19"/>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1860" w:type="dxa"/>
            <w:vAlign w:val="bottom"/>
            <w:tcBorders>
              <w:top w:val="single" w:sz="8" w:color="auto"/>
            </w:tcBorders>
            <w:gridSpan w:val="3"/>
          </w:tcPr>
          <w:p>
            <w:pPr>
              <w:spacing w:after="0"/>
              <w:rPr>
                <w:sz w:val="17"/>
                <w:szCs w:val="17"/>
                <w:color w:val="auto"/>
              </w:rPr>
            </w:pPr>
          </w:p>
        </w:tc>
        <w:tc>
          <w:tcPr>
            <w:tcW w:w="166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920" w:type="dxa"/>
            <w:vAlign w:val="bottom"/>
            <w:gridSpan w:val="11"/>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520" w:type="dxa"/>
            <w:vAlign w:val="bottom"/>
            <w:gridSpan w:val="3"/>
            <w:vMerge w:val="restart"/>
          </w:tcPr>
          <w:p>
            <w:pPr>
              <w:spacing w:after="0" w:line="20" w:lineRule="exact"/>
              <w:rPr>
                <w:sz w:val="1"/>
                <w:szCs w:val="1"/>
                <w:color w:val="auto"/>
              </w:rPr>
            </w:pPr>
          </w:p>
        </w:tc>
        <w:tc>
          <w:tcPr>
            <w:tcW w:w="42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3900" w:type="dxa"/>
            <w:vAlign w:val="bottom"/>
            <w:gridSpan w:val="10"/>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00" w:type="dxa"/>
            <w:vAlign w:val="bottom"/>
            <w:tcBorders>
              <w:bottom w:val="single" w:sz="8" w:color="0000EE"/>
            </w:tcBorders>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4260" w:type="dxa"/>
            <w:vAlign w:val="bottom"/>
            <w:tcBorders>
              <w:bottom w:val="single" w:sz="8" w:color="0000EE"/>
            </w:tcBorders>
            <w:gridSpan w:val="16"/>
            <w:vMerge w:val="continue"/>
          </w:tcPr>
          <w:p>
            <w:pPr>
              <w:spacing w:after="0"/>
              <w:rPr>
                <w:sz w:val="24"/>
                <w:szCs w:val="24"/>
                <w:color w:val="auto"/>
              </w:rPr>
            </w:pPr>
          </w:p>
        </w:tc>
        <w:tc>
          <w:tcPr>
            <w:tcW w:w="3900" w:type="dxa"/>
            <w:vAlign w:val="bottom"/>
            <w:gridSpan w:val="10"/>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2024 and December 31, 2023</w:t>
            </w:r>
          </w:p>
        </w:tc>
        <w:tc>
          <w:tcPr>
            <w:tcW w:w="188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for the Three-Months Ended March 31,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Three-Months Ended March 31, 2024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4"/>
              </w:rPr>
              <w:t>and 2023</w:t>
            </w:r>
          </w:p>
        </w:tc>
        <w:tc>
          <w:tcPr>
            <w:tcW w:w="7560" w:type="dxa"/>
            <w:vAlign w:val="bottom"/>
            <w:gridSpan w:val="2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Three-Months Ended March 31, 2024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Three-Months Ended March 31, 2024 and 2023</w:t>
            </w:r>
          </w:p>
        </w:tc>
        <w:tc>
          <w:tcPr>
            <w:tcW w:w="4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16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0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38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440" w:type="dxa"/>
            <w:vAlign w:val="bottom"/>
            <w:gridSpan w:val="2"/>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614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2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40" w:type="dxa"/>
            <w:vAlign w:val="bottom"/>
            <w:gridSpan w:val="2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6.</w:t>
            </w:r>
          </w:p>
        </w:tc>
        <w:tc>
          <w:tcPr>
            <w:tcW w:w="520" w:type="dxa"/>
            <w:vAlign w:val="bottom"/>
            <w:gridSpan w:val="3"/>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2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9"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BALANCE SHEETS AS OF MARCH 31, 2024 AND DECEMBER 31, 2023</w:t>
      </w: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80" w:type="dxa"/>
            <w:vAlign w:val="bottom"/>
            <w:gridSpan w:val="3"/>
            <w:shd w:val="clear" w:color="auto" w:fill="CCEEFF"/>
          </w:tcPr>
          <w:p>
            <w:pPr>
              <w:jc w:val="center"/>
              <w:ind w:right="3480"/>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48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2,576,524</w:t>
            </w:r>
          </w:p>
        </w:tc>
        <w:tc>
          <w:tcPr>
            <w:tcW w:w="2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1,370,239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6,035,514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5,588,996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1,430,762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107,126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CCEEFF"/>
            </w:tcBorders>
            <w:gridSpan w:val="4"/>
            <w:shd w:val="clear" w:color="auto" w:fill="CCEEFF"/>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10,098,066</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5540" w:type="dxa"/>
            <w:vAlign w:val="bottom"/>
            <w:gridSpan w:val="4"/>
            <w:shd w:val="clear" w:color="auto" w:fill="CCEEFF"/>
          </w:tcPr>
          <w:p>
            <w:pPr>
              <w:jc w:val="center"/>
              <w:ind w:right="20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520" w:type="dxa"/>
            <w:vAlign w:val="bottom"/>
            <w:tcBorders>
              <w:top w:val="single" w:sz="8" w:color="auto"/>
            </w:tcBorders>
            <w:gridSpan w:val="3"/>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533,729</w:t>
            </w:r>
          </w:p>
        </w:tc>
        <w:tc>
          <w:tcPr>
            <w:tcW w:w="2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318,895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1,161,689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 $0.005 par value; 5,000,000 shares authorized; 1,124,870 shares issued and 1,041,698</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shares outstanding as of March 31, 2024; 1,122,592 shares issued and 1,041,571 shares outstanding as of</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5,034,948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6,381,785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5,939,736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(157,940)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Common stock in treasury, at cost; 83,172 shares and 81,021 shares as of March 31, 2024 and December 31,</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2023, respectively</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(2,686,628)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(2,566,383)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tcBorders>
              <w:top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8,577,789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8,228,744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540" w:type="dxa"/>
            <w:vAlign w:val="bottom"/>
            <w:gridSpan w:val="4"/>
          </w:tcPr>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10,098,066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9,686,522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4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INCOME FOR THE THREE-MONTHS ENDED MARCH 31, 2024 AND 2023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1,899,098</w:t>
            </w:r>
          </w:p>
        </w:tc>
        <w:tc>
          <w:tcPr>
            <w:tcW w:w="5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1,698,930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871,969</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1,027,129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485,138</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412,785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541,991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35,754</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577,745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497,560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135,696</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100,116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442,049</w:t>
            </w:r>
          </w:p>
        </w:tc>
        <w:tc>
          <w:tcPr>
            <w:tcW w:w="5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20" w:type="dxa"/>
            <w:vAlign w:val="bottom"/>
            <w:tcBorders>
              <w:top w:val="single" w:sz="8" w:color="CCEEFF"/>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9920"/>
          </w:cols>
          <w:pgMar w:left="980" w:top="661" w:right="999" w:bottom="1440" w:gutter="0" w:footer="0" w:header="0"/>
        </w:sectPr>
      </w:pPr>
    </w:p>
    <w:p>
      <w:pPr>
        <w:ind w:left="140" w:right="440" w:hanging="129"/>
        <w:spacing w:after="0" w:line="269" w:lineRule="auto"/>
        <w:rPr>
          <w:sz w:val="20"/>
          <w:szCs w:val="20"/>
          <w:color w:val="auto"/>
        </w:rPr>
      </w:pPr>
      <w:r>
        <w:rPr>
          <w:rFonts w:ascii="Times New Roman" w:cs="Times New Roman" w:eastAsia="Times New Roman" w:hAnsi="Times New Roman"/>
          <w:sz w:val="16"/>
          <w:szCs w:val="16"/>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629221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71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color w:val="auto"/>
        </w:rPr>
        <w:t>Basic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29221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color w:val="auto"/>
        </w:rPr>
        <w:t>1,041,081</w:t>
      </w:r>
      <w:r>
        <w:rPr>
          <w:sz w:val="20"/>
          <w:szCs w:val="20"/>
          <w:color w:val="auto"/>
        </w:rPr>
        <w:tab/>
      </w:r>
      <w:r>
        <w:rPr>
          <w:rFonts w:ascii="Times New Roman" w:cs="Times New Roman" w:eastAsia="Times New Roman" w:hAnsi="Times New Roman"/>
          <w:sz w:val="16"/>
          <w:szCs w:val="16"/>
          <w:color w:val="auto"/>
        </w:rPr>
        <w:t>1,044,909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20320</wp:posOffset>
            </wp:positionV>
            <wp:extent cx="1637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6"/>
          <w:szCs w:val="16"/>
          <w:color w:val="auto"/>
        </w:rPr>
        <w:t>1,051,282</w:t>
      </w:r>
      <w:r>
        <w:rPr>
          <w:sz w:val="20"/>
          <w:szCs w:val="20"/>
          <w:color w:val="auto"/>
        </w:rPr>
        <w:tab/>
      </w:r>
      <w:r>
        <w:rPr>
          <w:rFonts w:ascii="Times New Roman" w:cs="Times New Roman" w:eastAsia="Times New Roman" w:hAnsi="Times New Roman"/>
          <w:sz w:val="16"/>
          <w:szCs w:val="16"/>
          <w:color w:val="auto"/>
        </w:rPr>
        <w:t>1,059,069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37465</wp:posOffset>
            </wp:positionV>
            <wp:extent cx="1637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2100"/>
          </w:cols>
          <w:pgMar w:left="980" w:top="661" w:right="99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ind w:right="328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THREE-MONTHS ENDED MARCH 31, 2024 AND 2023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Three-Months Ended</w:t>
            </w:r>
          </w:p>
        </w:tc>
      </w:tr>
      <w:tr>
        <w:trPr>
          <w:trHeight w:val="238"/>
        </w:trPr>
        <w:tc>
          <w:tcPr>
            <w:tcW w:w="6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r>
      <w:tr>
        <w:trPr>
          <w:trHeight w:val="209"/>
        </w:trPr>
        <w:tc>
          <w:tcPr>
            <w:tcW w:w="6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397,444</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investments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net gain (loss) on commodity derivatives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w:t>
            </w: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408,606</w:t>
            </w:r>
          </w:p>
        </w:tc>
      </w:tr>
      <w:tr>
        <w:trPr>
          <w:trHeight w:val="20"/>
        </w:trPr>
        <w:tc>
          <w:tcPr>
            <w:tcW w:w="6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0" w:lineRule="exact"/>
        <w:rPr>
          <w:sz w:val="20"/>
          <w:szCs w:val="20"/>
          <w:color w:val="auto"/>
        </w:rPr>
      </w:pPr>
    </w:p>
    <w:p>
      <w:pPr>
        <w:ind w:right="3380"/>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THREE-MONTHS ENDED MARCH 31, 2024 AND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4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4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40" w:type="dxa"/>
            <w:vAlign w:val="bottom"/>
            <w:gridSpan w:val="6"/>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2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1,122,592</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5,613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4,975,115</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$ 5,939,736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(125,337)</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(81,021)</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(2,566,383)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8,228,744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38,381</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38,392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(120,245)</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(30,695)</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(30,695)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gain (loss) on commodity</w:t>
            </w: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(2,131)</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derivatives</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1,124,870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5,034,948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$ 6,381,785</w:t>
            </w: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(157,940)</w:t>
            </w: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(83,172)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(2,686,628)</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8,577,789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4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4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1,283,688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4,776,804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9,001,173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(159,073)</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(239,088)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(6,600,281)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7,025,041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options/awards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36,348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net on</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4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(90,378)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Retirement of treasury stock</w:t>
            </w:r>
          </w:p>
        </w:tc>
        <w:tc>
          <w:tcPr>
            <w:tcW w:w="7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(4,692,425)</w:t>
            </w: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4,692,850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397,444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1,117,392</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5,587</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4,829,301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4,706,192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(147,911)</w:t>
            </w:r>
          </w:p>
        </w:tc>
        <w:tc>
          <w:tcPr>
            <w:tcW w:w="7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(70,776)</w:t>
            </w:r>
          </w:p>
        </w:tc>
        <w:tc>
          <w:tcPr>
            <w:tcW w:w="1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(1,997,809)</w:t>
            </w:r>
          </w:p>
        </w:tc>
        <w:tc>
          <w:tcPr>
            <w:tcW w:w="22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7,395,360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500"/>
        <w:spacing w:after="0" w:line="241"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THREE-MONTHS ENDED MARCH 31, 2024 AND 2023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442,049</w:t>
            </w:r>
          </w:p>
        </w:tc>
        <w:tc>
          <w:tcPr>
            <w:tcW w:w="120" w:type="dxa"/>
            <w:vAlign w:val="bottom"/>
          </w:tcPr>
          <w:p>
            <w:pPr>
              <w:spacing w:after="0"/>
              <w:rPr>
                <w:sz w:val="17"/>
                <w:szCs w:val="17"/>
                <w:color w:val="auto"/>
              </w:rPr>
            </w:pPr>
          </w:p>
        </w:tc>
        <w:tc>
          <w:tcPr>
            <w:tcW w:w="5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(195,081)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(9,507)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income taxes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(9,062)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(35,653)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412,142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(342,228)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(66,044)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other assets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debt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(120,245)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(13,222)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2,297,675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2,576,524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1"/>
                <w:szCs w:val="21"/>
                <w:color w:val="auto"/>
              </w:rPr>
            </w:pPr>
          </w:p>
        </w:tc>
        <w:tc>
          <w:tcPr>
            <w:tcW w:w="5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0" w:type="dxa"/>
            <w:vAlign w:val="bottom"/>
            <w:tcBorders>
              <w:top w:val="single" w:sz="8" w:color="CCEEFF"/>
              <w:bottom w:val="single" w:sz="8" w:color="CCEEFF"/>
            </w:tcBorders>
            <w:shd w:val="clear" w:color="auto" w:fill="CCEEFF"/>
          </w:tcPr>
          <w:p>
            <w:pPr>
              <w:ind w:left="200"/>
              <w:spacing w:after="0" w:line="171" w:lineRule="exact"/>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50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THREE-MONTHS ENDED MARCH 31, 2024 AND 2023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March 31, 2024 and 2023 were $11.7 million and $9.6 million, respectively, related to net additions to other intangible assets.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as of March 31, 2024 and 2023 were $3.2 million and $2.5 million, respectively, related to equipment purchases.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receivable as of March 31, 2024 was $3.0 million related to available-for-sale short-term investment sales.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March 31, 2023 was $55.3 million of withholding taxes due related to common stock purchased from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2023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2024 and 2023,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The amendments in ASU No. 2023-07 are effective for fiscal years beginning after December 15, 2023. Early adoption is permitted. The Company is currently evaluating the impact ASU No. 2023-07 will have on its consolidated financial statements.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this update primarily require more detailed disclosures related to the rate reconciliation and income taxes paid. The amendments in ASU No. 2023-09 are effective for fiscal years beginning after December 15, 2024. Early adoption is permitted. The Company is currently evaluating the impact ASU No. 2023-09 will have on its consolidated financial statements.</w:t>
      </w:r>
    </w:p>
    <w:p>
      <w:pPr>
        <w:spacing w:after="0" w:line="18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hard seltzers and flavored malt beverages (“FMBs”) and (iv) Other segment (“Other”), which is comprised of certain products sold by American Fruits and Flavors, LLC, a wholly-owned subsidiary of the Company, to independent third-party customers (the “AFF Third-Party Products”).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hard seltzers and FMBs primarily to beer distributors in the United States.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2024 and December 31, 2023.</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expenses after manufacture are accounted for within operating expenses.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p>
      <w:pPr>
        <w:spacing w:after="0" w:line="176"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0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ind w:left="1000" w:right="2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ind w:left="1000" w:hanging="317"/>
        <w:spacing w:after="0" w:line="26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TCCC based on the Company’s sales to wholly-owned subsidiaries of TCCC (the “TCCC Subsidiaries”) and/or to TCCC bottlers/distributors accounted for under the equity method by TCCC (the “TCCC Related Parties”).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2"/>
          </w:tcPr>
          <w:p>
            <w:pPr>
              <w:ind w:left="320"/>
              <w:spacing w:after="0"/>
              <w:rPr>
                <w:sz w:val="20"/>
                <w:szCs w:val="20"/>
                <w:color w:val="auto"/>
              </w:rPr>
            </w:pPr>
            <w:r>
              <w:rPr>
                <w:rFonts w:ascii="Times New Roman" w:cs="Times New Roman" w:eastAsia="Times New Roman" w:hAnsi="Times New Roman"/>
                <w:sz w:val="18"/>
                <w:szCs w:val="18"/>
                <w:color w:val="auto"/>
              </w:rPr>
              <w:t>Three-Months Ended March 31, 2024</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(including</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Oceania)</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1,729,051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1,206,091</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395,566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1,899,098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Three-Months Ended March 31, 2023</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(including</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Oceania)</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1,021,328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1,561,668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1,698,930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Europe, Middle East and Africa (“EMEA”)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March 31, 2024, the Company had $242.5 million of deferred revenue, which is included in current and long-term deferred revenue in the Company’s condensed consolidated balance sheet. As of December 31, 2023, the Company had $246.2 million of deferred revenue, which is included in current and long-term deferred revenue in the Company’s condensed consolidated balance sheet. During both the three-months ended March 31, 2024 and 2023, $9.9 million of deferred revenue was recognized in net sales. See Note 10.</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identified assets consisting primarily of office and warehouse space, warehouse equipment and vehicles. Leases are classified as either finance leases or operating leases based on criteria in ASC 842, “Leases”. The Company’s leases have remaining lease terms of less than one year to 10 years, some of which include options to extend the leases for up to five years, and some of which include options to terminate the leases within one year.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lease cost were as follows: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color w:val="auto"/>
              </w:rPr>
              <w:t>Three-Months Ended March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3,802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2,467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2,670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cost</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Pr>
          <w:p>
            <w:pPr>
              <w:spacing w:after="0"/>
              <w:rPr>
                <w:sz w:val="18"/>
                <w:szCs w:val="18"/>
                <w:color w:val="auto"/>
              </w:rPr>
            </w:pP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7,371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3,798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Three-Months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846"/>
        </w:trPr>
        <w:tc>
          <w:tcPr>
            <w:tcW w:w="56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Supplemental balance sheet information was as follows:</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CCEEFF"/>
            </w:tcBorders>
          </w:tcPr>
          <w:p>
            <w:pPr>
              <w:spacing w:after="0"/>
              <w:rPr>
                <w:sz w:val="21"/>
                <w:szCs w:val="21"/>
                <w:color w:val="auto"/>
              </w:rPr>
            </w:pPr>
          </w:p>
        </w:tc>
        <w:tc>
          <w:tcPr>
            <w:tcW w:w="20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57,596</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4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Weighted-average remaining lease term and weighted-average discount rate for the Company’s leases were as follows:</w:t>
      </w:r>
    </w:p>
    <w:p>
      <w:pPr>
        <w:spacing w:after="0" w:line="266"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2024   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4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4.7 %</w:t>
            </w:r>
          </w:p>
        </w:tc>
        <w:tc>
          <w:tcPr>
            <w:tcW w:w="17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6.3 %</w:t>
            </w:r>
          </w:p>
        </w:tc>
        <w:tc>
          <w:tcPr>
            <w:tcW w:w="17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outlines maturities of the Company’s lease liabilities as of March 31, 2024:</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10"/>
        </w:trPr>
        <w:tc>
          <w:tcPr>
            <w:tcW w:w="43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0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(from April 1, 2024 to December 31, 2024)</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16"/>
        </w:trPr>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57,596</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the Company did not have any significant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992,898</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992,363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8"/>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1,032,036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March 31, 2024 and 2023, realized gains or losses recognized on the sale of investments were not significant.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at March 31, 2024 and December 31, 2023 carried investment grade credit ratings.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50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20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157,085</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116,548</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412,057</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247,275</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w:t>
            </w:r>
          </w:p>
        </w:tc>
      </w:tr>
      <w:tr>
        <w:trPr>
          <w:trHeight w:val="209"/>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992,898</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992,363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1,032,810</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1,032,036</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7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1,999,812</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1,570,763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3,570,575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1,999,812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3,570,575</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231,101</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2,066,574</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counterparty risk. There were no transfers between Level 1 and Level 2 measurements during the three-months ended March 31, 2024, or during the year-ended December 31, 2023, and there were no changes in the Company’s valuation techniques.</w:t>
      </w:r>
    </w:p>
    <w:p>
      <w:pPr>
        <w:spacing w:after="0" w:line="14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its derivative instruments and hedging activities under ASC 815, “Derivatives and Hedging.” The following table presents the fair values of the Company’s derivative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191"/>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7"/>
              </w:rPr>
              <w:t>March 31,</w:t>
            </w:r>
          </w:p>
        </w:tc>
        <w:tc>
          <w:tcPr>
            <w:tcW w:w="180" w:type="dxa"/>
            <w:vAlign w:val="bottom"/>
          </w:tcPr>
          <w:p>
            <w:pPr>
              <w:spacing w:after="0"/>
              <w:rPr>
                <w:sz w:val="16"/>
                <w:szCs w:val="16"/>
                <w:color w:val="auto"/>
              </w:rPr>
            </w:pPr>
          </w:p>
        </w:tc>
        <w:tc>
          <w:tcPr>
            <w:tcW w:w="10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580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09"/>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5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r>
      <w:tr>
        <w:trPr>
          <w:trHeight w:val="446"/>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91"/>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gridSpan w:val="4"/>
          </w:tcPr>
          <w:p>
            <w:pPr>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580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16"/>
        </w:trPr>
        <w:tc>
          <w:tcPr>
            <w:tcW w:w="5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4"/>
        </w:trPr>
        <w:tc>
          <w:tcPr>
            <w:tcW w:w="5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 w:type="dxa"/>
            <w:vAlign w:val="bottom"/>
          </w:tcPr>
          <w:p>
            <w:pPr>
              <w:spacing w:after="0"/>
              <w:rPr>
                <w:sz w:val="20"/>
                <w:szCs w:val="20"/>
                <w:color w:val="auto"/>
              </w:rPr>
            </w:pP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 w:type="dxa"/>
            <w:vAlign w:val="bottom"/>
          </w:tcPr>
          <w:p>
            <w:pPr>
              <w:spacing w:after="0"/>
              <w:rPr>
                <w:sz w:val="20"/>
                <w:szCs w:val="20"/>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Hedging Strategy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uses cash flow hedges to minimize the variability in cash flows of forecasted transactions caused by fluctuations in commodity prices. The changes in the fair values of derivatives designated as cash flow hedges are recorded in accumulated other comprehensive income (loss) (“AOCI”) and are reclassified into the line item in our condensed consolidated statement of income in which the hedged items are recorded in the same period that the hedged items affect earnings. The changes in the fair values of hedges that are determined to be ineffective are immediately reclassified from AOCI into earnings. The maximum length of time for which the Company hedges its exposure to the variability in future cash flows is currently less than two years.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commodity hedge contracts to mitigate the price risk associated with a portion of its forecasted aluminum purchases. These derivative instruments were designated as part of the Company’s commodity cash flow hedging program. The objective of this hedging program is to reduce the variability of cash flows associated with future purchases of aluminum. The total notional values of derivatives that were designated and qualified for this program were $126.1 million and $98.3 million as of March 31, 2024 and December 31, 2023, respectively. Transactions under the commodity cash flow hedging program were executed beginning in May 2023.</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that changes in the fair values of derivatives designated as cash flow hedges had on other comprehensive income (“OCI”), AOCI and earnings: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Three-months ended March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Derivatives</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rPr>
              <w:t>Gain (loss)</w:t>
            </w:r>
          </w:p>
        </w:tc>
      </w:tr>
      <w:tr>
        <w:trPr>
          <w:trHeight w:val="21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designated as</w:t>
            </w:r>
          </w:p>
        </w:tc>
        <w:tc>
          <w:tcPr>
            <w:tcW w:w="2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Gain (loss) recognized</w:t>
            </w:r>
          </w:p>
        </w:tc>
        <w:tc>
          <w:tcPr>
            <w:tcW w:w="220" w:type="dxa"/>
            <w:vAlign w:val="bottom"/>
          </w:tcPr>
          <w:p>
            <w:pPr>
              <w:spacing w:after="0"/>
              <w:rPr>
                <w:sz w:val="18"/>
                <w:szCs w:val="18"/>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of gain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reclassified from</w:t>
            </w:r>
          </w:p>
        </w:tc>
      </w:tr>
      <w:tr>
        <w:trPr>
          <w:trHeight w:val="234"/>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5"/>
              </w:rPr>
              <w:t>in AOCI</w:t>
            </w:r>
          </w:p>
        </w:tc>
        <w:tc>
          <w:tcPr>
            <w:tcW w:w="2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recognized in income</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AOCI into income</w:t>
            </w:r>
          </w:p>
        </w:tc>
      </w:tr>
      <w:tr>
        <w:trPr>
          <w:trHeight w:val="210"/>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Company estimates that it will reclassify into earnings net gains (losses) of $1.9 million from the amount recorded in AOCI as the anticipated cash flows occur during the next 12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Economic (Non-Designated) Hedging Strategy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three-months ended March 31, 2024 and 2023,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2024 have terms of approximately one month or less. The Company does not enter into forward currency exchange contracts for speculation or trading purposes.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 The total notional values of derivatives related to our foreign currency economic hedges were $230.5 million and $282.7 million as of March 31, 2024 and December 31, 2023, respectively.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net gains (losses) on derivatives not designated as hedging instruments in the condensed consolidated statements of income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8"/>
              </w:rPr>
              <w:t>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8"/>
              </w:rPr>
              <w:t>derivatives</w:t>
            </w:r>
          </w:p>
        </w:tc>
        <w:tc>
          <w:tcPr>
            <w:tcW w:w="0" w:type="dxa"/>
            <w:vAlign w:val="bottom"/>
          </w:tcPr>
          <w:p>
            <w:pPr>
              <w:spacing w:after="0"/>
              <w:rPr>
                <w:sz w:val="1"/>
                <w:szCs w:val="1"/>
                <w:color w:val="auto"/>
              </w:rPr>
            </w:pPr>
          </w:p>
        </w:tc>
      </w:tr>
      <w:tr>
        <w:trPr>
          <w:trHeight w:val="209"/>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rPr>
              <w:t>Three-months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 on derivatives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the Company’s counterparty agreements contain provisions that require the Company to post collateral on derivative instruments in a net liability position. As of March 31, 2024, $0.6 million was posted as collateral.</w:t>
      </w:r>
    </w:p>
    <w:p>
      <w:pPr>
        <w:spacing w:after="0" w:line="1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March 31,</w:t>
            </w:r>
          </w:p>
        </w:tc>
        <w:tc>
          <w:tcPr>
            <w:tcW w:w="2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652,063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939,630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971,406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12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8.</w:t>
            </w:r>
          </w:p>
        </w:tc>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426,466</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211,951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69,527</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211,562</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1,152,031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(261,235)</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890,796</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depreciation and amortization expense was $19.2 million and $14.8 million for the three-months ended March 31, 2024 and 2023, respectively.</w:t>
      </w:r>
    </w:p>
    <w:p>
      <w:pPr>
        <w:spacing w:after="0" w:line="16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roll-forward of goodwill for the three-months ended March 31, 2024 and 2023 by reportable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100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w w:val="99"/>
              </w:rPr>
              <w:t>Strategic</w:t>
            </w: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100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rPr>
              <w:t>Brands</w:t>
            </w: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100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w w:val="99"/>
              </w:rPr>
              <w:t>Strategic</w:t>
            </w: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100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rPr>
              <w:t>Brands</w:t>
            </w: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144,582</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(74,699)</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69,883</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1,362,366</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1,357,256</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1,430,762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1,427,139</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ten to fifteen years. Total amortization expense was $1.3 million and $2.0 million for the three-months ended March 31, 2024 and 2023,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March 31,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(from April 1, 2024 to December 31, 2024)</w:t>
            </w:r>
          </w:p>
        </w:tc>
        <w:tc>
          <w:tcPr>
            <w:tcW w:w="19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68,396</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7"/>
              </w:rPr>
              <w:t>10.</w:t>
            </w:r>
          </w:p>
        </w:tc>
        <w:tc>
          <w:tcPr>
            <w:tcW w:w="5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DISTRIBUTION AGREEMENTS</w:t>
            </w: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 w:type="dxa"/>
            <w:vAlign w:val="bottom"/>
            <w:vMerge w:val="continue"/>
          </w:tcPr>
          <w:p>
            <w:pPr>
              <w:spacing w:after="0"/>
              <w:rPr>
                <w:sz w:val="24"/>
                <w:szCs w:val="24"/>
                <w:color w:val="auto"/>
              </w:rPr>
            </w:pPr>
          </w:p>
        </w:tc>
        <w:tc>
          <w:tcPr>
            <w:tcW w:w="57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$9.9 million for both the three-months ended March 31, 2024 and 2023.</w:t>
      </w:r>
    </w:p>
    <w:p>
      <w:pPr>
        <w:spacing w:after="0" w:line="18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$345.5 million at March 31, 2024, which represented commitments made by the Company and its subsidiaries to various suppliers of raw materials for the production of its products. These obligations vary in terms but are generally satisfied within one year.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$451.1 million at March 31, 2024, which related primarily to sponsorships and other marketing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credit facility with HSBC Bank (China) Company Limited, Shanghai Branch, of $15.0 million. At March 31, 2024, the interest rate on borrowings under the line of credit was 5.5%. As of March 31, 2024, no amount was outstanding on this line of credit.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and any related insurance reimbursements. As of March 31, 2024 and December 31, 2023, $0.3 million of loss contingencies were included in the Company’s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after tax, for the three-months ended March 31, 2024 and 2023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Gains (Losses)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on Commodity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on Available-for-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Derivatives</w:t>
            </w:r>
          </w:p>
        </w:tc>
        <w:tc>
          <w:tcPr>
            <w:tcW w:w="8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(128,989)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(125,337)</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0" w:type="dxa"/>
            <w:vAlign w:val="bottom"/>
          </w:tcPr>
          <w:p>
            <w:pPr>
              <w:spacing w:after="0"/>
              <w:rPr>
                <w:sz w:val="1"/>
                <w:szCs w:val="1"/>
                <w:color w:val="auto"/>
              </w:rPr>
            </w:pP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(157,940)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Net 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Gains (Losses)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on Commodity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on Available-for-</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Derivatives</w:t>
            </w:r>
          </w:p>
        </w:tc>
        <w:tc>
          <w:tcPr>
            <w:tcW w:w="8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(159,073)</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(147,911)</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w:t>
            </w:r>
          </w:p>
        </w:tc>
        <w:tc>
          <w:tcPr>
            <w:tcW w:w="45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share repurchase program for the purchase of up to an additional $500.0 million of the Company’s outstanding common stock (the “November 2022 Repurchase Plan”). During the three-months ended March 31, 2024, the Company purchased approximately 1.8 million shares of common stock at an average purchase price of $54.96 per share, for a total amount of approximately $97.2 million (excluding broker commissions), under the November 2022 Repurchase Plan. As of May 7, 2024, $142.4 million remained available for repurchase under the November 2022 Repurchase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2023, the Company’s Board of Directors authorized a share repurchase program for the purchase of up to an additional $500.0 million of the Company’s outstanding common stock (the “November 2023 Repurchase Plan”). During the three-months ended March 31, 2024, no shares were repurchased under the November 2023 Repurchase Plan. As of May 7, 2024, $500.0 million remained available for repurchase under the November 2023 Repurchase Plan.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$642.4 million as of May 7,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March 31, 2024, 0.4 million shares of common stock were purchased from employees in lieu of cash payments for options exercised or withholding taxes due for a total amount of $23.0 million. While such purchases are considered common stock repurchases, they are not counted as purchases against the Company’s authorized share repurchase programs. Such shares are included in common stock in treasury in the accompanying consolidated balance sheet at March 31, 2024.</w:t>
      </w:r>
    </w:p>
    <w:p>
      <w:pPr>
        <w:spacing w:after="0" w:line="18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March 31, 2024: (i) the Monster Beverage Corporation 2020 Omnibus Incentive Plan, including the Monster Beverage Corporation Deferred Compensation Plan as a sub-plan thereunder, and (ii) the Monster Beverage Corporation 2017 Compensation Plan for Non-Employee Directors as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Amended and Restated on February 23, 2022, including the Monster Beverage Corporation Deferred Compensation Plan for Non-Employee Directors as a sub-plan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$22.5 million and $16.1 million of compensation expense relating to outstanding options, restricted stock units, performance share units and other share-based awards during the three-months ended March 31, 2024 and 2023,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three-months ended March 31, 2024 and 2023 was $7.5 million and $25.9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March 31, 2024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9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Three-Months Ended March 31,</w:t>
            </w:r>
          </w:p>
        </w:tc>
      </w:tr>
      <w:tr>
        <w:trPr>
          <w:trHeight w:val="210"/>
        </w:trPr>
        <w:tc>
          <w:tcPr>
            <w:tcW w:w="50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CCEEFF"/>
            </w:tcBorders>
          </w:tcPr>
          <w:p>
            <w:pPr>
              <w:spacing w:after="0"/>
              <w:rPr>
                <w:sz w:val="18"/>
                <w:szCs w:val="18"/>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27.5 %</w:t>
            </w: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27.6 %</w:t>
            </w: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4.3 %</w:t>
            </w:r>
          </w:p>
        </w:tc>
        <w:tc>
          <w:tcPr>
            <w:tcW w:w="1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3.7 %</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 years</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 (in</w:t>
            </w: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52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thousands)</w:t>
            </w: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598,866</w:t>
            </w: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01/01/24 - 03/31/24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592,303</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582,560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467,020</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March 31, 2024 and 2023 was $22.69 per share and $18.23 per share,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March 31, 2024 and 2023 was $47.6 million and $131.0 million,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March 31, 2024 and 2023 was $38.4 million and $36.3 million,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there was $174.7 million of total unrecognized compensation expense related to non-vested options granted to employees under the Company’s stock-based compensation plans. That cost is expected to be recognized over a weighted-average period of 3.6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Grant-Date</w:t>
            </w:r>
          </w:p>
        </w:tc>
      </w:tr>
      <w:tr>
        <w:trPr>
          <w:trHeight w:val="234"/>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16"/>
        </w:trPr>
        <w:tc>
          <w:tcPr>
            <w:tcW w:w="594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Granted 01/01/24 - 03/31/24</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16"/>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and/or performance share units granted during the three-months ended March 31, 2024 and 2023 was $60.27 and $50.83 per share,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1.6 million of restricted stock units and performance share units are expected to vest over their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2024, total unrecognized compensation expense relating to non-vested restricted stock units and performance share units was $49.6 million, which is expected to be recognized over a weighted-average period of 1.8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March 31, 2024, other share-based awards outstanding included grants that vest over three years payable in the first quarters of 2025, 2026 and 2027.</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there was $0.8 million of total unrecognized compensation expense related to nonvested other share-based awards granted to employees under the Company’s stock-based compensation plans. That cost is expected to be recognized over a weighted-average period of 1.3 years.</w:t>
      </w:r>
    </w:p>
    <w:p>
      <w:pPr>
        <w:spacing w:after="0" w:line="17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three-months ended March 31, 2024:</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Unrecognized</w:t>
            </w:r>
          </w:p>
        </w:tc>
      </w:tr>
      <w:tr>
        <w:trPr>
          <w:trHeight w:val="234"/>
        </w:trPr>
        <w:tc>
          <w:tcPr>
            <w:tcW w:w="6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Tax Benefits</w:t>
            </w: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the prior years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March 31, 2024, the Company had approximately $0.7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The Company’s 2020 through 2023 U.S. federal income tax returns are subject to examination by the IRS. The Company’s state income tax returns are subject to examination for the 2019 through 2023 tax years. The United Kingdom and Ireland income tax returns are subject to examination for the 2019 through 2023 tax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Three-Months Ended</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5715</wp:posOffset>
            </wp:positionV>
            <wp:extent cx="12172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7260"/>
        <w:spacing w:after="0"/>
        <w:tabs>
          <w:tab w:leader="none" w:pos="828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3" w:lineRule="exact"/>
        <w:rPr>
          <w:sz w:val="20"/>
          <w:szCs w:val="20"/>
          <w:color w:val="auto"/>
        </w:rPr>
      </w:pPr>
    </w:p>
    <w:tbl>
      <w:tblPr>
        <w:tblLayout w:type="fixed"/>
        <w:tblInd w:w="1000" w:type="dxa"/>
        <w:tblCellMar>
          <w:top w:w="0" w:type="dxa"/>
          <w:left w:w="0" w:type="dxa"/>
          <w:bottom w:w="0" w:type="dxa"/>
          <w:right w:w="0" w:type="dxa"/>
        </w:tblCellMar>
      </w:tblP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1,041,081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1,044,909</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r>
      <w:tr>
        <w:trPr>
          <w:trHeight w:val="209"/>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1,051,282</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1,059,069</w:t>
            </w: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three-months ended March 31, 2024 and 2023, options and awards outstanding totaling 5.0 million shares and 2.6 million shares, respectively, were excluded from the calculations as their effect would have been antidilutive.</w:t>
      </w:r>
    </w:p>
    <w:p>
      <w:pPr>
        <w:spacing w:after="0" w:line="16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which is primarily comprised of the Company’s Monster Energy® drinks, Reign Total Body Fuel® high performance energy drinks, Reign Storm® total wellness energy drinks, Bang Energy® drinks and Monster Tour Water®, (ii) Strategic Brands segment, which is primarily comprised of the various energy drink brands acquired from TCCC in 2015 as well as the Company’s affordable energy brands, Predator® and Fury®, (iii) Alcohol Brands segment, which is comprised of various craft beers, hard seltzers and FMBs and (iv) Other segment, which is comprised of the AFF Third-Party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hard seltzers and FMBs primarily to beer distributors in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the Alcohol Brands segment has lower gross profit margin percentages than the Monster Energy® Drinks segment.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three-months ended March 31, 2024 and 2023 were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1,729,051</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1,561,669</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86,357</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46,290</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1,899,098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1,698,930</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08"/>
        </w:trPr>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March 31,</w:t>
            </w:r>
          </w:p>
        </w:tc>
        <w:tc>
          <w:tcPr>
            <w:tcW w:w="920" w:type="dxa"/>
            <w:vAlign w:val="bottom"/>
            <w:tcBorders>
              <w:bottom w:val="single" w:sz="8" w:color="auto"/>
            </w:tcBorders>
          </w:tcPr>
          <w:p>
            <w:pPr>
              <w:spacing w:after="0"/>
              <w:rPr>
                <w:sz w:val="20"/>
                <w:szCs w:val="20"/>
                <w:color w:val="auto"/>
              </w:rPr>
            </w:pPr>
          </w:p>
        </w:tc>
      </w:tr>
      <w:tr>
        <w:trPr>
          <w:trHeight w:val="209"/>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628,122</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560,819</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51,771</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(143,134)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(120,350)</w:t>
            </w:r>
          </w:p>
        </w:tc>
      </w:tr>
      <w:tr>
        <w:trPr>
          <w:trHeight w:val="210"/>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541,991</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485,064</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408"/>
        </w:trPr>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3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March 31,</w:t>
            </w:r>
          </w:p>
        </w:tc>
        <w:tc>
          <w:tcPr>
            <w:tcW w:w="920" w:type="dxa"/>
            <w:vAlign w:val="bottom"/>
            <w:tcBorders>
              <w:bottom w:val="single" w:sz="8" w:color="auto"/>
            </w:tcBorders>
          </w:tcPr>
          <w:p>
            <w:pPr>
              <w:spacing w:after="0"/>
              <w:rPr>
                <w:sz w:val="20"/>
                <w:szCs w:val="20"/>
                <w:color w:val="auto"/>
              </w:rPr>
            </w:pPr>
          </w:p>
        </w:tc>
      </w:tr>
      <w:tr>
        <w:trPr>
          <w:trHeight w:val="210"/>
        </w:trPr>
        <w:tc>
          <w:tcPr>
            <w:tcW w:w="36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629,160</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561,674</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51,788</w:t>
            </w: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(108,742)</w:t>
            </w:r>
          </w:p>
        </w:tc>
      </w:tr>
      <w:tr>
        <w:trPr>
          <w:trHeight w:val="210"/>
        </w:trPr>
        <w:tc>
          <w:tcPr>
            <w:tcW w:w="36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497,560</w:t>
            </w:r>
          </w:p>
        </w:tc>
      </w:tr>
      <w:tr>
        <w:trPr>
          <w:trHeight w:val="20"/>
        </w:trPr>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340" w:hanging="333"/>
        <w:spacing w:after="0" w:line="284" w:lineRule="auto"/>
        <w:tabs>
          <w:tab w:leader="none" w:pos="1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$9.9 million for both the three-months ended March 31, 2024 and 2023, related to the recognition of deferred revenue.</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3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7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0"/>
        </w:trPr>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March 31, 2024 include $98.6 million of payroll costs, of which $22.0 million was attributable to stock-based compensation expenses (see Note 14 “Stock-Based Compensation”), as well as $20.0 million attributable to professional service expenses, including accounting and legal costs, and $24.5 million of other operating expenses.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March 31, 2023 include $80.3 million of payroll costs, of which $15.7 million was attributable to stock-based compensation expenses (see Note 14 “Stock-Based Compensation”), as well as $22.1 million attributable to professional service expenses, including accounting and legal costs, and $18.0 million of other operating expenses.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14% and 13% of the Company’s net sales for the three-months ended March 31, 2024 and 2023,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Coca-Cola Consolidated, Inc. accounted for approximately 10% of the Company’s net sales for both the three-months ended March 31, 2024 and 2023.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Reyes Holdings, LLC accounted for approximately 9% of the Company’s net sales for both the three-months ended March 31, 2024 and 2023.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$744.1 million and $622.9 million for the three-months ended March 31, 2024 and 2023, respectively. Such sales were approximately 39% and 37% of net sales for the three-months ended March 31, 2024 and 2023,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were as follows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$ 1,668,188</w:t>
            </w: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1,663,814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$ 2,848,703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2,845,080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7"/>
              </w:rPr>
              <w:t>18.</w:t>
            </w:r>
          </w:p>
        </w:tc>
        <w:tc>
          <w:tcPr>
            <w:tcW w:w="4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vMerge w:val="continue"/>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19.6%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$22.5 million and $15.7 million for the three-months ended March 31, 2024 and 2023, respectively, and are included as a reduction to net sales.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 were $9.7 million and $8.8 million for the three-months ended March 31, 2024 and 2023, respectively, and are included in operating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March 31, 2024 and 2023 were $41.7 million and $35.1 million,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 Concentrate purchases from TCCC were $8.0 million and $6.5 million for the three-months ended March 31, 2024 and 2023, respectively.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$9.0 million and $7.4 million for the three-months ended March 31, 2024 and 2023,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were as follows at:</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135,246</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March 31, 2024 and 2023 were $1.9 million and $1.1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occasionally charters a private aircraft that is indirectly owned by Mr. Rodney C. Sacks, Co-Chief Executive Officer and Chairman of the Board of Directors. On certain occasions, Mr. Sacks is accompanied by guests and other Company personnel when using such aircraft for business travel. During the three-months ended March 31, 2024 and 2023, the Company incurred no costs in relation to the aircraft.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consolidated financial statements.</w:t>
      </w:r>
    </w:p>
    <w:p>
      <w:pPr>
        <w:spacing w:after="0" w:line="18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 2024, the Board of Directors authorized the Company to commence a modified “Dutch auction” tender offer to repurchase up to $3.0 billion of its outstanding shares of common stock. The Company anticipates commencing the tender offer in May 2024. Details of the tender offer, including the offer price, conditions, potential participation by management and other terms, will be set forth in the offering materials to be distributed to shareholders upon commencement of the tender offer.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fund the tender offer with approximately $2.0 billion of cash on hand and approximately $1.0 billion in combined borrowings, consisting of a new revolving credit facility and a new delayed draw term loan facility, each expected to be consummated prior to the completion of the tender offer. The tender offer will be made outside of the Company’s previously authorized repurchase programs and will allow the Company to retain the ability to purchase additional shares through the previously authorized repurchase programs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implemented pricing actions including (i) price increases effective April 1, 2023 (limited pack sizes) in the United States and (ii) price increases at various times in certain international markets during the second, third and fourth quarters of 2023 as well as the first quarter of 2024 (collectively, the “Pricing Actions”), all of which positively impacted net sales and gross profit margins in the first quarter of 2024 as compared to the first quarter of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implementing price increases in the United States, at amounts yet to be determined, on certain of its Monster Energy® brand energy drinks in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Ultra®</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Rehab®</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Nitro</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Java Monster®</w:t>
            </w:r>
          </w:p>
        </w:tc>
        <w:tc>
          <w:tcPr>
            <w:tcW w:w="35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Play® and Power Play® (stylized)</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Punch Monster®</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Juice Monster®</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Total Body Fuel®</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Inferno® Thermogenic Fuel</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Reign Storm®</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Samurai®</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Bang Energy®</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NOS®</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Predator®</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Throttle®</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Fury®</w:t>
            </w:r>
          </w:p>
        </w:tc>
      </w:tr>
    </w:tbl>
    <w:p>
      <w:pPr>
        <w:spacing w:after="0" w:line="19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18"/>
          <w:szCs w:val="18"/>
          <w:color w:val="auto"/>
        </w:rPr>
        <w:t>We also develop, market, sell and distribute craft beers, FMBs and hard seltzers under a number of brands, including Jai Alai® IPA,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Dale’s Pale Ale®, Wild Basin® Hard Seltzers, Dallas Blonde®,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Perrin Brewing Company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Black Ale, Hop Rising® Double IPA, Wasatch® Apricot Hefeweizen, The Beast Unleashed®, Nasty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Tea and a host of other brands.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develop, market, sell and distribute still and sparkling waters under the Monster Tour Water® brand name.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four operating and reportable segments: (i) Monster Energy® Drinks segment (“Monster Energy® Drinks”), which is primarily comprised of our Monster Energy® drinks, Reign Total Body Fuel® high performance energy drinks, Reign Storm® total wellness energy drinks, Bang Energy® drinks and Monster Tour Water®,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hard seltzers and FMBs and (iv) Other segment (“Other”), which is comprised of certain products sold by American Fruits and Flavors LLC (“AFF”), a wholly-owned subsidiary of the Company, to independent third-party customers (the “AFF Third-Party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March 31, 2024, we continued to expand our existing drink portfolio by adding additional products to our portfolio in a number of countries and further developed our distribution markets. During the three-months ended March 31, 2024, we sold the following new products to our customers:</w:t>
      </w:r>
    </w:p>
    <w:p>
      <w:pPr>
        <w:spacing w:after="0" w:line="176"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 Guava</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Java Monster® Irish Crème</w:t>
      </w:r>
    </w:p>
    <w:p>
      <w:pPr>
        <w:spacing w:after="0" w:line="9" w:lineRule="exact"/>
        <w:rPr>
          <w:rFonts w:ascii="Times New Roman" w:cs="Times New Roman" w:eastAsia="Times New Roman" w:hAnsi="Times New Roman"/>
          <w:sz w:val="18"/>
          <w:szCs w:val="18"/>
          <w:color w:val="auto"/>
        </w:rPr>
      </w:pPr>
    </w:p>
    <w:p>
      <w:pPr>
        <w:ind w:left="1000" w:hanging="317"/>
        <w:spacing w:after="0" w:line="181"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Juice Monster® Rio Punch</w:t>
      </w:r>
      <w:r>
        <w:rPr>
          <w:rFonts w:ascii="Times New Roman" w:cs="Times New Roman" w:eastAsia="Times New Roman" w:hAnsi="Times New Roman"/>
          <w:sz w:val="25"/>
          <w:szCs w:val="25"/>
          <w:color w:val="auto"/>
          <w:vertAlign w:val="superscript"/>
        </w:rPr>
        <w:t>TM</w:t>
      </w: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Juiced Monster® Bad Apple®</w:t>
      </w:r>
    </w:p>
    <w:p>
      <w:pPr>
        <w:spacing w:after="0" w:line="7" w:lineRule="exact"/>
        <w:rPr>
          <w:rFonts w:ascii="Times New Roman" w:cs="Times New Roman" w:eastAsia="Times New Roman" w:hAnsi="Times New Roman"/>
          <w:sz w:val="18"/>
          <w:szCs w:val="18"/>
          <w:color w:val="auto"/>
        </w:rPr>
      </w:pPr>
    </w:p>
    <w:p>
      <w:pPr>
        <w:ind w:left="1000" w:hanging="317"/>
        <w:spacing w:after="0" w:line="181"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Monster Energy® Ultra Fantasy Ruby Red</w:t>
      </w:r>
      <w:r>
        <w:rPr>
          <w:rFonts w:ascii="Times New Roman" w:cs="Times New Roman" w:eastAsia="Times New Roman" w:hAnsi="Times New Roman"/>
          <w:sz w:val="25"/>
          <w:szCs w:val="25"/>
          <w:color w:val="auto"/>
          <w:vertAlign w:val="superscript"/>
        </w:rPr>
        <w:t>TM</w:t>
      </w: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Reserve Peaches N’ Crème</w:t>
      </w:r>
    </w:p>
    <w:p>
      <w:pPr>
        <w:spacing w:after="0" w:line="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Nalu® Yuzu Rosemary</w:t>
      </w:r>
    </w:p>
    <w:p>
      <w:pPr>
        <w:spacing w:after="0" w:line="9" w:lineRule="exact"/>
        <w:rPr>
          <w:rFonts w:ascii="Times New Roman" w:cs="Times New Roman" w:eastAsia="Times New Roman" w:hAnsi="Times New Roman"/>
          <w:sz w:val="18"/>
          <w:szCs w:val="18"/>
          <w:color w:val="auto"/>
        </w:rPr>
      </w:pPr>
    </w:p>
    <w:p>
      <w:pPr>
        <w:ind w:left="1000" w:hanging="317"/>
        <w:spacing w:after="0" w:line="181"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Nasty Beast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Tea Green Tea</w:t>
      </w:r>
    </w:p>
    <w:p>
      <w:pPr>
        <w:ind w:left="1000" w:hanging="317"/>
        <w:spacing w:after="0" w:line="180"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Nasty Beast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Tea Original</w:t>
      </w:r>
    </w:p>
    <w:p>
      <w:pPr>
        <w:ind w:left="1000" w:hanging="317"/>
        <w:spacing w:after="0" w:line="180"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Nasty Beast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Tea Peach</w:t>
      </w:r>
    </w:p>
    <w:p>
      <w:pPr>
        <w:ind w:left="1000" w:hanging="317"/>
        <w:spacing w:after="0" w:line="180"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Nasty Beast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Tea Tea+Lemonade</w:t>
      </w: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Storm® Mango</w:t>
      </w:r>
    </w:p>
    <w:p>
      <w:pPr>
        <w:spacing w:after="0" w:line="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Storm® Strawberry Apricot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Total Body Fuel® Sour Gummy Worm</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Relentless® Fruit Punch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March 31, 2024, either individually or in aggregate, did not have a material adverse impact on our financial position, results of operations or liquidity.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net sales of $1.90 billion for the three-months ended March 31, 2024 represented record sales for our first fiscal quarter. Net changes in foreign currency exchange rates had an unfavorable impact on net sales of approximately $64.4 million ($50.4 million related to Argentina) for the three-months ended March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vast majority of our net sales are derived from our Monster Energy® Drinks segment. Net sales of our Monster Energy® Drinks segment were $1.73 billion for the three-months ended March 31, 2024. Net sales of our Strategic Brands segment were $108.4 million for the three-months ended March 31, 2024. Net sales of our Alcohol Brands segment were $56.1 million for the three-months ended March 31, 2024. Net sales of our Other segment were $5.5 million for the three-months ended March 31,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Monster Energy® Drinks segment represented 91.0% and 91.9% of our net sales for the three-months ended March 31, 2024 and 2023, respectively. Our Strategic Brands segment represented 5.7% and 5.1% of our net sales for the three-months ended March 31, 2024 and 2023, respectively. Our Alcohol Brands Segment represented 3.0% and 2.7% of our net sales for the three-months ended March 31, 2024 and 2023, respectively. Our Other segment represented 0.3% of our net sales for both the three-months ended March 31, 2024 and 2023.</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growth strategy includes further developing our domestic markets, expanding our international business and growing our business into new sectors, such as the alcohol beverage sector. Net sales to customers outside the United States were $744.1 million for the three-months ended March 31, 2024, an increase of approximately $121.2 million, or 19.5% higher than net sales to customers outside of the United States of $622.9 million for the three-months ended March 31, 2023. Such sales were approximately 39% and 37% of net sales for the three-months ended March 31, 2024 and 2023, respectively. Net changes in foreign currency exchange rates had an unfavorable impact on net sales to customers outside of the United States of approximately $64.4 million ($50.4 million related to Argentina) for the three-months ended March 31, 2024. Net sales to customers outside the United States, on a foreign currency adjusted basis, increased 29.8% (21.7% exclusive of Argentina’s impact) for the three-months ended March 31,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three-months ended March 31, 2024 and 2023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8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5860" w:type="dxa"/>
            <w:vAlign w:val="bottom"/>
          </w:tcPr>
          <w:p>
            <w:pPr>
              <w:spacing w:after="0"/>
              <w:rPr>
                <w:sz w:val="20"/>
                <w:szCs w:val="20"/>
                <w:color w:val="auto"/>
              </w:rPr>
            </w:pPr>
          </w:p>
        </w:tc>
        <w:tc>
          <w:tcPr>
            <w:tcW w:w="12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March 31,</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4"/>
              </w:rPr>
              <w:t>2023</w:t>
            </w:r>
          </w:p>
        </w:tc>
        <w:tc>
          <w:tcPr>
            <w:tcW w:w="200" w:type="dxa"/>
            <w:vAlign w:val="bottom"/>
            <w:tcBorders>
              <w:bottom w:val="single" w:sz="8" w:color="CCEEFF"/>
            </w:tcBorders>
          </w:tcPr>
          <w:p>
            <w:pPr>
              <w:spacing w:after="0"/>
              <w:rPr>
                <w:sz w:val="18"/>
                <w:szCs w:val="18"/>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value stores and other</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alcohol customers include Reyes Beverage Group, Ben E. Keith Company, J.J. Taylor Distributing, and Sheehan Family Companies.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decision by any large customer to decrease amounts purchased from us or to cease carrying our products could have a material adverse effect on our financial condition and consolidated results of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14% and 13% of our net sales for the three-months ended March 31, 2024 and 2023,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Coca-Cola Consolidated, Inc. accounted for approximately 10% of our net sales for both the three-months ended March 31, 2024 and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Reyes Holdings, LLC accounted for approximately 9% of our net sales for both the three-months ended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three-months ended March 31, 2024 and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Three-Months Ended</w:t>
            </w:r>
          </w:p>
        </w:tc>
        <w:tc>
          <w:tcPr>
            <w:tcW w:w="12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 vs. 23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1,899,098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1,698,930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871,969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801,081</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1,027,129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897,849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412,785</w:t>
            </w:r>
          </w:p>
        </w:tc>
        <w:tc>
          <w:tcPr>
            <w:tcW w:w="24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541,991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485,064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186.1 %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497,560</w:t>
            </w:r>
          </w:p>
        </w:tc>
        <w:tc>
          <w:tcPr>
            <w:tcW w:w="24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100,116</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442,049</w:t>
            </w:r>
          </w:p>
        </w:tc>
        <w:tc>
          <w:tcPr>
            <w:tcW w:w="2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397,444</w:t>
            </w:r>
          </w:p>
        </w:tc>
        <w:tc>
          <w:tcPr>
            <w:tcW w:w="240" w:type="dxa"/>
            <w:vAlign w:val="bottom"/>
          </w:tcPr>
          <w:p>
            <w:pPr>
              <w:spacing w:after="0"/>
              <w:rPr>
                <w:sz w:val="22"/>
                <w:szCs w:val="22"/>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2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Energy drink 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 equivalents)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Includes $9.9 million for both the three-months ended March 31, 2024 and 2023, related to the recognition of deferred revenue.</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March 31, 2024 Compared to the Three-Months Ended March 31, 2023</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$1.90 billion for the three-months ended March 31, 2024, an increase of approximately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11.8% higher than net sales of $1.70 billion for the three-months ended March 31, 2023. Net sales increased primarily due to increased worldwide sales by volume of our Monster Energy® brand energy drinks as a result of increased consumer demand, as well as due to the Pricing Actions. Net changes in foreign currency exchange rates had an unfavorable impact on net sales of approximately $64.4 million ($50.4 million related to Argentina) for the three-months ended March 31, 2024. Net sales on a foreign currency adjusted basis increased 15.6% (12.6% exclusive of Argentina’s impact) for the three-months ended March 31, 2024. The difference between reported net sales and net sales on a foreign currency adjusted basis was largely due to the impact of inflation related local currency price increases in Argentina, as well as the significant decrease in the Argentine Peso relative to the U.S. Dollar.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were $693.0 million and $583.7 million for the three-months ended March 31, 2024 and 2023, respectively, in EMEA, Asia Pacific (including Oceania), Latin America and the Caribbean.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Monster Energy® Drinks segment were $1.73 billion for the three-months ended March 31, 2024, an increase of approximately $167.4 million, or 10.7% higher than net sales of $1.56 billion for the three-months ended March 31, 2023. Net sales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net sales for the Monster Energy® Drinks segment of approximately $54.6 million ($50.4 million related to Argentina) for the three-months ended March 31, 2024. Net sales for the Monster Energy® Drinks segment on a foreign currency adjusted basis increased 14.2% (11.0% exclusive of Argentina’s impact) for the three-months ended March 31, 2024.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for the Strategic Brands segment were $108.4 million for the three-months ended March 31, 2024, an increase of approximately $22.1 million, or 25.6% higher than net sales of $86.4 million for the three-months ended March 31, 2023. Net sales for the Strategic Brands segment increased primarily due to increased sales by volume of our Fury®, NOS®, Burn® and Predator® brand energy drinks. Net changes in foreign currency exchange rates had an unfavorable impact on net sales of approximately $9.8 million for the Strategic Brands segment for the three-months ended March 31, 2024. Net sales for the Strategic Brands segment on a foreign currency adjusted basis increased 36.9% for the three-months ended March 31, 2024. Net sales of concentrates within the Strategic Brands segment tend to have more pronounced fluctuations from period to period as compared to net sales of our finished goods within the Monster Energy® Drinks segment.</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Net sales for the Alcohol Brands segment were $56.1 million for the three-months ended March 31, 2024, an increase of approximately $9.8 million, or 21.1% higher than net sales of $46.3 million for the three-months ended March 31, 2023. Net sales of Nasty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Tea, launched during the 2024 first quarter, were $16.9 million for the three-months ended March 31, 2024.</w:t>
      </w:r>
    </w:p>
    <w:p>
      <w:pPr>
        <w:spacing w:after="0" w:line="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$5.5 million for the three-months ended March 31, 2024, an increase of approximately $0.9 million, or 19.9% higher than net sales of $4.6 million for the three-months ended March 31, 2023.</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211.4 million cases for the three-months ended March 31, 2024, an increase of approximately 29.0 million cases or 15.9% higher than case sales of 182.4 million cases for the three-months ended March 31, 2023. The overall average net sales per case for our energy drink products (excluding net sales of Alcohol Brands and Other segments) decreased to $8.69 for the three-months ended March 31, 2024, which was 3.8% lower than the average net sales per case of $9.03 for the three-months ended March 31,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craft beers, hard seltzers and FMBs, in 192-ounce equivalents, were 4.1 million cases for the three-months ended March 31, 2024, an increase of approximately 1.0 million cases or 31.0% higher than case sales of 3.1 million cases for the three-months ended March 31, 2023. Barrel sales for our craft beers, hard seltzers and FMBs, in 31 U.S. gallon equivalents, were 0.20 million barrels for the three-months ended March 31, 2024, an increase of approximately 0.05 million barrels or 31.0% higher than barrel sales of 0.15 million barrels for the three-months ended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was $1.03 billion for the three-months ended March 31, 2024, an increase of approximately $129.3 million, or 14.4% higher than the gross profit of $897.8 million for the three-months ended March 31, 2023. The increase in gross profit dollars was primarily the result of the $200.2 million increase in net sales for the three-months ended March 31, 2024.</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sales increased to 54.1% for the three-months ended March 31, 2024 from 52.8% for the three-months ended March 31, 2023. The increase in gross profit as a percentage of net sales for the three-months ended March 31, 2024 was primarily the result of decreased freight-in costs, the Pricing Actions and lower input costs, partially offset by geographical sales mix.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$485.1 million for the three-months ended March 31, 2024, an increase of approximately $72.4 million, or 17.5% higher than total operating expenses of $412.8 million for the three-months ended March 31, 2023.</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operating expenses was primarily due to increased selling and marketing expenses of $25.4 million, including sponsorship and endorsements and social and digital marketing, increased payroll expenses of $22.6 million, as well as increased distribution expenses of $18.1 million. Operating expenses as a percentage of net sales for the three-months ended March 31, 2024 were 25.5% as compared to 24.3% for the three-months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$542.0 million for the three-months ended March 31, 2024, an increase of approximately $56.9 million, or 11.7% higher than operating income of $485.1 million for the three-months ended March 31, 2023. Operating income as a percentage of net sales decreased to 28.5% for the three-months ended March 31, 2024 from 28.6% for the three-months ended March 31, 2023. The increase in operating income was primarily the result of an increase in net sales, as well as an increase in gross profit as a percentage of net sales, partially offset by an increase in operating expenses.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$138.0 million and $93.7 million for the three-months ended March 31, 2024 and 2023, respectively, for our operations in EMEA, Asia Pacific (including Oceania),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$628.1 million for the three-months ended March 31, 2024, an increase of approximately $67.3 million, or 12.0% higher than operating income of $560.8 million for the three-months ended March 31, 2023. The increase in operating income for the Monster Energy® Drinks segment was primarily the result of an increase in net sales as well as an increase in gross profit as a percentage of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$62.0 million for the three-months ended March 31, 2024, an increase of approximately $10.2 million, or 19.8% higher than operating income of $51.8 million for the three-months ended March 31, 2023. The increase in operating income for the Strategic Brands segment was primarily the result of an increase in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$6.0 million for the three-months ended March 31, 2024, a decrease of approximately $0.9 million, or 12.6% lower than operating loss of $6.9 million for the three-months ended March 31, 2023. The operating losses for the three-months ended March 31, 2024 were primarily due to continued expenses, infrastructure investments and the optimization of the Alcohol Brands segment.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$1.0 million for the three-months ended March 31, 2024, as compared to operating loss of ($0.3) million for the three-months ended March 31, 2023. The operating income for the three-months ended March 31, 2024 was primarily the result of an increase in 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non-operating income, net, was $35.8 million for the three-months ended March 31, 2024, as compared to interest and other non-operating income, net, of $12.5 million for the three-months ended March 31, 2023. Foreign currency transaction losses were $6.0 million and $11.2 million for the three-months ended March 31, 2024 and 2023, respectively. Interest income was $41.2 million and $23.5 million for the three-months ended March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$135.7 million for the three-months ended March 31, 2024, an increase of $35.6 million, or 35.5% higher than the provision for income taxes of $100.1 million for the three-months ended March 31, 2023. The effective combined federal, state and foreign tax rate increased to 23.5% from 20.1% for the three-months ended March 31, 2024 and 2023, respectively. The increase in the effective tax rate was primarily attributable to the decrease in the stock-based compensation deduction in the three-months ended March 31, 2024 as compared to the three-months ended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was $442.0 million for the three-months ended March 31, 2024, an increase of $44.6 million, or 11.2% higher than net income of $397.4 million for the three-months ended March 31, 2023. The increase in net income for the three-months ended March</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31, 2024 was primarily due to the increase in net sales and the increase in the gross profit percentage of net sales, which was partially offset by the increase in operating expenses and the increase in the provision for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Key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were $2.19 billion for the three-months ended March 31, 2024, an increase of approximately $233.9 million, or 12.0% higher than gross billings of $1.96 billion for the three-months ended March 31, 2023. Net changes in foreign currency exchange rates had an unfavorable impact on gross billings of approximately $62.8 million ($50.4 million related to Argentina) for the three-months ended March 31, 2024.</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$2.00 billion for the three-months ended March 31, 2024, an increase of approximately $199.0 million, or 11.0% higher than gross billings of $1.80 billion for the three-months ended March 31, 2023. Gross billings for the Monster Energy® Drinks segment increased primarily due to increased worldwide sales by volume of our Monster Energy® brand energy drinks as a result of increased consumer demand as well as due to the Pricing Actions. Net changes in foreign currency exchange rates had an unfavorable impact on gross billings for the Monster Energy® Drinks segment of approximately $53.1 million ($50.4 million related to Argentina) for the three-months ended March 31,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billings for the Strategic Brands segment were $122.6 million for the three-months ended March 31, 2024, an increase of $23.9 million, or 24.2% higher than gross billings of $98.7 million for the three-months ended March 31, 2023. Gross billings for the Strategic Brands segment increased primarily due to increased sales by volume of our Fury®, Burn®, NOS® and Predator® brand energy drinks. Net changes in foreign currency exchange rates had an unfavorable impact on gross billings in the Strategic Brands segment of approximately $9.7 million for the three-months ended March 31, 2024.</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Gross billings for the Alcohol Brands segment were $57.0 million for the three-months ended March 31, 2024, an increase of approximately $10.0 million, or 21.4% higher than net sales of $47.0 million for the three-months ended March 31, 2023. Gross billings of Nasty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Tea, launched during the 2024 first quarter, were $17.3 million for the three-months ended March 31, 2024.</w:t>
      </w:r>
    </w:p>
    <w:p>
      <w:pPr>
        <w:spacing w:after="0" w:line="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$5.6 million for the three-months ended March 31, 2024, an increase of $1.0 million, or 21.9% higher than gross billings of $4.6 million for the three-months ended March 31,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$299.7 million for the three-months ended March 31, 2024, an increase of $33.7 million, or 12.6% higher than promotional allowances, commissions and other expenses of $266.1 million for the three-months ended March 31, 2023. Promotional allowances, commissions and other expenses as a percentage of gross billings increased to 13.7% from 13.6% for the three-months ended March 31, 2024 and 2023, respectively.</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billings with the most directly comparable GAAP financial measure of net sales:</w:t>
      </w:r>
    </w:p>
    <w:p>
      <w:pPr>
        <w:spacing w:after="0" w:line="17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9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24 vs. 23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Billings</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$2,188,933</w:t>
            </w:r>
          </w:p>
        </w:tc>
        <w:tc>
          <w:tcPr>
            <w:tcW w:w="20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$1,955,039</w:t>
            </w:r>
          </w:p>
        </w:tc>
        <w:tc>
          <w:tcPr>
            <w:tcW w:w="1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1"/>
        </w:trPr>
        <w:tc>
          <w:tcPr>
            <w:tcW w:w="50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Promotional allowances, commissions and other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299,710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266,055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$1,899,098</w:t>
            </w:r>
          </w:p>
        </w:tc>
        <w:tc>
          <w:tcPr>
            <w:tcW w:w="2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$1,698,930</w:t>
            </w: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three-months ended March 31, 2024 and 2023, respectively. Data from any one or more quarters or periods is not necessarily indicative of annual results or continuing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Three-Months Ended</w:t>
            </w: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1,837,495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1,648,026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Monster Energy® Drinks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Strategic Brands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Excludes Alcohol Brands segment and Other segment net sales.</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the overall average net sales per case for the three-months ended March 31,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case sales for our craft beers, hard seltzers and FMBs, in 192-ounce equivalents: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Three-Months Ended</w:t>
            </w:r>
          </w:p>
        </w:tc>
      </w:tr>
      <w:tr>
        <w:trPr>
          <w:trHeight w:val="234"/>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5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 segment net sales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46,290</w:t>
            </w: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Case sales</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0"/>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net sales per case - Alcohol Brands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Results of Operations” for additional information related to the increase in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short-term and long-term investments. </w:t>
      </w:r>
      <w:r>
        <w:rPr>
          <w:rFonts w:ascii="Times New Roman" w:cs="Times New Roman" w:eastAsia="Times New Roman" w:hAnsi="Times New Roman"/>
          <w:sz w:val="18"/>
          <w:szCs w:val="18"/>
          <w:color w:val="auto"/>
        </w:rPr>
        <w:t>At March 31, 2024, we had $2.58 billion in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$984.2 million in short-term investments and $8.2 million in long-term investments, including certificates of deposit, commercial paper, U.S. government agency securities, U.S. treasuries and corporate bonds.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the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our $2.58 billion of cash and cash equivalents held at March 31, 2024, $961.5 million was held by our foreign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short-term or long-term investments were held by our foreign subsidiaries at March 31,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$500.0 million through March 31, 2025. However, future business opportunities may cause a change in this estimate.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cash flows for the three-months ended March 31, 2024 and 2023 (in thousands):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424,475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$412.1 million for the three-months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as compared with cash provided by operating activities of $424.5 million for the three-months ended March 31, 2023.</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three-months ended March 31, 2024, cash provided by operating activities was primarily attributable to net income earned of $442.0 million and adjustments for certain non-cash expenses, consisting primarily of $23.7 million of depreciation and amortization and non-cash lease expense and $22.5 million of stock-based compensation. For the three-months ended March 31, 2024, cash provided by operating activities also increased due to a $60.5 million increase in income taxes payable, a $52.8 million increase in accrued promotional allowances, a $28.3 million increase in accrued liabilities, a $22.7 million decrease in inventories and an $11.8 million decrease in prepaid income taxes. For the three-months ended March 31, 2024, cash used in operating activities was primarily attributable to a $195.1 million increase in accounts receivable, a $35.7 million decrease in accrued compensation, a $9.5 million increase in prepaid expenses and other assets, a $9.1 million decrease in accounts payable and a $3.0 million decrease in deferred revenue.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three-months ended March 31, 2023, cash provided by operating activities was primarily attributable to net income earned of $397.4 million and adjustments for certain non-cash expenses, consisting of $19.0 million of depreciation and amortization and non-cash lease expense, and $16.1 million of stock-based compensation. For the three-months ended March 31, 2023, cash provided by operating activities also increased due to a $51.1 million increase in accounts payable, a $48.3 million increase in accrued promotional allowances, a $41.6 million increase in income taxes payable, a $35.5 million decrease in inventories, a $14.2 million increase in accrued liabilities, a $4.0 million decrease in prepaid income taxes and a $1.3 million decrease in prepaid expenses and other assets. For the three-months ended March 31, 2023, cash used in operating activities was primarily attributable to a $167.5 million increase in accounts receivable, a $30.3 million decrease in accrued compensation and a $5.0 million decrease in deferred revenue.</w:t>
      </w:r>
    </w:p>
    <w:p>
      <w:pPr>
        <w:spacing w:after="0" w:line="19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$35.3 million for the three-months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as compared to cash used in investing activities of $52.8 million for the three-months ended March 31, 2023.</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both the three-months ended March 31, 2024 and 2023, cash provided by investing activities was primarily attributable to sales of available-for-sale investments. For both the three-months ended March 31, 2024 and 2023, cash used in investing activities was primarily attributable to purchases of available-for-sale investments. To a lesser extent, for both the three-months ended March 31, 2024 and 2023,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develop our brand in international markets and for other corporate purposes. From time to time, we may also use cash to purchase additional real property related to our beverage business and/or acquire compatible businesses.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used in financing activities. </w:t>
      </w:r>
      <w:r>
        <w:rPr>
          <w:rFonts w:ascii="Times New Roman" w:cs="Times New Roman" w:eastAsia="Times New Roman" w:hAnsi="Times New Roman"/>
          <w:sz w:val="18"/>
          <w:szCs w:val="18"/>
          <w:color w:val="auto"/>
        </w:rPr>
        <w:t>Cash used in financing activities was $84.7 million for the three-months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cash used in financing activities of $6.0 million for the three-months ended March 31, 2023. The cash used in financing activities for both the three-months ended March 31, 2024 and 2023 was primarily the result of the repurchases of our common stock. The cash provided by financing activities for both the three-months ended March 31, 2024 and 2023 was primarily attributable to the issuance of our common stock under our stock-based compensation plans.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 March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358,170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w:t>
            </w:r>
          </w:p>
        </w:tc>
      </w:tr>
      <w:tr>
        <w:trPr>
          <w:trHeight w:val="216"/>
        </w:trPr>
        <w:tc>
          <w:tcPr>
            <w:tcW w:w="3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345,541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338,814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867,791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703,697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116,012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Contractual obligations include our obligations related to sponsorships and other commitments.</w:t>
      </w:r>
    </w:p>
    <w:p>
      <w:pPr>
        <w:jc w:val="both"/>
        <w:spacing w:after="0" w:line="210" w:lineRule="auto"/>
        <w:rPr>
          <w:sz w:val="20"/>
          <w:szCs w:val="20"/>
          <w:color w:val="auto"/>
        </w:rPr>
      </w:pP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$6.0 million of unrecognized tax benefits have been recorded as liabilities as of March 31, 2024. It is expected that the amount of unrecognized tax benefits will not significantly change within the next 12 months. As of March 31, 2024, we had $0.7 million of accrued interest and penalties related to unrecognized tax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2023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 Recent Accounting Pronouncements,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Inflation had an impact on our results of operations for the three-months ended March 31, 2024 primarily due to inflation related local currency price increases in certain international markets.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commencement of the $3.0 billion tender offer;</w:t>
      </w:r>
    </w:p>
    <w:p>
      <w:pPr>
        <w:spacing w:after="0" w:line="27"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$1.0 billion in combined borrowings, consisting of a new revolving credit facility and a new delayed draw term loan facility, each expected to be consummated prior to the completion of the tender offer;</w:t>
      </w: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the Bang Energy® business and recognize the anticipated benefits of the transaction;</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transition the acquired Bang Energy® beverages to the Company’s primary bottlers/distributors;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shelf space, retain customers and increase sales of the acquired Bang Energy® beverages;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consolidate operations and/or rationalize brands acquired from Monster Brewing Company and Bang Energy®;</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within our Alcohol Brands segment;</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mitigate or pass on cost increases to our bottlers/distributors and/or customers and/or consumers;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costs, interest rates, and inflation on the discretionary income of our consumers;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an economic slowdown or recession that could negatively impact the financial condition of our customers and could result in a reduced demand for our products;</w:t>
      </w:r>
    </w:p>
    <w:p>
      <w:pPr>
        <w:jc w:val="both"/>
        <w:ind w:left="680" w:right="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military conflicts in Ukraine, Israel and Gaza as well as tensions in the Middle East and across the Taiwan Straits, including supply chain disruptions, volatility in commodity and energy prices, increased economic uncertainty and escalating geopolitical tensions;</w:t>
      </w: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of and/or achieve growth for our Monster Energy®, Reign Total Body Fuel®, Reign Storm®, Bang Energy® and NOS® brand energy drinks and/or our other products, including our Strategic Brands and Alcohol Brands;</w:t>
      </w: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temporary or permanent facility closures, production slowdowns and disruptions in operations experienced by our manufacturing facilities, our suppliers, bottlers/distributors, co-packers, and/or breweries, including any material disruptions on the production and distribution of our products;</w:t>
      </w:r>
    </w:p>
    <w:p>
      <w:pPr>
        <w:jc w:val="both"/>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and/or our co-packers’ manufacturing facilities and operations due to severe weather, natural disasters, climate change, labor-related issues, production difficulties, capacity limitations, cybersecurity incidents or other causes, which could impair our ability to produce or deliver finished products, resulting in a negative impact on our operating results;</w:t>
      </w: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modify our manufacturing facilities to comply with safety, health, environmental, and other regulations;</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co-packers leading us to increasingly rely on fewer co-packing groups, certain of which account for a large percentage of our co-packing capacity for our Monster Energy® drinks;</w:t>
      </w: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logistical issues and delays, including shortages of shipping containers and port of entry congestion;</w:t>
      </w:r>
    </w:p>
    <w:p>
      <w:pPr>
        <w:spacing w:after="0" w:line="22" w:lineRule="exact"/>
        <w:rPr>
          <w:rFonts w:ascii="Times New Roman" w:cs="Times New Roman" w:eastAsia="Times New Roman" w:hAnsi="Times New Roman"/>
          <w:sz w:val="18"/>
          <w:szCs w:val="18"/>
          <w:color w:val="auto"/>
        </w:rPr>
      </w:pPr>
    </w:p>
    <w:p>
      <w:pPr>
        <w:ind w:left="680" w:hanging="321"/>
        <w:spacing w:after="0" w:line="29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sectPr>
          <w:pgSz w:w="11900" w:h="16838" w:orient="portrait"/>
          <w:cols w:equalWidth="0" w:num="1">
            <w:col w:w="9920"/>
          </w:cols>
          <w:pgMar w:left="980" w:top="661"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7"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 of TCCC’s bottlers/distributors distributing Coca-Cola brand energy drinks, possible reductions in the number of our SKUs carried by such bottlers/distributors and/or such bottlers/distributors imposing limitations on distributing new product SKUs;</w:t>
      </w:r>
    </w:p>
    <w:p>
      <w:pPr>
        <w:spacing w:after="0" w:line="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stockholders and the potential divergence of TCCC’s interests from those of our other stockholders;</w:t>
      </w:r>
    </w:p>
    <w:p>
      <w:pPr>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TCCC system bottlers/distributors and manage their ongoing commitment to focus on our non-alcohol products;</w:t>
      </w:r>
    </w:p>
    <w:p>
      <w:pPr>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distribution channels and/or declines in sales due to the termination and/or insolvency of existing and/or new domestic and/or international bottlers/distributors;</w:t>
      </w: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inventory levels or those of our bottlers/distributors, planned or otherwise, and the resultant impact on our revenues;</w:t>
      </w:r>
    </w:p>
    <w:p>
      <w:pPr>
        <w:jc w:val="both"/>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age restrictions imposed on the sale, purchase, or consumption of our products, marketing restrictions, product registration requirements, tariffs, trade restrictions, container size limitations and/or ingredient restrictions;</w:t>
      </w: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the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evolving industry standards regarding consumer privacy and data use and security, including, but not limited to, with respect to the General Data Protection Regulation and the California Consumer Privacy Act of 2018;</w:t>
      </w: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and/or repatriate cash from certain of our operations outside the United States;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as a result of any legislation proposed by the U.S. Presidential Administration or U.S. Congress, which may include efforts to change or repeal the 2017 Tax Cuts and Jobs Act and the federal corporate income tax rate reduction;</w:t>
      </w: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Organization for Economic Cooperation and Development’s base erosion and profit shifting project;</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that may be brought against us by the U.S. Securities and Exchange Commission (the “SEC”), the FDA, the FTC, the ATF or other governmental or quasi-governmental agencies or bodies;</w:t>
      </w:r>
    </w:p>
    <w:p>
      <w:pPr>
        <w:ind w:left="680" w:right="2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our products and/or claims made in connection with our products and/or alleging false advertising, marketing and/or promotion, and the possibility of future product liability and/or class action lawsuits;</w:t>
      </w:r>
    </w:p>
    <w:p>
      <w:pPr>
        <w:ind w:left="680" w:hanging="321"/>
        <w:spacing w:after="0" w:line="26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 including litigation directed at the energy and alcohol beverage industries generally or at the Company in particular;</w:t>
      </w: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injunctions;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possible tax matters;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alcohol consumption, and other health concerns related to our products, product safety and quality, water usage, environmental impact and sustainability, human rights, our culture, workforce and labor and workplace laws;</w:t>
      </w: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or comply with sustainability-related expectations, standards, and regulations, including rules adopted by the SEC, laws implemented by the California legislature, and directives adopted by the European Commission;</w:t>
      </w:r>
    </w:p>
    <w:p>
      <w:pPr>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or season related and/or for other reasons, including changes in product category and/or package consumption;</w:t>
      </w:r>
    </w:p>
    <w:p>
      <w:pPr>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certain key ingredients including aluminum cans, as well as disruptions to the supply chain, as a result of climate change and poor or extreme weather conditions;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political conditions, civil unrest, large scale terrorist acts, the outbreak or escalation of armed hostilities, major natural disasters and extreme weather conditions, widespread outbreaks of infectious diseases (such as the COVID-19 pandemic), or unforeseen economic and political changes and local or international catastrophic events;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increase or maintain our market share as a result of actions by competitors, including unsubstantiated and/or misleading claims, false advertising claims and tortious interference, as well as competitors selling misbranded products;</w:t>
      </w:r>
    </w:p>
    <w:p>
      <w:pPr>
        <w:jc w:val="both"/>
        <w:ind w:left="680" w:right="2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 including through reductions in promotional allowances;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including expanding our business in existing and new sectors, such as the alcohol beverage sector;</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p>
      <w:pPr>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transition distribution agreements in our Alcohol Brands segment and/or the impact of higher costs to change distributors for our alcohol beverages;</w:t>
      </w: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p>
      <w:pPr>
        <w:jc w:val="both"/>
        <w:ind w:left="680" w:hanging="321"/>
        <w:spacing w:after="0" w:line="264"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In addition, our business may be adversely impacted by changes in other food, drug or similar laws in the United States and internationally as well as laws and regulations or rules made or enforced by the ATF and/or the FTC or their foreign counterparts;</w:t>
      </w:r>
    </w:p>
    <w:p>
      <w:pPr>
        <w:spacing w:after="0" w:line="1" w:lineRule="exact"/>
        <w:rPr>
          <w:rFonts w:ascii="Times New Roman" w:cs="Times New Roman" w:eastAsia="Times New Roman" w:hAnsi="Times New Roman"/>
          <w:sz w:val="18"/>
          <w:szCs w:val="18"/>
          <w:color w:val="auto"/>
        </w:rPr>
      </w:pPr>
    </w:p>
    <w:p>
      <w:pPr>
        <w:ind w:left="680" w:hanging="321"/>
        <w:spacing w:after="0" w:line="29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including flavors, flavor ingredients and supplement ingredients due to port congestion, strikes and related labor issues or otherwise;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67"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and/or alcohol drink guidelines, including, without limitation, those adopted by the American Beverage Association, of which we are a member, and/or any international beverage associations and the impact that our failure to satisfy such guidelines may have on our business;</w:t>
      </w:r>
    </w:p>
    <w:p>
      <w:pPr>
        <w:spacing w:after="0" w:line="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cans or kegs, the Midwest and other premiums, raw materials, including flavors and flavor ingredients, and other ingredients and juice concentrates, co-packing fees, and our ability to obtain and/or maintain favorable supply arrangements and relationships and procure timely and/or sufficient production of all or any of our products to meet customer demand;</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shortages that may be experienced in the procurement of containers and/or other raw materials including, without limitation, water, flavors, flavor ingredients, supplement ingredients, aluminum cans generally, to a limited extent PET containers, 24-ounce aluminum cap cans, 19.2-ounce cans and 550ml BRE aluminum cans with resealable ends;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secure and purify sufficient supplies of quality water;</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procuring sufficient quantities of aluminum cans;</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trading disputes between our bottler/distributors and their customers and/or one or more buying groups which may result in the delisting of certain of our products, temporarily or otherwise;</w:t>
      </w: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 and our ability to successfully adapt to the rapidly changing retail landscape, including, but not limited to, competition from new entrants, consolidations by competitors and retailers, and other competitive activities;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retail landscape with the rapid growth in e-commerce retailers;</w:t>
      </w:r>
    </w:p>
    <w:p>
      <w:pPr>
        <w:spacing w:after="0" w:line="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bottler/distributor consolidation on our business;</w:t>
      </w:r>
    </w:p>
    <w:p>
      <w:pPr>
        <w:spacing w:after="0" w:line="22"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sponsorships and endorsements, marketing and promotional strategies;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social media and other general marketing endeavors both domestically and internationally;</w:t>
      </w:r>
    </w:p>
    <w:p>
      <w:pPr>
        <w:spacing w:after="0" w:line="22"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product recalls and/or reformulations of certain of our products and/or market withdrawals of certain of our products due to defective packaging and/or non-compliant formulas or production in one or more jurisdictions;</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co-packers to manufacture our products on a timely basis or at all;</w:t>
      </w:r>
    </w:p>
    <w:p>
      <w:pPr>
        <w:spacing w:after="0" w:line="22"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8"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spacing w:after="0" w:line="1"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jc w:val="both"/>
        <w:ind w:left="680" w:hanging="321"/>
        <w:spacing w:after="0" w:line="266"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or by third parties; and</w:t>
      </w:r>
    </w:p>
    <w:p>
      <w:pPr>
        <w:ind w:left="680" w:hanging="321"/>
        <w:spacing w:after="0" w:line="29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plans for and/or the recruitment and retention of senior management, other key employees and our employee base in general.</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risks during the three-months ended March 31, 2024 compared with the disclosures in Part II, Item 7A of our Form 10-K.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11. Commitments and Contingencies: Litigation in Part I, Item 1, of this Quarterly Report on Form 10-Q.</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share repurchase program for the purchase of up to an additional $500.0 million of the Company’s outstanding common stock (the “November 2022 Repurchase Plan”). During the three-months ended March 31, 2024, the Company purchased approximately 1.8 million shares of common stock at an average purchase price of $54.96 per share, for a total amount of approximately $97.2 million (excluding broker commissions), under the November 2022 Repurchase Plan. As of May 7, 2024, $142.4 million remained available for repurchase under the November 2022 Repurchase Plan.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2023, the Company’s Board of Directors authorized a share repurchase program for the purchase of up to an additional $500.0 million of the Company’s outstanding common stock (the “November 2023 Repurchase Plan”). During the three-months ended March 31, 2024, no shares were repurchased under the November 2023 Repurchase Plan. As of May 7, 2024, $500.0 million remained available for repurchase under the November 2023 Repurchase Plan.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$642.4 million as of May 7,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March 31, 2024, 0.4 million shares of common stock were purchased from employees in lieu of cash payments for options exercised or withholding taxes due for a total amount of $23.0 million. While such purchases are considered common stock repurchases, they are not counted as purchases against the Company’s authorized share repurchase programs. Such shares are included in common stock in treasury in the accompanying consolidated balance sheet at March 31,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Value) of Shares that</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May Yet Be Purchased</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Under the Plans or</w:t>
            </w:r>
          </w:p>
        </w:tc>
      </w:tr>
      <w:tr>
        <w:trPr>
          <w:trHeight w:val="216"/>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Programs (In</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Share¹</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Programs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thousands)²</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1 – Jan 31, 2024</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698,426</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 1 – Feb 29,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1,019,399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 1 – Mar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¹Excluding broker commissions paid.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²Net of broker commissions paid.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53"/>
        <w:spacing w:after="0" w:line="266" w:lineRule="auto"/>
        <w:rPr>
          <w:sz w:val="20"/>
          <w:szCs w:val="20"/>
          <w:color w:val="auto"/>
        </w:rPr>
      </w:pPr>
      <w:r>
        <w:rPr>
          <w:rFonts w:ascii="Times New Roman" w:cs="Times New Roman" w:eastAsia="Times New Roman" w:hAnsi="Times New Roman"/>
          <w:sz w:val="18"/>
          <w:szCs w:val="18"/>
          <w:color w:val="auto"/>
        </w:rPr>
        <w:t>During the three-months ended March 31, 2024, none of the Company’s directors or officers adopted, modified or terminated a Rule 10b5-1 trading arrangement or a non-Rule 10b5-1 trading arrangement (each as defined in Item 408 of Regulation S-K under the Securities Exchange Act of 1934, as amended).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jc w:val="both"/>
        <w:ind w:left="740" w:hanging="728"/>
        <w:spacing w:after="0" w:line="282"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6">
        <w:r>
          <w:rPr>
            <w:rFonts w:ascii="Times New Roman" w:cs="Times New Roman" w:eastAsia="Times New Roman" w:hAnsi="Times New Roman"/>
            <w:sz w:val="18"/>
            <w:szCs w:val="18"/>
            <w:u w:val="single" w:color="auto"/>
            <w:color w:val="0000EE"/>
          </w:rPr>
          <w:t>Second Amended and Restated Certificate of Incorporation of the Company (incorporated by reference to Exhibit 3.1 to our</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Form 8-K dated June 27, 2023).</w:t>
        </w:r>
      </w:hyperlink>
    </w:p>
    <w:p>
      <w:pPr>
        <w:spacing w:after="0" w:line="162" w:lineRule="exact"/>
        <w:rPr>
          <w:sz w:val="20"/>
          <w:szCs w:val="20"/>
          <w:color w:val="auto"/>
        </w:rPr>
      </w:pPr>
    </w:p>
    <w:p>
      <w:pPr>
        <w:spacing w:after="0"/>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7">
        <w:r>
          <w:rPr>
            <w:rFonts w:ascii="Times New Roman" w:cs="Times New Roman" w:eastAsia="Times New Roman" w:hAnsi="Times New Roman"/>
            <w:sz w:val="18"/>
            <w:szCs w:val="18"/>
            <w:u w:val="single" w:color="auto"/>
            <w:color w:val="0000EE"/>
          </w:rPr>
          <w:t>Third Amended and Restated By-laws of the Company (incorporated by reference to Exhibit 3.2 to our Form 8-K dated June</w:t>
        </w:r>
      </w:hyperlink>
    </w:p>
    <w:p>
      <w:pPr>
        <w:spacing w:after="0" w:line="27" w:lineRule="exact"/>
        <w:rPr>
          <w:sz w:val="20"/>
          <w:szCs w:val="20"/>
          <w:color w:val="auto"/>
        </w:rPr>
      </w:pPr>
    </w:p>
    <w:p>
      <w:pPr>
        <w:ind w:left="740"/>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27, 2023).</w:t>
        </w:r>
      </w:hyperlink>
    </w:p>
    <w:p>
      <w:pPr>
        <w:spacing w:after="0" w:line="20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 Oxley Act of 2002</w:t>
      </w:r>
    </w:p>
    <w:p>
      <w:pPr>
        <w:spacing w:after="0" w:line="225"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jc w:val="both"/>
        <w:ind w:left="74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0000EE"/>
        </w:rPr>
        <w:t>Certification by Chief Financial Officer Pursuant to 18 U.S.C. Section 1350, as Adopted Pursuant to Section 906 of the Sarbanes-Oxley Act of 2002</w:t>
      </w:r>
    </w:p>
    <w:p>
      <w:pPr>
        <w:spacing w:after="0" w:line="162" w:lineRule="exact"/>
        <w:rPr>
          <w:sz w:val="20"/>
          <w:szCs w:val="20"/>
          <w:color w:val="auto"/>
        </w:rPr>
      </w:pPr>
    </w:p>
    <w:p>
      <w:pPr>
        <w:jc w:val="both"/>
        <w:ind w:left="740" w:hanging="739"/>
        <w:spacing w:after="0" w:line="255"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March 31, 2024, formatted in iXBRL (Inline eXtensible Business Reporting Language): (i) Condensed Consolidated Balance Sheets as of March 31, 2024 and December 31, 2023, (ii) Condensed Consolidated Statements of Income for the three-months ended March 31, 2024 and 2023, (iii) Condensed Consolidated Statements of Comprehensive Income for the three-months ended March 31, 2024 and 2023, (iv) Condensed Consolidated Statements of Stockholders’ Equity for the three-months ended March 31, 2024 and 2023, (v) Condensed Consolidated Statements of Cash Flows for the three-months ended March 31, 2024 and 2023, and (vi) the Notes to Condensed Consolidated Financial Statements.</w:t>
      </w:r>
    </w:p>
    <w:p>
      <w:pPr>
        <w:spacing w:after="0" w:line="189" w:lineRule="exact"/>
        <w:rPr>
          <w:sz w:val="20"/>
          <w:szCs w:val="20"/>
          <w:color w:val="auto"/>
        </w:rPr>
      </w:pPr>
    </w:p>
    <w:p>
      <w:pPr>
        <w:jc w:val="both"/>
        <w:ind w:left="740" w:right="20" w:hanging="739"/>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March 31, 2024, formatted in iXBRL (Inline eXtensible Business Reporting Language) and contained in Exhibit 101.</w:t>
      </w:r>
    </w:p>
    <w:p>
      <w:pPr>
        <w:spacing w:after="0" w:line="162" w:lineRule="exact"/>
        <w:rPr>
          <w:sz w:val="20"/>
          <w:szCs w:val="20"/>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7, 2024</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8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8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6"/>
        </w:trPr>
        <w:tc>
          <w:tcPr>
            <w:tcW w:w="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7, 2024</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8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Chairman of the Board of Directors and Co-Chief Executive</w:t>
            </w:r>
          </w:p>
        </w:tc>
      </w:tr>
      <w:tr>
        <w:trPr>
          <w:trHeight w:val="234"/>
        </w:trPr>
        <w:tc>
          <w:tcPr>
            <w:tcW w:w="8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w:t>
            </w:r>
          </w:p>
        </w:tc>
      </w:tr>
      <w:tr>
        <w:trPr>
          <w:trHeight w:val="776"/>
        </w:trPr>
        <w:tc>
          <w:tcPr>
            <w:tcW w:w="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Kelly,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7, 2024</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8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8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8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March 31, 2024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7, 2024</w:t>
            </w:r>
          </w:p>
        </w:tc>
        <w:tc>
          <w:tcPr>
            <w:tcW w:w="4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211"/>
        </w:trPr>
        <w:tc>
          <w:tcPr>
            <w:tcW w:w="8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Rodney C. Sacks</w:t>
            </w:r>
          </w:p>
        </w:tc>
      </w:tr>
    </w:tbl>
    <w:p>
      <w:pPr>
        <w:ind w:left="54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and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March 31, 2024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7, 2024</w:t>
            </w:r>
          </w:p>
        </w:tc>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211"/>
        </w:trPr>
        <w:tc>
          <w:tcPr>
            <w:tcW w:w="8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Hilton H. Schlosberg</w:t>
            </w:r>
          </w:p>
        </w:tc>
      </w:tr>
    </w:tbl>
    <w:p>
      <w:pPr>
        <w:ind w:left="5400"/>
        <w:spacing w:after="0"/>
        <w:rPr>
          <w:sz w:val="20"/>
          <w:szCs w:val="20"/>
          <w:color w:val="auto"/>
        </w:rPr>
      </w:pPr>
      <w:r>
        <w:rPr>
          <w:rFonts w:ascii="Times New Roman" w:cs="Times New Roman" w:eastAsia="Times New Roman" w:hAnsi="Times New Roman"/>
          <w:sz w:val="18"/>
          <w:szCs w:val="18"/>
          <w:color w:val="auto"/>
        </w:rPr>
        <w:t>Vice Chairman of the Board of Directors and Co-Chief</w:t>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March 31, 2024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May 7, 2024</w:t>
            </w:r>
          </w:p>
        </w:tc>
        <w:tc>
          <w:tcPr>
            <w:tcW w:w="4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9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46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9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decimal"/>
      <w:start w:val="5"/>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1."/>
      <w:numFmt w:val="decimal"/>
      <w:start w:val="14"/>
    </w:lvl>
  </w:abstractNum>
  <w:abstractNum w:abstractNumId="13">
    <w:nsid w:val="2443A858"/>
    <w:multiLevelType w:val="hybridMultilevel"/>
    <w:lvl w:ilvl="0">
      <w:lvlJc w:val="left"/>
      <w:lvlText w:val="%1."/>
      <w:numFmt w:val="decimal"/>
      <w:start w:val="15"/>
    </w:lvl>
  </w:abstractNum>
  <w:abstractNum w:abstractNumId="14">
    <w:nsid w:val="2D1D5AE9"/>
    <w:multiLevelType w:val="hybridMultilevel"/>
    <w:lvl w:ilvl="0">
      <w:lvlJc w:val="left"/>
      <w:lvlText w:val="%1."/>
      <w:numFmt w:val="decimal"/>
      <w:start w:val="16"/>
    </w:lvl>
  </w:abstractNum>
  <w:abstractNum w:abstractNumId="15">
    <w:nsid w:val="6763845E"/>
    <w:multiLevelType w:val="hybridMultilevel"/>
    <w:lvl w:ilvl="0">
      <w:lvlJc w:val="left"/>
      <w:lvlText w:val="%1."/>
      <w:numFmt w:val="decimal"/>
      <w:start w:val="17"/>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9"/>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6" Type="http://schemas.openxmlformats.org/officeDocument/2006/relationships/hyperlink" Target="https://www.sec.gov/Archives/edgar/data/865752/000110465923074933/tm2319592d1_ex3-1.htm" TargetMode="External"/><Relationship Id="rId87" Type="http://schemas.openxmlformats.org/officeDocument/2006/relationships/hyperlink" Target="https://www.sec.gov/Archives/edgar/data/865752/000110465923074933/tm2319592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2024-05-07T14:30:59Z</dcterms:created>
  <dcterms:modified xsi:type="dcterms:W3CDTF">2024-05-07T14:30:59Z</dcterms:modified>
</cp:coreProperties>
</file>