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Form 10-K</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40" w:right="3140" w:hanging="794"/>
        <w:spacing w:after="0" w:line="261" w:lineRule="auto"/>
        <w:tabs>
          <w:tab w:leader="none" w:pos="3244" w:val="left"/>
        </w:tabs>
        <w:numPr>
          <w:ilvl w:val="0"/>
          <w:numId w:val="1"/>
        </w:numPr>
        <w:rPr>
          <w:rFonts w:ascii="Arial" w:cs="Arial" w:eastAsia="Arial" w:hAnsi="Arial"/>
          <w:sz w:val="18"/>
          <w:szCs w:val="18"/>
          <w:color w:val="auto"/>
        </w:rPr>
      </w:pPr>
      <w:r>
        <w:rPr>
          <w:rFonts w:ascii="Arial" w:cs="Arial" w:eastAsia="Arial" w:hAnsi="Arial"/>
          <w:sz w:val="18"/>
          <w:szCs w:val="18"/>
          <w:color w:val="auto"/>
        </w:rPr>
        <w:t>X] ANNUAL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2015</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OR</w:t>
      </w:r>
    </w:p>
    <w:p>
      <w:pPr>
        <w:spacing w:after="0" w:line="137" w:lineRule="exact"/>
        <w:rPr>
          <w:sz w:val="24"/>
          <w:szCs w:val="24"/>
          <w:color w:val="auto"/>
        </w:rPr>
      </w:pPr>
    </w:p>
    <w:p>
      <w:pPr>
        <w:ind w:left="3940" w:right="3020" w:hanging="911"/>
        <w:spacing w:after="0" w:line="277" w:lineRule="auto"/>
        <w:tabs>
          <w:tab w:leader="none" w:pos="317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85"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For the transition period from _____ to 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001-18761</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MONSTER BEVERAGE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113" w:lineRule="exact"/>
        <w:rPr>
          <w:sz w:val="24"/>
          <w:szCs w:val="24"/>
          <w:color w:val="auto"/>
        </w:rPr>
      </w:pPr>
    </w:p>
    <w:p>
      <w:pPr>
        <w:jc w:val="center"/>
        <w:ind w:left="42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47-1809393</w:t>
      </w:r>
    </w:p>
    <w:p>
      <w:pPr>
        <w:spacing w:after="0" w:line="43" w:lineRule="exact"/>
        <w:rPr>
          <w:sz w:val="24"/>
          <w:szCs w:val="24"/>
          <w:color w:val="auto"/>
        </w:rPr>
      </w:pPr>
    </w:p>
    <w:p>
      <w:pPr>
        <w:sectPr>
          <w:pgSz w:w="11900" w:h="16838" w:orient="portrait"/>
          <w:cols w:equalWidth="0" w:num="2">
            <w:col w:w="5820" w:space="720"/>
            <w:col w:w="4880"/>
          </w:cols>
          <w:pgMar w:left="240" w:top="233" w:right="239" w:bottom="0" w:gutter="0" w:footer="0" w:header="0"/>
          <w:type w:val="continuous"/>
        </w:sectPr>
      </w:pPr>
    </w:p>
    <w:p>
      <w:pPr>
        <w:spacing w:after="0" w:line="12" w:lineRule="exact"/>
        <w:rPr>
          <w:sz w:val="24"/>
          <w:szCs w:val="24"/>
          <w:color w:val="auto"/>
        </w:rPr>
      </w:pPr>
    </w:p>
    <w:p>
      <w:pPr>
        <w:ind w:left="2740"/>
        <w:spacing w:after="0"/>
        <w:rPr>
          <w:sz w:val="20"/>
          <w:szCs w:val="20"/>
          <w:color w:val="auto"/>
        </w:rPr>
      </w:pPr>
      <w:r>
        <w:rPr>
          <w:rFonts w:ascii="Arial" w:cs="Arial" w:eastAsia="Arial" w:hAnsi="Arial"/>
          <w:sz w:val="13"/>
          <w:szCs w:val="13"/>
          <w:color w:val="auto"/>
        </w:rPr>
        <w:t>(State or other jurisdiction of</w:t>
      </w:r>
    </w:p>
    <w:p>
      <w:pPr>
        <w:ind w:left="27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5820" w:space="720"/>
            <w:col w:w="4880"/>
          </w:cols>
          <w:pgMar w:left="240" w:top="233" w:right="239" w:bottom="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5"/>
          <w:szCs w:val="15"/>
          <w:color w:val="auto"/>
        </w:rPr>
        <w:t>(Address of principal executive offices)  (Zip Code)</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(951) 739 - 6200</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4920" w:type="dxa"/>
            <w:vAlign w:val="bottom"/>
            <w:gridSpan w:val="2"/>
          </w:tcPr>
          <w:p>
            <w:pPr>
              <w:jc w:val="center"/>
              <w:ind w:right="3540"/>
              <w:spacing w:after="0"/>
              <w:rPr>
                <w:sz w:val="20"/>
                <w:szCs w:val="20"/>
                <w:color w:val="auto"/>
              </w:rPr>
            </w:pPr>
            <w:r>
              <w:rPr>
                <w:rFonts w:ascii="Arial" w:cs="Arial" w:eastAsia="Arial" w:hAnsi="Arial"/>
                <w:sz w:val="18"/>
                <w:szCs w:val="18"/>
                <w:color w:val="auto"/>
                <w:w w:val="91"/>
              </w:rPr>
              <w:t>Title of Each Class</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5740" w:type="dxa"/>
            <w:vAlign w:val="bottom"/>
            <w:gridSpan w:val="3"/>
          </w:tcPr>
          <w:p>
            <w:pPr>
              <w:jc w:val="center"/>
              <w:ind w:right="2720"/>
              <w:spacing w:after="0"/>
              <w:rPr>
                <w:sz w:val="20"/>
                <w:szCs w:val="20"/>
                <w:color w:val="auto"/>
              </w:rPr>
            </w:pPr>
            <w:r>
              <w:rPr>
                <w:rFonts w:ascii="Arial" w:cs="Arial" w:eastAsia="Arial" w:hAnsi="Arial"/>
                <w:sz w:val="18"/>
                <w:szCs w:val="18"/>
                <w:color w:val="auto"/>
                <w:w w:val="89"/>
              </w:rPr>
              <w:t>Common Stock, $.005 par value per share</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13"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p>
      <w:pPr>
        <w:spacing w:after="0" w:line="221"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p>
      <w:pPr>
        <w:spacing w:after="0" w:line="251" w:lineRule="exact"/>
        <w:rPr>
          <w:sz w:val="24"/>
          <w:szCs w:val="24"/>
          <w:color w:val="auto"/>
        </w:rPr>
      </w:pPr>
    </w:p>
    <w:p>
      <w:pPr>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360"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2" w:lineRule="exact"/>
        <w:rPr>
          <w:sz w:val="24"/>
          <w:szCs w:val="24"/>
          <w:color w:val="auto"/>
        </w:rPr>
      </w:pPr>
    </w:p>
    <w:p>
      <w:pPr>
        <w:ind w:firstLine="648"/>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81" w:lineRule="exact"/>
        <w:rPr>
          <w:sz w:val="24"/>
          <w:szCs w:val="24"/>
          <w:color w:val="auto"/>
        </w:rPr>
      </w:pPr>
    </w:p>
    <w:p>
      <w:pPr>
        <w:ind w:right="120" w:firstLine="648"/>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right="3680" w:firstLine="324"/>
        <w:spacing w:after="0" w:line="221"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335" w:lineRule="exact"/>
        <w:rPr>
          <w:sz w:val="24"/>
          <w:szCs w:val="24"/>
          <w:color w:val="auto"/>
        </w:rPr>
      </w:pPr>
    </w:p>
    <w:p>
      <w:pPr>
        <w:ind w:left="660"/>
        <w:spacing w:after="0" w:line="184" w:lineRule="exact"/>
        <w:tabs>
          <w:tab w:leader="none" w:pos="824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1"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$24,970,779,420 computed by reference to the closing sale price for such stock on the NASDAQ Global Select Market on June 30, 2015, the last business day of the registrant’s most recently completed second fiscal quarter.</w:t>
      </w:r>
    </w:p>
    <w:p>
      <w:pPr>
        <w:spacing w:after="0" w:line="171"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number of shares of the registrant’s common stock, $0.005 par value per share (being the only class of common stock of the registrant), outstanding on February 4, 2016 was 202,919,837 shares.</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113" w:lineRule="exact"/>
        <w:rPr>
          <w:sz w:val="24"/>
          <w:szCs w:val="24"/>
          <w:color w:val="auto"/>
        </w:rPr>
      </w:pPr>
    </w:p>
    <w:p>
      <w:pPr>
        <w:jc w:val="both"/>
        <w:ind w:firstLine="441"/>
        <w:spacing w:after="0" w:line="278"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Commission pursuant to Regulation 14A in connection with the registrant’s 2016 Annual Meeting of Stockholders are incorporated by reference into Part III of this Report. Such Definitive Proxy Statement will be filed with the Securities and Exchange Commission no later than 120 days after the conclusion of the registrant’s fiscal year ended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700" w:type="dxa"/>
            <w:vAlign w:val="bottom"/>
            <w:gridSpan w:val="4"/>
          </w:tcPr>
          <w:p>
            <w:pPr>
              <w:jc w:val="center"/>
              <w:ind w:right="3301"/>
              <w:spacing w:after="0"/>
              <w:rPr>
                <w:sz w:val="20"/>
                <w:szCs w:val="20"/>
                <w:color w:val="auto"/>
              </w:rPr>
            </w:pPr>
            <w:r>
              <w:rPr>
                <w:rFonts w:ascii="Arial" w:cs="Arial" w:eastAsia="Arial" w:hAnsi="Arial"/>
                <w:sz w:val="20"/>
                <w:szCs w:val="20"/>
                <w:b w:val="1"/>
                <w:bCs w:val="1"/>
                <w:color w:val="auto"/>
                <w:w w:val="99"/>
              </w:rPr>
              <w:t>MONSTER BEVERAGE CORPORATION</w:t>
            </w:r>
          </w:p>
        </w:tc>
      </w:tr>
      <w:tr>
        <w:trPr>
          <w:trHeight w:val="45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gridSpan w:val="4"/>
          </w:tcPr>
          <w:p>
            <w:pPr>
              <w:jc w:val="center"/>
              <w:ind w:right="3281"/>
              <w:spacing w:after="0"/>
              <w:rPr>
                <w:sz w:val="20"/>
                <w:szCs w:val="20"/>
                <w:color w:val="auto"/>
              </w:rPr>
            </w:pPr>
            <w:r>
              <w:rPr>
                <w:rFonts w:ascii="Arial" w:cs="Arial" w:eastAsia="Arial" w:hAnsi="Arial"/>
                <w:sz w:val="20"/>
                <w:szCs w:val="20"/>
                <w:b w:val="1"/>
                <w:bCs w:val="1"/>
                <w:color w:val="auto"/>
              </w:rPr>
              <w:t>FORM 10-K</w:t>
            </w:r>
          </w:p>
        </w:tc>
      </w:tr>
      <w:tr>
        <w:trPr>
          <w:trHeight w:val="45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gridSpan w:val="4"/>
          </w:tcPr>
          <w:p>
            <w:pPr>
              <w:jc w:val="center"/>
              <w:ind w:right="3281"/>
              <w:spacing w:after="0"/>
              <w:rPr>
                <w:sz w:val="20"/>
                <w:szCs w:val="20"/>
                <w:color w:val="auto"/>
              </w:rPr>
            </w:pPr>
            <w:r>
              <w:rPr>
                <w:rFonts w:ascii="Arial" w:cs="Arial" w:eastAsia="Arial" w:hAnsi="Arial"/>
                <w:sz w:val="20"/>
                <w:szCs w:val="20"/>
                <w:b w:val="1"/>
                <w:bCs w:val="1"/>
                <w:color w:val="auto"/>
                <w:w w:val="98"/>
              </w:rPr>
              <w:t>TABLE OF CONTENTS</w:t>
            </w:r>
          </w:p>
        </w:tc>
      </w:tr>
      <w:tr>
        <w:trPr>
          <w:trHeight w:val="874"/>
        </w:trPr>
        <w:tc>
          <w:tcPr>
            <w:tcW w:w="1160" w:type="dxa"/>
            <w:vAlign w:val="bottom"/>
            <w:tcBorders>
              <w:bottom w:val="single" w:sz="8" w:color="auto"/>
            </w:tcBorders>
            <w:gridSpan w:val="6"/>
          </w:tcPr>
          <w:p>
            <w:pPr>
              <w:spacing w:after="0"/>
              <w:rPr>
                <w:sz w:val="20"/>
                <w:szCs w:val="20"/>
                <w:color w:val="auto"/>
              </w:rPr>
            </w:pPr>
            <w:r>
              <w:rPr>
                <w:rFonts w:ascii="Arial" w:cs="Arial" w:eastAsia="Arial" w:hAnsi="Arial"/>
                <w:sz w:val="20"/>
                <w:szCs w:val="20"/>
                <w:b w:val="1"/>
                <w:bCs w:val="1"/>
                <w:color w:val="auto"/>
                <w:w w:val="93"/>
              </w:rPr>
              <w:t>Item Number</w:t>
            </w:r>
          </w:p>
        </w:tc>
        <w:tc>
          <w:tcPr>
            <w:tcW w:w="2400" w:type="dxa"/>
            <w:vAlign w:val="bottom"/>
            <w:gridSpan w:val="7"/>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Page Number</w:t>
            </w: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00" w:type="dxa"/>
            <w:vAlign w:val="bottom"/>
            <w:gridSpan w:val="4"/>
          </w:tcPr>
          <w:p>
            <w:pPr>
              <w:jc w:val="center"/>
              <w:ind w:right="3281"/>
              <w:spacing w:after="0" w:line="209" w:lineRule="exact"/>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r>
      <w:tr>
        <w:trPr>
          <w:trHeight w:val="426"/>
        </w:trPr>
        <w:tc>
          <w:tcPr>
            <w:tcW w:w="540" w:type="dxa"/>
            <w:vAlign w:val="bottom"/>
            <w:gridSpan w:val="3"/>
          </w:tcPr>
          <w:p>
            <w:pPr>
              <w:spacing w:after="0"/>
              <w:rPr>
                <w:sz w:val="24"/>
                <w:szCs w:val="24"/>
                <w:color w:val="auto"/>
              </w:rPr>
            </w:pPr>
          </w:p>
        </w:tc>
        <w:tc>
          <w:tcPr>
            <w:tcW w:w="160" w:type="dxa"/>
            <w:vAlign w:val="bottom"/>
          </w:tcPr>
          <w:p>
            <w:pPr>
              <w:jc w:val="right"/>
              <w:spacing w:after="0"/>
              <w:rPr>
                <w:rFonts w:ascii="Arial" w:cs="Arial" w:eastAsia="Arial" w:hAnsi="Arial"/>
                <w:sz w:val="20"/>
                <w:szCs w:val="20"/>
                <w:color w:val="0000EE"/>
                <w:w w:val="83"/>
              </w:rPr>
            </w:pPr>
            <w:hyperlink w:anchor="page2">
              <w:r>
                <w:rPr>
                  <w:rFonts w:ascii="Arial" w:cs="Arial" w:eastAsia="Arial" w:hAnsi="Arial"/>
                  <w:sz w:val="20"/>
                  <w:szCs w:val="20"/>
                  <w:color w:val="0000EE"/>
                  <w:w w:val="83"/>
                </w:rPr>
                <w:t>1.</w:t>
              </w:r>
            </w:hyperlink>
          </w:p>
        </w:tc>
        <w:tc>
          <w:tcPr>
            <w:tcW w:w="320" w:type="dxa"/>
            <w:vAlign w:val="bottom"/>
          </w:tcPr>
          <w:p>
            <w:pPr>
              <w:spacing w:after="0"/>
              <w:rPr>
                <w:sz w:val="24"/>
                <w:szCs w:val="24"/>
                <w:color w:val="auto"/>
              </w:rPr>
            </w:pPr>
          </w:p>
        </w:tc>
        <w:tc>
          <w:tcPr>
            <w:tcW w:w="2540" w:type="dxa"/>
            <w:vAlign w:val="bottom"/>
            <w:gridSpan w:val="8"/>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Business</w:t>
              </w:r>
            </w:hyperlink>
          </w:p>
        </w:tc>
        <w:tc>
          <w:tcPr>
            <w:tcW w:w="18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220" w:type="dxa"/>
            <w:vAlign w:val="bottom"/>
            <w:gridSpan w:val="2"/>
          </w:tcPr>
          <w:p>
            <w:pPr>
              <w:jc w:val="center"/>
              <w:ind w:left="3970"/>
              <w:spacing w:after="0"/>
              <w:rPr>
                <w:sz w:val="20"/>
                <w:szCs w:val="20"/>
                <w:color w:val="auto"/>
              </w:rPr>
            </w:pPr>
            <w:r>
              <w:rPr>
                <w:rFonts w:ascii="Arial" w:cs="Arial" w:eastAsia="Arial" w:hAnsi="Arial"/>
                <w:sz w:val="18"/>
                <w:szCs w:val="18"/>
                <w:color w:val="auto"/>
                <w:w w:val="79"/>
              </w:rPr>
              <w:t>3</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00" w:type="dxa"/>
            <w:vAlign w:val="bottom"/>
            <w:gridSpan w:val="4"/>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300" w:type="dxa"/>
            <w:vAlign w:val="bottom"/>
            <w:tcBorders>
              <w:bottom w:val="single" w:sz="8" w:color="0000EE"/>
            </w:tcBorders>
            <w:gridSpan w:val="3"/>
          </w:tcPr>
          <w:p>
            <w:pPr>
              <w:jc w:val="right"/>
              <w:spacing w:after="0" w:line="209" w:lineRule="exact"/>
              <w:rPr>
                <w:rFonts w:ascii="Arial" w:cs="Arial" w:eastAsia="Arial" w:hAnsi="Arial"/>
                <w:sz w:val="20"/>
                <w:szCs w:val="20"/>
                <w:color w:val="0000EE"/>
                <w:w w:val="93"/>
              </w:rPr>
            </w:pPr>
            <w:hyperlink w:anchor="page14">
              <w:r>
                <w:rPr>
                  <w:rFonts w:ascii="Arial" w:cs="Arial" w:eastAsia="Arial" w:hAnsi="Arial"/>
                  <w:sz w:val="20"/>
                  <w:szCs w:val="20"/>
                  <w:color w:val="0000EE"/>
                  <w:w w:val="93"/>
                </w:rPr>
                <w:t>1A.</w:t>
              </w:r>
            </w:hyperlink>
          </w:p>
        </w:tc>
        <w:tc>
          <w:tcPr>
            <w:tcW w:w="320" w:type="dxa"/>
            <w:vAlign w:val="bottom"/>
          </w:tcPr>
          <w:p>
            <w:pPr>
              <w:spacing w:after="0"/>
              <w:rPr>
                <w:sz w:val="18"/>
                <w:szCs w:val="18"/>
                <w:color w:val="auto"/>
              </w:rPr>
            </w:pPr>
          </w:p>
        </w:tc>
        <w:tc>
          <w:tcPr>
            <w:tcW w:w="1000" w:type="dxa"/>
            <w:vAlign w:val="bottom"/>
            <w:tcBorders>
              <w:bottom w:val="single" w:sz="8" w:color="0000EE"/>
            </w:tcBorders>
            <w:gridSpan w:val="4"/>
          </w:tcPr>
          <w:p>
            <w:pPr>
              <w:spacing w:after="0" w:line="209" w:lineRule="exact"/>
              <w:rPr>
                <w:rFonts w:ascii="Arial" w:cs="Arial" w:eastAsia="Arial" w:hAnsi="Arial"/>
                <w:sz w:val="20"/>
                <w:szCs w:val="20"/>
                <w:color w:val="0000EE"/>
                <w:w w:val="88"/>
              </w:rPr>
            </w:pPr>
            <w:hyperlink w:anchor="page14">
              <w:r>
                <w:rPr>
                  <w:rFonts w:ascii="Arial" w:cs="Arial" w:eastAsia="Arial" w:hAnsi="Arial"/>
                  <w:sz w:val="20"/>
                  <w:szCs w:val="20"/>
                  <w:color w:val="0000EE"/>
                  <w:w w:val="88"/>
                </w:rPr>
                <w:t>Risk Factors</w:t>
              </w:r>
            </w:hyperlink>
          </w:p>
        </w:tc>
        <w:tc>
          <w:tcPr>
            <w:tcW w:w="1540" w:type="dxa"/>
            <w:vAlign w:val="bottom"/>
            <w:gridSpan w:val="4"/>
          </w:tcPr>
          <w:p>
            <w:pPr>
              <w:spacing w:after="0"/>
              <w:rPr>
                <w:sz w:val="18"/>
                <w:szCs w:val="18"/>
                <w:color w:val="auto"/>
              </w:rPr>
            </w:pPr>
          </w:p>
        </w:tc>
        <w:tc>
          <w:tcPr>
            <w:tcW w:w="7700" w:type="dxa"/>
            <w:vAlign w:val="bottom"/>
            <w:gridSpan w:val="4"/>
          </w:tcPr>
          <w:p>
            <w:pPr>
              <w:jc w:val="center"/>
              <w:ind w:left="6441"/>
              <w:spacing w:after="0" w:line="209" w:lineRule="exact"/>
              <w:rPr>
                <w:sz w:val="20"/>
                <w:szCs w:val="20"/>
                <w:color w:val="auto"/>
              </w:rPr>
            </w:pPr>
            <w:r>
              <w:rPr>
                <w:rFonts w:ascii="Arial" w:cs="Arial" w:eastAsia="Arial" w:hAnsi="Arial"/>
                <w:sz w:val="20"/>
                <w:szCs w:val="20"/>
                <w:color w:val="auto"/>
                <w:w w:val="89"/>
              </w:rPr>
              <w:t>20</w:t>
            </w: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0000EE"/>
            </w:tcBorders>
            <w:gridSpan w:val="2"/>
          </w:tcPr>
          <w:p>
            <w:pPr>
              <w:jc w:val="right"/>
              <w:spacing w:after="0" w:line="209" w:lineRule="exact"/>
              <w:rPr>
                <w:rFonts w:ascii="Arial" w:cs="Arial" w:eastAsia="Arial" w:hAnsi="Arial"/>
                <w:sz w:val="20"/>
                <w:szCs w:val="20"/>
                <w:color w:val="0000EE"/>
                <w:w w:val="86"/>
              </w:rPr>
            </w:pPr>
            <w:hyperlink w:anchor="page21">
              <w:r>
                <w:rPr>
                  <w:rFonts w:ascii="Arial" w:cs="Arial" w:eastAsia="Arial" w:hAnsi="Arial"/>
                  <w:sz w:val="20"/>
                  <w:szCs w:val="20"/>
                  <w:color w:val="0000EE"/>
                  <w:w w:val="86"/>
                </w:rPr>
                <w:t>1B.</w:t>
              </w:r>
            </w:hyperlink>
          </w:p>
        </w:tc>
        <w:tc>
          <w:tcPr>
            <w:tcW w:w="320" w:type="dxa"/>
            <w:vAlign w:val="bottom"/>
          </w:tcPr>
          <w:p>
            <w:pPr>
              <w:spacing w:after="0"/>
              <w:rPr>
                <w:sz w:val="18"/>
                <w:szCs w:val="18"/>
                <w:color w:val="auto"/>
              </w:rPr>
            </w:pPr>
          </w:p>
        </w:tc>
        <w:tc>
          <w:tcPr>
            <w:tcW w:w="2260" w:type="dxa"/>
            <w:vAlign w:val="bottom"/>
            <w:tcBorders>
              <w:bottom w:val="single" w:sz="8" w:color="0000EE"/>
            </w:tcBorders>
            <w:gridSpan w:val="7"/>
          </w:tcPr>
          <w:p>
            <w:pPr>
              <w:spacing w:after="0" w:line="209" w:lineRule="exact"/>
              <w:rPr>
                <w:rFonts w:ascii="Arial" w:cs="Arial" w:eastAsia="Arial" w:hAnsi="Arial"/>
                <w:sz w:val="20"/>
                <w:szCs w:val="20"/>
                <w:color w:val="0000EE"/>
                <w:w w:val="89"/>
              </w:rPr>
            </w:pPr>
            <w:hyperlink w:anchor="page21">
              <w:r>
                <w:rPr>
                  <w:rFonts w:ascii="Arial" w:cs="Arial" w:eastAsia="Arial" w:hAnsi="Arial"/>
                  <w:sz w:val="20"/>
                  <w:szCs w:val="20"/>
                  <w:color w:val="0000EE"/>
                  <w:w w:val="89"/>
                </w:rPr>
                <w:t>Unresolved Staff Comments</w:t>
              </w:r>
            </w:hyperlink>
          </w:p>
        </w:tc>
        <w:tc>
          <w:tcPr>
            <w:tcW w:w="280" w:type="dxa"/>
            <w:vAlign w:val="bottom"/>
          </w:tcPr>
          <w:p>
            <w:pPr>
              <w:spacing w:after="0"/>
              <w:rPr>
                <w:sz w:val="18"/>
                <w:szCs w:val="18"/>
                <w:color w:val="auto"/>
              </w:rPr>
            </w:pPr>
          </w:p>
        </w:tc>
        <w:tc>
          <w:tcPr>
            <w:tcW w:w="7700" w:type="dxa"/>
            <w:vAlign w:val="bottom"/>
            <w:gridSpan w:val="4"/>
          </w:tcPr>
          <w:p>
            <w:pPr>
              <w:jc w:val="center"/>
              <w:ind w:left="6441"/>
              <w:spacing w:after="0" w:line="209" w:lineRule="exact"/>
              <w:rPr>
                <w:sz w:val="20"/>
                <w:szCs w:val="20"/>
                <w:color w:val="auto"/>
              </w:rPr>
            </w:pPr>
            <w:r>
              <w:rPr>
                <w:rFonts w:ascii="Arial" w:cs="Arial" w:eastAsia="Arial" w:hAnsi="Arial"/>
                <w:sz w:val="20"/>
                <w:szCs w:val="20"/>
                <w:color w:val="auto"/>
                <w:w w:val="89"/>
              </w:rPr>
              <w:t>31</w:t>
            </w:r>
          </w:p>
        </w:tc>
      </w:tr>
      <w:tr>
        <w:trPr>
          <w:trHeight w:val="210"/>
        </w:trPr>
        <w:tc>
          <w:tcPr>
            <w:tcW w:w="540" w:type="dxa"/>
            <w:vAlign w:val="bottom"/>
            <w:gridSpan w:val="3"/>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1">
              <w:r>
                <w:rPr>
                  <w:rFonts w:ascii="Arial" w:cs="Arial" w:eastAsia="Arial" w:hAnsi="Arial"/>
                  <w:sz w:val="20"/>
                  <w:szCs w:val="20"/>
                  <w:color w:val="0000EE"/>
                  <w:w w:val="83"/>
                </w:rPr>
                <w:t>2.</w:t>
              </w:r>
            </w:hyperlink>
          </w:p>
        </w:tc>
        <w:tc>
          <w:tcPr>
            <w:tcW w:w="320" w:type="dxa"/>
            <w:vAlign w:val="bottom"/>
          </w:tcPr>
          <w:p>
            <w:pPr>
              <w:spacing w:after="0"/>
              <w:rPr>
                <w:sz w:val="18"/>
                <w:szCs w:val="18"/>
                <w:color w:val="auto"/>
              </w:rPr>
            </w:pPr>
          </w:p>
        </w:tc>
        <w:tc>
          <w:tcPr>
            <w:tcW w:w="2540" w:type="dxa"/>
            <w:vAlign w:val="bottom"/>
            <w:gridSpan w:val="8"/>
          </w:tcPr>
          <w:p>
            <w:pPr>
              <w:spacing w:after="0" w:line="209" w:lineRule="exact"/>
              <w:rPr>
                <w:rFonts w:ascii="Arial" w:cs="Arial" w:eastAsia="Arial" w:hAnsi="Arial"/>
                <w:sz w:val="20"/>
                <w:szCs w:val="20"/>
                <w:color w:val="0000EE"/>
              </w:rPr>
            </w:pPr>
            <w:hyperlink w:anchor="page21">
              <w:r>
                <w:rPr>
                  <w:rFonts w:ascii="Arial" w:cs="Arial" w:eastAsia="Arial" w:hAnsi="Arial"/>
                  <w:sz w:val="20"/>
                  <w:szCs w:val="20"/>
                  <w:color w:val="0000EE"/>
                </w:rPr>
                <w:t>Properties</w:t>
              </w:r>
            </w:hyperlink>
          </w:p>
        </w:tc>
        <w:tc>
          <w:tcPr>
            <w:tcW w:w="7700" w:type="dxa"/>
            <w:vAlign w:val="bottom"/>
            <w:gridSpan w:val="4"/>
          </w:tcPr>
          <w:p>
            <w:pPr>
              <w:jc w:val="center"/>
              <w:ind w:left="6441"/>
              <w:spacing w:after="0" w:line="209" w:lineRule="exact"/>
              <w:rPr>
                <w:sz w:val="20"/>
                <w:szCs w:val="20"/>
                <w:color w:val="auto"/>
              </w:rPr>
            </w:pPr>
            <w:r>
              <w:rPr>
                <w:rFonts w:ascii="Arial" w:cs="Arial" w:eastAsia="Arial" w:hAnsi="Arial"/>
                <w:sz w:val="20"/>
                <w:szCs w:val="20"/>
                <w:color w:val="auto"/>
                <w:w w:val="89"/>
              </w:rPr>
              <w:t>31</w:t>
            </w:r>
          </w:p>
        </w:tc>
      </w:tr>
      <w:tr>
        <w:trPr>
          <w:trHeight w:val="20"/>
        </w:trPr>
        <w:tc>
          <w:tcPr>
            <w:tcW w:w="5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700" w:type="dxa"/>
            <w:vAlign w:val="bottom"/>
            <w:gridSpan w:val="4"/>
          </w:tcPr>
          <w:p>
            <w:pPr>
              <w:spacing w:after="0" w:line="20" w:lineRule="exact"/>
              <w:rPr>
                <w:sz w:val="1"/>
                <w:szCs w:val="1"/>
                <w:color w:val="auto"/>
              </w:rPr>
            </w:pPr>
          </w:p>
        </w:tc>
      </w:tr>
      <w:tr>
        <w:trPr>
          <w:trHeight w:val="210"/>
        </w:trPr>
        <w:tc>
          <w:tcPr>
            <w:tcW w:w="540" w:type="dxa"/>
            <w:vAlign w:val="bottom"/>
            <w:gridSpan w:val="3"/>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1">
              <w:r>
                <w:rPr>
                  <w:rFonts w:ascii="Arial" w:cs="Arial" w:eastAsia="Arial" w:hAnsi="Arial"/>
                  <w:sz w:val="20"/>
                  <w:szCs w:val="20"/>
                  <w:color w:val="0000EE"/>
                  <w:w w:val="83"/>
                </w:rPr>
                <w:t>3.</w:t>
              </w:r>
            </w:hyperlink>
          </w:p>
        </w:tc>
        <w:tc>
          <w:tcPr>
            <w:tcW w:w="320" w:type="dxa"/>
            <w:vAlign w:val="bottom"/>
          </w:tcPr>
          <w:p>
            <w:pPr>
              <w:spacing w:after="0"/>
              <w:rPr>
                <w:sz w:val="18"/>
                <w:szCs w:val="18"/>
                <w:color w:val="auto"/>
              </w:rPr>
            </w:pPr>
          </w:p>
        </w:tc>
        <w:tc>
          <w:tcPr>
            <w:tcW w:w="2540" w:type="dxa"/>
            <w:vAlign w:val="bottom"/>
            <w:gridSpan w:val="8"/>
          </w:tcPr>
          <w:p>
            <w:pPr>
              <w:spacing w:after="0" w:line="209" w:lineRule="exact"/>
              <w:rPr>
                <w:rFonts w:ascii="Arial" w:cs="Arial" w:eastAsia="Arial" w:hAnsi="Arial"/>
                <w:sz w:val="20"/>
                <w:szCs w:val="20"/>
                <w:color w:val="0000EE"/>
              </w:rPr>
            </w:pPr>
            <w:hyperlink w:anchor="page21">
              <w:r>
                <w:rPr>
                  <w:rFonts w:ascii="Arial" w:cs="Arial" w:eastAsia="Arial" w:hAnsi="Arial"/>
                  <w:sz w:val="20"/>
                  <w:szCs w:val="20"/>
                  <w:color w:val="0000EE"/>
                </w:rPr>
                <w:t>Legal Proceedings</w:t>
              </w:r>
            </w:hyperlink>
          </w:p>
        </w:tc>
        <w:tc>
          <w:tcPr>
            <w:tcW w:w="7700" w:type="dxa"/>
            <w:vAlign w:val="bottom"/>
            <w:gridSpan w:val="4"/>
          </w:tcPr>
          <w:p>
            <w:pPr>
              <w:jc w:val="center"/>
              <w:ind w:left="6441"/>
              <w:spacing w:after="0" w:line="209" w:lineRule="exact"/>
              <w:rPr>
                <w:sz w:val="20"/>
                <w:szCs w:val="20"/>
                <w:color w:val="auto"/>
              </w:rPr>
            </w:pPr>
            <w:r>
              <w:rPr>
                <w:rFonts w:ascii="Arial" w:cs="Arial" w:eastAsia="Arial" w:hAnsi="Arial"/>
                <w:sz w:val="20"/>
                <w:szCs w:val="20"/>
                <w:color w:val="auto"/>
                <w:w w:val="89"/>
              </w:rPr>
              <w:t>31</w:t>
            </w:r>
          </w:p>
        </w:tc>
      </w:tr>
      <w:tr>
        <w:trPr>
          <w:trHeight w:val="20"/>
        </w:trPr>
        <w:tc>
          <w:tcPr>
            <w:tcW w:w="5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700" w:type="dxa"/>
            <w:vAlign w:val="bottom"/>
            <w:gridSpan w:val="4"/>
          </w:tcPr>
          <w:p>
            <w:pPr>
              <w:spacing w:after="0" w:line="20" w:lineRule="exact"/>
              <w:rPr>
                <w:sz w:val="1"/>
                <w:szCs w:val="1"/>
                <w:color w:val="auto"/>
              </w:rPr>
            </w:pPr>
          </w:p>
        </w:tc>
      </w:tr>
      <w:tr>
        <w:trPr>
          <w:trHeight w:val="210"/>
        </w:trPr>
        <w:tc>
          <w:tcPr>
            <w:tcW w:w="540" w:type="dxa"/>
            <w:vAlign w:val="bottom"/>
            <w:gridSpan w:val="3"/>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3">
              <w:r>
                <w:rPr>
                  <w:rFonts w:ascii="Arial" w:cs="Arial" w:eastAsia="Arial" w:hAnsi="Arial"/>
                  <w:sz w:val="20"/>
                  <w:szCs w:val="20"/>
                  <w:color w:val="0000EE"/>
                  <w:w w:val="83"/>
                </w:rPr>
                <w:t>4.</w:t>
              </w:r>
            </w:hyperlink>
          </w:p>
        </w:tc>
        <w:tc>
          <w:tcPr>
            <w:tcW w:w="320" w:type="dxa"/>
            <w:vAlign w:val="bottom"/>
          </w:tcPr>
          <w:p>
            <w:pPr>
              <w:spacing w:after="0"/>
              <w:rPr>
                <w:sz w:val="18"/>
                <w:szCs w:val="18"/>
                <w:color w:val="auto"/>
              </w:rPr>
            </w:pPr>
          </w:p>
        </w:tc>
        <w:tc>
          <w:tcPr>
            <w:tcW w:w="2540" w:type="dxa"/>
            <w:vAlign w:val="bottom"/>
            <w:gridSpan w:val="8"/>
          </w:tcPr>
          <w:p>
            <w:pPr>
              <w:spacing w:after="0" w:line="209" w:lineRule="exact"/>
              <w:rPr>
                <w:rFonts w:ascii="Arial" w:cs="Arial" w:eastAsia="Arial" w:hAnsi="Arial"/>
                <w:sz w:val="20"/>
                <w:szCs w:val="20"/>
                <w:color w:val="0000EE"/>
              </w:rPr>
            </w:pPr>
            <w:hyperlink w:anchor="page23">
              <w:r>
                <w:rPr>
                  <w:rFonts w:ascii="Arial" w:cs="Arial" w:eastAsia="Arial" w:hAnsi="Arial"/>
                  <w:sz w:val="20"/>
                  <w:szCs w:val="20"/>
                  <w:color w:val="0000EE"/>
                </w:rPr>
                <w:t>Mine Safety Disclosures</w:t>
              </w:r>
            </w:hyperlink>
          </w:p>
        </w:tc>
        <w:tc>
          <w:tcPr>
            <w:tcW w:w="7700" w:type="dxa"/>
            <w:vAlign w:val="bottom"/>
            <w:gridSpan w:val="4"/>
          </w:tcPr>
          <w:p>
            <w:pPr>
              <w:jc w:val="center"/>
              <w:ind w:left="6441"/>
              <w:spacing w:after="0" w:line="209" w:lineRule="exact"/>
              <w:rPr>
                <w:sz w:val="20"/>
                <w:szCs w:val="20"/>
                <w:color w:val="auto"/>
              </w:rPr>
            </w:pPr>
            <w:r>
              <w:rPr>
                <w:rFonts w:ascii="Arial" w:cs="Arial" w:eastAsia="Arial" w:hAnsi="Arial"/>
                <w:sz w:val="20"/>
                <w:szCs w:val="20"/>
                <w:color w:val="auto"/>
                <w:w w:val="89"/>
              </w:rPr>
              <w:t>34</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40"/>
        <w:spacing w:after="0"/>
        <w:rPr>
          <w:rFonts w:ascii="Arial" w:cs="Arial" w:eastAsia="Arial" w:hAnsi="Arial"/>
          <w:sz w:val="20"/>
          <w:szCs w:val="20"/>
          <w:b w:val="1"/>
          <w:bCs w:val="1"/>
          <w:u w:val="single" w:color="auto"/>
          <w:color w:val="0000EE"/>
        </w:rPr>
      </w:pPr>
      <w:hyperlink w:anchor="page23">
        <w:r>
          <w:rPr>
            <w:rFonts w:ascii="Arial" w:cs="Arial" w:eastAsia="Arial" w:hAnsi="Arial"/>
            <w:sz w:val="20"/>
            <w:szCs w:val="20"/>
            <w:b w:val="1"/>
            <w:bCs w:val="1"/>
            <w:u w:val="single" w:color="auto"/>
            <w:color w:val="0000EE"/>
          </w:rPr>
          <w:t>PART II</w:t>
        </w:r>
      </w:hyperlink>
    </w:p>
    <w:p>
      <w:pPr>
        <w:spacing w:after="0" w:line="235" w:lineRule="exact"/>
        <w:rPr>
          <w:sz w:val="20"/>
          <w:szCs w:val="20"/>
          <w:color w:val="auto"/>
        </w:rPr>
      </w:pPr>
    </w:p>
    <w:p>
      <w:pPr>
        <w:ind w:left="1020" w:hanging="472"/>
        <w:spacing w:after="0"/>
        <w:tabs>
          <w:tab w:leader="none" w:pos="1020" w:val="left"/>
        </w:tabs>
        <w:numPr>
          <w:ilvl w:val="0"/>
          <w:numId w:val="3"/>
        </w:numPr>
        <w:rPr>
          <w:rFonts w:ascii="Arial" w:cs="Arial" w:eastAsia="Arial" w:hAnsi="Arial"/>
          <w:sz w:val="20"/>
          <w:szCs w:val="20"/>
          <w:u w:val="single" w:color="auto"/>
          <w:color w:val="0000EE"/>
        </w:rPr>
      </w:pPr>
      <w:hyperlink w:anchor="page23">
        <w:r>
          <w:rPr>
            <w:rFonts w:ascii="Arial" w:cs="Arial" w:eastAsia="Arial" w:hAnsi="Arial"/>
            <w:sz w:val="20"/>
            <w:szCs w:val="20"/>
            <w:u w:val="single" w:color="auto"/>
            <w:color w:val="0000EE"/>
          </w:rPr>
          <w:t>Market for the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gridSpan w:val="20"/>
          </w:tcPr>
          <w:p>
            <w:pPr>
              <w:spacing w:after="0" w:line="206" w:lineRule="exact"/>
              <w:rPr>
                <w:rFonts w:ascii="Arial" w:cs="Arial" w:eastAsia="Arial" w:hAnsi="Arial"/>
                <w:sz w:val="20"/>
                <w:szCs w:val="20"/>
                <w:color w:val="0000EE"/>
              </w:rPr>
            </w:pPr>
            <w:hyperlink w:anchor="page23">
              <w:r>
                <w:rPr>
                  <w:rFonts w:ascii="Arial" w:cs="Arial" w:eastAsia="Arial" w:hAnsi="Arial"/>
                  <w:sz w:val="20"/>
                  <w:szCs w:val="20"/>
                  <w:color w:val="0000EE"/>
                </w:rPr>
                <w:t>Securities</w:t>
              </w:r>
            </w:hyperlink>
          </w:p>
        </w:tc>
        <w:tc>
          <w:tcPr>
            <w:tcW w:w="1640" w:type="dxa"/>
            <w:vAlign w:val="bottom"/>
          </w:tcPr>
          <w:p>
            <w:pPr>
              <w:jc w:val="right"/>
              <w:ind w:right="581"/>
              <w:spacing w:after="0" w:line="206" w:lineRule="exact"/>
              <w:rPr>
                <w:sz w:val="20"/>
                <w:szCs w:val="20"/>
                <w:color w:val="auto"/>
              </w:rPr>
            </w:pPr>
            <w:r>
              <w:rPr>
                <w:rFonts w:ascii="Arial" w:cs="Arial" w:eastAsia="Arial" w:hAnsi="Arial"/>
                <w:sz w:val="20"/>
                <w:szCs w:val="20"/>
                <w:color w:val="auto"/>
              </w:rPr>
              <w:t>34</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540" w:type="dxa"/>
            <w:vAlign w:val="bottom"/>
            <w:gridSpan w:val="5"/>
          </w:tcPr>
          <w:p>
            <w:pPr>
              <w:spacing w:after="0"/>
              <w:rPr>
                <w:sz w:val="18"/>
                <w:szCs w:val="18"/>
                <w:color w:val="auto"/>
              </w:rPr>
            </w:pPr>
          </w:p>
        </w:tc>
        <w:tc>
          <w:tcPr>
            <w:tcW w:w="180" w:type="dxa"/>
            <w:vAlign w:val="bottom"/>
          </w:tcPr>
          <w:p>
            <w:pPr>
              <w:jc w:val="right"/>
              <w:spacing w:after="0" w:line="209" w:lineRule="exact"/>
              <w:rPr>
                <w:rFonts w:ascii="Arial" w:cs="Arial" w:eastAsia="Arial" w:hAnsi="Arial"/>
                <w:sz w:val="20"/>
                <w:szCs w:val="20"/>
                <w:color w:val="0000EE"/>
                <w:w w:val="83"/>
              </w:rPr>
            </w:pPr>
            <w:hyperlink w:anchor="page25">
              <w:r>
                <w:rPr>
                  <w:rFonts w:ascii="Arial" w:cs="Arial" w:eastAsia="Arial" w:hAnsi="Arial"/>
                  <w:sz w:val="20"/>
                  <w:szCs w:val="20"/>
                  <w:color w:val="0000EE"/>
                  <w:w w:val="83"/>
                </w:rPr>
                <w:t>6.</w:t>
              </w:r>
            </w:hyperlink>
          </w:p>
        </w:tc>
        <w:tc>
          <w:tcPr>
            <w:tcW w:w="300" w:type="dxa"/>
            <w:vAlign w:val="bottom"/>
          </w:tcPr>
          <w:p>
            <w:pPr>
              <w:spacing w:after="0"/>
              <w:rPr>
                <w:sz w:val="18"/>
                <w:szCs w:val="18"/>
                <w:color w:val="auto"/>
              </w:rPr>
            </w:pPr>
          </w:p>
        </w:tc>
        <w:tc>
          <w:tcPr>
            <w:tcW w:w="8800" w:type="dxa"/>
            <w:vAlign w:val="bottom"/>
            <w:gridSpan w:val="21"/>
          </w:tcPr>
          <w:p>
            <w:pPr>
              <w:spacing w:after="0" w:line="209" w:lineRule="exact"/>
              <w:rPr>
                <w:rFonts w:ascii="Arial" w:cs="Arial" w:eastAsia="Arial" w:hAnsi="Arial"/>
                <w:sz w:val="20"/>
                <w:szCs w:val="20"/>
                <w:color w:val="0000EE"/>
              </w:rPr>
            </w:pPr>
            <w:hyperlink w:anchor="page25">
              <w:r>
                <w:rPr>
                  <w:rFonts w:ascii="Arial" w:cs="Arial" w:eastAsia="Arial" w:hAnsi="Arial"/>
                  <w:sz w:val="20"/>
                  <w:szCs w:val="20"/>
                  <w:color w:val="0000EE"/>
                </w:rPr>
                <w:t>Selected Financial Data</w:t>
              </w:r>
            </w:hyperlink>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37</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540" w:type="dxa"/>
            <w:vAlign w:val="bottom"/>
            <w:gridSpan w:val="5"/>
          </w:tcPr>
          <w:p>
            <w:pPr>
              <w:spacing w:after="0"/>
              <w:rPr>
                <w:sz w:val="18"/>
                <w:szCs w:val="18"/>
                <w:color w:val="auto"/>
              </w:rPr>
            </w:pPr>
          </w:p>
        </w:tc>
        <w:tc>
          <w:tcPr>
            <w:tcW w:w="180" w:type="dxa"/>
            <w:vAlign w:val="bottom"/>
          </w:tcPr>
          <w:p>
            <w:pPr>
              <w:jc w:val="right"/>
              <w:spacing w:after="0" w:line="209" w:lineRule="exact"/>
              <w:rPr>
                <w:rFonts w:ascii="Arial" w:cs="Arial" w:eastAsia="Arial" w:hAnsi="Arial"/>
                <w:sz w:val="20"/>
                <w:szCs w:val="20"/>
                <w:color w:val="0000EE"/>
                <w:w w:val="83"/>
              </w:rPr>
            </w:pPr>
            <w:hyperlink w:anchor="page26">
              <w:r>
                <w:rPr>
                  <w:rFonts w:ascii="Arial" w:cs="Arial" w:eastAsia="Arial" w:hAnsi="Arial"/>
                  <w:sz w:val="20"/>
                  <w:szCs w:val="20"/>
                  <w:color w:val="0000EE"/>
                  <w:w w:val="83"/>
                </w:rPr>
                <w:t>7.</w:t>
              </w:r>
            </w:hyperlink>
          </w:p>
        </w:tc>
        <w:tc>
          <w:tcPr>
            <w:tcW w:w="300" w:type="dxa"/>
            <w:vAlign w:val="bottom"/>
          </w:tcPr>
          <w:p>
            <w:pPr>
              <w:spacing w:after="0"/>
              <w:rPr>
                <w:sz w:val="18"/>
                <w:szCs w:val="18"/>
                <w:color w:val="auto"/>
              </w:rPr>
            </w:pPr>
          </w:p>
        </w:tc>
        <w:tc>
          <w:tcPr>
            <w:tcW w:w="8800" w:type="dxa"/>
            <w:vAlign w:val="bottom"/>
            <w:gridSpan w:val="21"/>
          </w:tcPr>
          <w:p>
            <w:pPr>
              <w:spacing w:after="0" w:line="209" w:lineRule="exact"/>
              <w:rPr>
                <w:rFonts w:ascii="Arial" w:cs="Arial" w:eastAsia="Arial" w:hAnsi="Arial"/>
                <w:sz w:val="20"/>
                <w:szCs w:val="20"/>
                <w:color w:val="0000EE"/>
              </w:rPr>
            </w:pPr>
            <w:hyperlink w:anchor="page26">
              <w:r>
                <w:rPr>
                  <w:rFonts w:ascii="Arial" w:cs="Arial" w:eastAsia="Arial" w:hAnsi="Arial"/>
                  <w:sz w:val="20"/>
                  <w:szCs w:val="20"/>
                  <w:color w:val="0000EE"/>
                </w:rPr>
                <w:t>Management’s Discussion and Analysis of Financial Condition and Results of Operations</w:t>
              </w:r>
            </w:hyperlink>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38</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320" w:type="dxa"/>
            <w:vAlign w:val="bottom"/>
            <w:tcBorders>
              <w:bottom w:val="single" w:sz="8" w:color="0000EE"/>
            </w:tcBorders>
            <w:gridSpan w:val="5"/>
          </w:tcPr>
          <w:p>
            <w:pPr>
              <w:jc w:val="right"/>
              <w:spacing w:after="0" w:line="209" w:lineRule="exact"/>
              <w:rPr>
                <w:rFonts w:ascii="Arial" w:cs="Arial" w:eastAsia="Arial" w:hAnsi="Arial"/>
                <w:sz w:val="20"/>
                <w:szCs w:val="20"/>
                <w:color w:val="0000EE"/>
                <w:w w:val="93"/>
              </w:rPr>
            </w:pPr>
            <w:hyperlink w:anchor="page42">
              <w:r>
                <w:rPr>
                  <w:rFonts w:ascii="Arial" w:cs="Arial" w:eastAsia="Arial" w:hAnsi="Arial"/>
                  <w:sz w:val="20"/>
                  <w:szCs w:val="20"/>
                  <w:color w:val="0000EE"/>
                  <w:w w:val="93"/>
                </w:rPr>
                <w:t>7A.</w:t>
              </w:r>
            </w:hyperlink>
          </w:p>
        </w:tc>
        <w:tc>
          <w:tcPr>
            <w:tcW w:w="300" w:type="dxa"/>
            <w:vAlign w:val="bottom"/>
          </w:tcPr>
          <w:p>
            <w:pPr>
              <w:spacing w:after="0"/>
              <w:rPr>
                <w:sz w:val="18"/>
                <w:szCs w:val="18"/>
                <w:color w:val="auto"/>
              </w:rPr>
            </w:pPr>
          </w:p>
        </w:tc>
        <w:tc>
          <w:tcPr>
            <w:tcW w:w="4740" w:type="dxa"/>
            <w:vAlign w:val="bottom"/>
            <w:tcBorders>
              <w:bottom w:val="single" w:sz="8" w:color="0000EE"/>
            </w:tcBorders>
            <w:gridSpan w:val="14"/>
          </w:tcPr>
          <w:p>
            <w:pPr>
              <w:spacing w:after="0" w:line="209" w:lineRule="exact"/>
              <w:rPr>
                <w:rFonts w:ascii="Arial" w:cs="Arial" w:eastAsia="Arial" w:hAnsi="Arial"/>
                <w:sz w:val="20"/>
                <w:szCs w:val="20"/>
                <w:color w:val="0000EE"/>
                <w:w w:val="90"/>
              </w:rPr>
            </w:pPr>
            <w:hyperlink w:anchor="page42">
              <w:r>
                <w:rPr>
                  <w:rFonts w:ascii="Arial" w:cs="Arial" w:eastAsia="Arial" w:hAnsi="Arial"/>
                  <w:sz w:val="20"/>
                  <w:szCs w:val="20"/>
                  <w:color w:val="0000EE"/>
                  <w:w w:val="90"/>
                </w:rPr>
                <w:t>Quantitative and Qualitative Disclosures about Market Risk</w:t>
              </w:r>
            </w:hyperlink>
          </w:p>
        </w:tc>
        <w:tc>
          <w:tcPr>
            <w:tcW w:w="4060" w:type="dxa"/>
            <w:vAlign w:val="bottom"/>
            <w:gridSpan w:val="7"/>
          </w:tcPr>
          <w:p>
            <w:pPr>
              <w:spacing w:after="0"/>
              <w:rPr>
                <w:sz w:val="18"/>
                <w:szCs w:val="18"/>
                <w:color w:val="auto"/>
              </w:rPr>
            </w:pPr>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63</w:t>
            </w:r>
          </w:p>
        </w:tc>
      </w:tr>
      <w:tr>
        <w:trPr>
          <w:trHeight w:val="210"/>
        </w:trPr>
        <w:tc>
          <w:tcPr>
            <w:tcW w:w="540" w:type="dxa"/>
            <w:vAlign w:val="bottom"/>
            <w:gridSpan w:val="5"/>
          </w:tcPr>
          <w:p>
            <w:pPr>
              <w:spacing w:after="0"/>
              <w:rPr>
                <w:sz w:val="18"/>
                <w:szCs w:val="18"/>
                <w:color w:val="auto"/>
              </w:rPr>
            </w:pPr>
          </w:p>
        </w:tc>
        <w:tc>
          <w:tcPr>
            <w:tcW w:w="180" w:type="dxa"/>
            <w:vAlign w:val="bottom"/>
          </w:tcPr>
          <w:p>
            <w:pPr>
              <w:jc w:val="right"/>
              <w:spacing w:after="0" w:line="209" w:lineRule="exact"/>
              <w:rPr>
                <w:rFonts w:ascii="Arial" w:cs="Arial" w:eastAsia="Arial" w:hAnsi="Arial"/>
                <w:sz w:val="20"/>
                <w:szCs w:val="20"/>
                <w:color w:val="0000EE"/>
                <w:w w:val="83"/>
              </w:rPr>
            </w:pPr>
            <w:hyperlink w:anchor="page43">
              <w:r>
                <w:rPr>
                  <w:rFonts w:ascii="Arial" w:cs="Arial" w:eastAsia="Arial" w:hAnsi="Arial"/>
                  <w:sz w:val="20"/>
                  <w:szCs w:val="20"/>
                  <w:color w:val="0000EE"/>
                  <w:w w:val="83"/>
                </w:rPr>
                <w:t>8.</w:t>
              </w:r>
            </w:hyperlink>
          </w:p>
        </w:tc>
        <w:tc>
          <w:tcPr>
            <w:tcW w:w="300" w:type="dxa"/>
            <w:vAlign w:val="bottom"/>
          </w:tcPr>
          <w:p>
            <w:pPr>
              <w:spacing w:after="0"/>
              <w:rPr>
                <w:sz w:val="18"/>
                <w:szCs w:val="18"/>
                <w:color w:val="auto"/>
              </w:rPr>
            </w:pPr>
          </w:p>
        </w:tc>
        <w:tc>
          <w:tcPr>
            <w:tcW w:w="8800" w:type="dxa"/>
            <w:vAlign w:val="bottom"/>
            <w:gridSpan w:val="21"/>
          </w:tcPr>
          <w:p>
            <w:pPr>
              <w:spacing w:after="0" w:line="209" w:lineRule="exact"/>
              <w:rPr>
                <w:rFonts w:ascii="Arial" w:cs="Arial" w:eastAsia="Arial" w:hAnsi="Arial"/>
                <w:sz w:val="20"/>
                <w:szCs w:val="20"/>
                <w:color w:val="0000EE"/>
              </w:rPr>
            </w:pPr>
            <w:hyperlink w:anchor="page43">
              <w:r>
                <w:rPr>
                  <w:rFonts w:ascii="Arial" w:cs="Arial" w:eastAsia="Arial" w:hAnsi="Arial"/>
                  <w:sz w:val="20"/>
                  <w:szCs w:val="20"/>
                  <w:color w:val="0000EE"/>
                </w:rPr>
                <w:t>Financial Statements and Supplementary Data</w:t>
              </w:r>
            </w:hyperlink>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64</w:t>
            </w:r>
          </w:p>
        </w:tc>
      </w:tr>
      <w:tr>
        <w:trPr>
          <w:trHeight w:val="20"/>
        </w:trPr>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540" w:type="dxa"/>
            <w:vAlign w:val="bottom"/>
            <w:gridSpan w:val="5"/>
          </w:tcPr>
          <w:p>
            <w:pPr>
              <w:spacing w:after="0"/>
              <w:rPr>
                <w:sz w:val="18"/>
                <w:szCs w:val="18"/>
                <w:color w:val="auto"/>
              </w:rPr>
            </w:pPr>
          </w:p>
        </w:tc>
        <w:tc>
          <w:tcPr>
            <w:tcW w:w="180" w:type="dxa"/>
            <w:vAlign w:val="bottom"/>
          </w:tcPr>
          <w:p>
            <w:pPr>
              <w:jc w:val="right"/>
              <w:spacing w:after="0" w:line="209" w:lineRule="exact"/>
              <w:rPr>
                <w:rFonts w:ascii="Arial" w:cs="Arial" w:eastAsia="Arial" w:hAnsi="Arial"/>
                <w:sz w:val="20"/>
                <w:szCs w:val="20"/>
                <w:color w:val="0000EE"/>
                <w:w w:val="83"/>
              </w:rPr>
            </w:pPr>
            <w:hyperlink w:anchor="page43">
              <w:r>
                <w:rPr>
                  <w:rFonts w:ascii="Arial" w:cs="Arial" w:eastAsia="Arial" w:hAnsi="Arial"/>
                  <w:sz w:val="20"/>
                  <w:szCs w:val="20"/>
                  <w:color w:val="0000EE"/>
                  <w:w w:val="83"/>
                </w:rPr>
                <w:t>9.</w:t>
              </w:r>
            </w:hyperlink>
          </w:p>
        </w:tc>
        <w:tc>
          <w:tcPr>
            <w:tcW w:w="300" w:type="dxa"/>
            <w:vAlign w:val="bottom"/>
          </w:tcPr>
          <w:p>
            <w:pPr>
              <w:spacing w:after="0"/>
              <w:rPr>
                <w:sz w:val="18"/>
                <w:szCs w:val="18"/>
                <w:color w:val="auto"/>
              </w:rPr>
            </w:pPr>
          </w:p>
        </w:tc>
        <w:tc>
          <w:tcPr>
            <w:tcW w:w="8800" w:type="dxa"/>
            <w:vAlign w:val="bottom"/>
            <w:gridSpan w:val="21"/>
          </w:tcPr>
          <w:p>
            <w:pPr>
              <w:spacing w:after="0" w:line="209" w:lineRule="exact"/>
              <w:rPr>
                <w:rFonts w:ascii="Arial" w:cs="Arial" w:eastAsia="Arial" w:hAnsi="Arial"/>
                <w:sz w:val="20"/>
                <w:szCs w:val="20"/>
                <w:color w:val="0000EE"/>
              </w:rPr>
            </w:pPr>
            <w:hyperlink w:anchor="page43">
              <w:r>
                <w:rPr>
                  <w:rFonts w:ascii="Arial" w:cs="Arial" w:eastAsia="Arial" w:hAnsi="Arial"/>
                  <w:sz w:val="20"/>
                  <w:szCs w:val="20"/>
                  <w:color w:val="0000EE"/>
                </w:rPr>
                <w:t>Changes in and Disagreements with Accountants on Accounting and Financial Disclosure</w:t>
              </w:r>
            </w:hyperlink>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64</w:t>
            </w:r>
          </w:p>
        </w:tc>
      </w:tr>
      <w:tr>
        <w:trPr>
          <w:trHeight w:val="210"/>
        </w:trPr>
        <w:tc>
          <w:tcPr>
            <w:tcW w:w="400" w:type="dxa"/>
            <w:vAlign w:val="bottom"/>
          </w:tcPr>
          <w:p>
            <w:pPr>
              <w:spacing w:after="0"/>
              <w:rPr>
                <w:sz w:val="18"/>
                <w:szCs w:val="18"/>
                <w:color w:val="auto"/>
              </w:rPr>
            </w:pPr>
          </w:p>
        </w:tc>
        <w:tc>
          <w:tcPr>
            <w:tcW w:w="320" w:type="dxa"/>
            <w:vAlign w:val="bottom"/>
            <w:gridSpan w:val="5"/>
          </w:tcPr>
          <w:p>
            <w:pPr>
              <w:jc w:val="right"/>
              <w:spacing w:after="0" w:line="209" w:lineRule="exact"/>
              <w:rPr>
                <w:rFonts w:ascii="Arial" w:cs="Arial" w:eastAsia="Arial" w:hAnsi="Arial"/>
                <w:sz w:val="20"/>
                <w:szCs w:val="20"/>
                <w:color w:val="0000EE"/>
                <w:w w:val="93"/>
              </w:rPr>
            </w:pPr>
            <w:hyperlink w:anchor="page43">
              <w:r>
                <w:rPr>
                  <w:rFonts w:ascii="Arial" w:cs="Arial" w:eastAsia="Arial" w:hAnsi="Arial"/>
                  <w:sz w:val="20"/>
                  <w:szCs w:val="20"/>
                  <w:color w:val="0000EE"/>
                  <w:w w:val="93"/>
                </w:rPr>
                <w:t>9A.</w:t>
              </w:r>
            </w:hyperlink>
          </w:p>
        </w:tc>
        <w:tc>
          <w:tcPr>
            <w:tcW w:w="300" w:type="dxa"/>
            <w:vAlign w:val="bottom"/>
          </w:tcPr>
          <w:p>
            <w:pPr>
              <w:spacing w:after="0"/>
              <w:rPr>
                <w:sz w:val="18"/>
                <w:szCs w:val="18"/>
                <w:color w:val="auto"/>
              </w:rPr>
            </w:pPr>
          </w:p>
        </w:tc>
        <w:tc>
          <w:tcPr>
            <w:tcW w:w="7120" w:type="dxa"/>
            <w:vAlign w:val="bottom"/>
            <w:tcBorders>
              <w:top w:val="single" w:sz="8" w:color="0000EE"/>
            </w:tcBorders>
            <w:gridSpan w:val="19"/>
          </w:tcPr>
          <w:p>
            <w:pPr>
              <w:spacing w:after="0" w:line="209" w:lineRule="exact"/>
              <w:rPr>
                <w:rFonts w:ascii="Arial" w:cs="Arial" w:eastAsia="Arial" w:hAnsi="Arial"/>
                <w:sz w:val="20"/>
                <w:szCs w:val="20"/>
                <w:color w:val="0000EE"/>
              </w:rPr>
            </w:pPr>
            <w:hyperlink w:anchor="page43">
              <w:r>
                <w:rPr>
                  <w:rFonts w:ascii="Arial" w:cs="Arial" w:eastAsia="Arial" w:hAnsi="Arial"/>
                  <w:sz w:val="20"/>
                  <w:szCs w:val="20"/>
                  <w:color w:val="0000EE"/>
                </w:rPr>
                <w:t>Controls and Procedures</w:t>
              </w:r>
            </w:hyperlink>
          </w:p>
        </w:tc>
        <w:tc>
          <w:tcPr>
            <w:tcW w:w="1680" w:type="dxa"/>
            <w:vAlign w:val="bottom"/>
            <w:gridSpan w:val="2"/>
          </w:tcPr>
          <w:p>
            <w:pPr>
              <w:spacing w:after="0"/>
              <w:rPr>
                <w:sz w:val="18"/>
                <w:szCs w:val="18"/>
                <w:color w:val="auto"/>
              </w:rPr>
            </w:pPr>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64</w:t>
            </w:r>
          </w:p>
        </w:tc>
      </w:tr>
      <w:tr>
        <w:trPr>
          <w:trHeight w:val="210"/>
        </w:trPr>
        <w:tc>
          <w:tcPr>
            <w:tcW w:w="40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gridSpan w:val="4"/>
          </w:tcPr>
          <w:p>
            <w:pPr>
              <w:jc w:val="right"/>
              <w:spacing w:after="0" w:line="209" w:lineRule="exact"/>
              <w:rPr>
                <w:rFonts w:ascii="Arial" w:cs="Arial" w:eastAsia="Arial" w:hAnsi="Arial"/>
                <w:sz w:val="20"/>
                <w:szCs w:val="20"/>
                <w:color w:val="0000EE"/>
                <w:w w:val="86"/>
              </w:rPr>
            </w:pPr>
            <w:hyperlink w:anchor="page44">
              <w:r>
                <w:rPr>
                  <w:rFonts w:ascii="Arial" w:cs="Arial" w:eastAsia="Arial" w:hAnsi="Arial"/>
                  <w:sz w:val="20"/>
                  <w:szCs w:val="20"/>
                  <w:color w:val="0000EE"/>
                  <w:w w:val="86"/>
                </w:rPr>
                <w:t>9B.</w:t>
              </w:r>
            </w:hyperlink>
          </w:p>
        </w:tc>
        <w:tc>
          <w:tcPr>
            <w:tcW w:w="300" w:type="dxa"/>
            <w:vAlign w:val="bottom"/>
          </w:tcPr>
          <w:p>
            <w:pPr>
              <w:spacing w:after="0"/>
              <w:rPr>
                <w:sz w:val="18"/>
                <w:szCs w:val="18"/>
                <w:color w:val="auto"/>
              </w:rPr>
            </w:pPr>
          </w:p>
        </w:tc>
        <w:tc>
          <w:tcPr>
            <w:tcW w:w="1940" w:type="dxa"/>
            <w:vAlign w:val="bottom"/>
            <w:tcBorders>
              <w:top w:val="single" w:sz="8" w:color="0000EE"/>
            </w:tcBorders>
            <w:gridSpan w:val="6"/>
          </w:tcPr>
          <w:p>
            <w:pPr>
              <w:spacing w:after="0" w:line="209" w:lineRule="exact"/>
              <w:rPr>
                <w:rFonts w:ascii="Arial" w:cs="Arial" w:eastAsia="Arial" w:hAnsi="Arial"/>
                <w:sz w:val="20"/>
                <w:szCs w:val="20"/>
                <w:color w:val="0000EE"/>
              </w:rPr>
            </w:pPr>
            <w:hyperlink w:anchor="page44">
              <w:r>
                <w:rPr>
                  <w:rFonts w:ascii="Arial" w:cs="Arial" w:eastAsia="Arial" w:hAnsi="Arial"/>
                  <w:sz w:val="20"/>
                  <w:szCs w:val="20"/>
                  <w:color w:val="0000EE"/>
                </w:rPr>
                <w:t>Other Information</w:t>
              </w:r>
            </w:hyperlink>
          </w:p>
        </w:tc>
        <w:tc>
          <w:tcPr>
            <w:tcW w:w="6860" w:type="dxa"/>
            <w:vAlign w:val="bottom"/>
            <w:gridSpan w:val="15"/>
          </w:tcPr>
          <w:p>
            <w:pPr>
              <w:spacing w:after="0"/>
              <w:rPr>
                <w:sz w:val="18"/>
                <w:szCs w:val="18"/>
                <w:color w:val="auto"/>
              </w:rPr>
            </w:pPr>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66</w:t>
            </w:r>
          </w:p>
        </w:tc>
      </w:tr>
      <w:tr>
        <w:trPr>
          <w:trHeight w:val="43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Borders>
              <w:bottom w:val="single" w:sz="8" w:color="0000EE"/>
            </w:tcBorders>
            <w:gridSpan w:val="5"/>
          </w:tcPr>
          <w:p>
            <w:pPr>
              <w:jc w:val="center"/>
              <w:spacing w:after="0"/>
              <w:rPr>
                <w:rFonts w:ascii="Arial" w:cs="Arial" w:eastAsia="Arial" w:hAnsi="Arial"/>
                <w:sz w:val="20"/>
                <w:szCs w:val="20"/>
                <w:b w:val="1"/>
                <w:bCs w:val="1"/>
                <w:color w:val="0000EE"/>
              </w:rPr>
            </w:pPr>
            <w:hyperlink w:anchor="page44">
              <w:r>
                <w:rPr>
                  <w:rFonts w:ascii="Arial" w:cs="Arial" w:eastAsia="Arial" w:hAnsi="Arial"/>
                  <w:sz w:val="20"/>
                  <w:szCs w:val="20"/>
                  <w:b w:val="1"/>
                  <w:bCs w:val="1"/>
                  <w:color w:val="0000EE"/>
                </w:rPr>
                <w:t>PART III</w:t>
              </w:r>
            </w:hyperlink>
          </w:p>
        </w:tc>
        <w:tc>
          <w:tcPr>
            <w:tcW w:w="370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440" w:type="dxa"/>
            <w:vAlign w:val="bottom"/>
            <w:gridSpan w:val="3"/>
          </w:tcPr>
          <w:p>
            <w:pPr>
              <w:spacing w:after="0"/>
              <w:rPr>
                <w:sz w:val="24"/>
                <w:szCs w:val="24"/>
                <w:color w:val="auto"/>
              </w:rPr>
            </w:pPr>
          </w:p>
        </w:tc>
        <w:tc>
          <w:tcPr>
            <w:tcW w:w="280" w:type="dxa"/>
            <w:vAlign w:val="bottom"/>
            <w:gridSpan w:val="3"/>
          </w:tcPr>
          <w:p>
            <w:pPr>
              <w:jc w:val="right"/>
              <w:spacing w:after="0"/>
              <w:rPr>
                <w:rFonts w:ascii="Arial" w:cs="Arial" w:eastAsia="Arial" w:hAnsi="Arial"/>
                <w:sz w:val="20"/>
                <w:szCs w:val="20"/>
                <w:color w:val="0000EE"/>
                <w:w w:val="86"/>
              </w:rPr>
            </w:pPr>
            <w:hyperlink w:anchor="page44">
              <w:r>
                <w:rPr>
                  <w:rFonts w:ascii="Arial" w:cs="Arial" w:eastAsia="Arial" w:hAnsi="Arial"/>
                  <w:sz w:val="20"/>
                  <w:szCs w:val="20"/>
                  <w:color w:val="0000EE"/>
                  <w:w w:val="86"/>
                </w:rPr>
                <w:t>10.</w:t>
              </w:r>
            </w:hyperlink>
          </w:p>
        </w:tc>
        <w:tc>
          <w:tcPr>
            <w:tcW w:w="300" w:type="dxa"/>
            <w:vAlign w:val="bottom"/>
          </w:tcPr>
          <w:p>
            <w:pPr>
              <w:spacing w:after="0"/>
              <w:rPr>
                <w:sz w:val="24"/>
                <w:szCs w:val="24"/>
                <w:color w:val="auto"/>
              </w:rPr>
            </w:pPr>
          </w:p>
        </w:tc>
        <w:tc>
          <w:tcPr>
            <w:tcW w:w="8800" w:type="dxa"/>
            <w:vAlign w:val="bottom"/>
            <w:gridSpan w:val="21"/>
          </w:tcPr>
          <w:p>
            <w:pPr>
              <w:spacing w:after="0"/>
              <w:rPr>
                <w:rFonts w:ascii="Arial" w:cs="Arial" w:eastAsia="Arial" w:hAnsi="Arial"/>
                <w:sz w:val="20"/>
                <w:szCs w:val="20"/>
                <w:color w:val="0000EE"/>
              </w:rPr>
            </w:pPr>
            <w:hyperlink w:anchor="page44">
              <w:r>
                <w:rPr>
                  <w:rFonts w:ascii="Arial" w:cs="Arial" w:eastAsia="Arial" w:hAnsi="Arial"/>
                  <w:sz w:val="20"/>
                  <w:szCs w:val="20"/>
                  <w:color w:val="0000EE"/>
                </w:rPr>
                <w:t>Directors, Executive Officers and Corporate Governance</w:t>
              </w:r>
            </w:hyperlink>
          </w:p>
        </w:tc>
        <w:tc>
          <w:tcPr>
            <w:tcW w:w="1640" w:type="dxa"/>
            <w:vAlign w:val="bottom"/>
          </w:tcPr>
          <w:p>
            <w:pPr>
              <w:jc w:val="right"/>
              <w:ind w:right="581"/>
              <w:spacing w:after="0"/>
              <w:rPr>
                <w:sz w:val="20"/>
                <w:szCs w:val="20"/>
                <w:color w:val="auto"/>
              </w:rPr>
            </w:pPr>
            <w:r>
              <w:rPr>
                <w:rFonts w:ascii="Arial" w:cs="Arial" w:eastAsia="Arial" w:hAnsi="Arial"/>
                <w:sz w:val="20"/>
                <w:szCs w:val="20"/>
                <w:color w:val="auto"/>
              </w:rPr>
              <w:t>66</w:t>
            </w:r>
          </w:p>
        </w:tc>
      </w:tr>
      <w:tr>
        <w:trPr>
          <w:trHeight w:val="210"/>
        </w:trPr>
        <w:tc>
          <w:tcPr>
            <w:tcW w:w="440" w:type="dxa"/>
            <w:vAlign w:val="bottom"/>
            <w:gridSpan w:val="3"/>
          </w:tcPr>
          <w:p>
            <w:pPr>
              <w:spacing w:after="0"/>
              <w:rPr>
                <w:sz w:val="18"/>
                <w:szCs w:val="18"/>
                <w:color w:val="auto"/>
              </w:rPr>
            </w:pPr>
          </w:p>
        </w:tc>
        <w:tc>
          <w:tcPr>
            <w:tcW w:w="280" w:type="dxa"/>
            <w:vAlign w:val="bottom"/>
            <w:tcBorders>
              <w:top w:val="single" w:sz="8" w:color="0000EE"/>
            </w:tcBorders>
            <w:gridSpan w:val="3"/>
          </w:tcPr>
          <w:p>
            <w:pPr>
              <w:jc w:val="right"/>
              <w:spacing w:after="0" w:line="209" w:lineRule="exact"/>
              <w:rPr>
                <w:rFonts w:ascii="Arial" w:cs="Arial" w:eastAsia="Arial" w:hAnsi="Arial"/>
                <w:sz w:val="20"/>
                <w:szCs w:val="20"/>
                <w:color w:val="0000EE"/>
                <w:w w:val="86"/>
              </w:rPr>
            </w:pPr>
            <w:hyperlink w:anchor="page45">
              <w:r>
                <w:rPr>
                  <w:rFonts w:ascii="Arial" w:cs="Arial" w:eastAsia="Arial" w:hAnsi="Arial"/>
                  <w:sz w:val="20"/>
                  <w:szCs w:val="20"/>
                  <w:color w:val="0000EE"/>
                  <w:w w:val="86"/>
                </w:rPr>
                <w:t>11.</w:t>
              </w:r>
            </w:hyperlink>
          </w:p>
        </w:tc>
        <w:tc>
          <w:tcPr>
            <w:tcW w:w="300" w:type="dxa"/>
            <w:vAlign w:val="bottom"/>
          </w:tcPr>
          <w:p>
            <w:pPr>
              <w:spacing w:after="0"/>
              <w:rPr>
                <w:sz w:val="18"/>
                <w:szCs w:val="18"/>
                <w:color w:val="auto"/>
              </w:rPr>
            </w:pPr>
          </w:p>
        </w:tc>
        <w:tc>
          <w:tcPr>
            <w:tcW w:w="4500" w:type="dxa"/>
            <w:vAlign w:val="bottom"/>
            <w:tcBorders>
              <w:top w:val="single" w:sz="8" w:color="0000EE"/>
            </w:tcBorders>
            <w:gridSpan w:val="13"/>
          </w:tcPr>
          <w:p>
            <w:pPr>
              <w:spacing w:after="0" w:line="209" w:lineRule="exact"/>
              <w:rPr>
                <w:rFonts w:ascii="Arial" w:cs="Arial" w:eastAsia="Arial" w:hAnsi="Arial"/>
                <w:sz w:val="20"/>
                <w:szCs w:val="20"/>
                <w:color w:val="0000EE"/>
              </w:rPr>
            </w:pPr>
            <w:hyperlink w:anchor="page45">
              <w:r>
                <w:rPr>
                  <w:rFonts w:ascii="Arial" w:cs="Arial" w:eastAsia="Arial" w:hAnsi="Arial"/>
                  <w:sz w:val="20"/>
                  <w:szCs w:val="20"/>
                  <w:color w:val="0000EE"/>
                </w:rPr>
                <w:t>Executive Compensation</w:t>
              </w:r>
            </w:hyperlink>
          </w:p>
        </w:tc>
        <w:tc>
          <w:tcPr>
            <w:tcW w:w="4300" w:type="dxa"/>
            <w:vAlign w:val="bottom"/>
            <w:gridSpan w:val="8"/>
          </w:tcPr>
          <w:p>
            <w:pPr>
              <w:spacing w:after="0"/>
              <w:rPr>
                <w:sz w:val="18"/>
                <w:szCs w:val="18"/>
                <w:color w:val="auto"/>
              </w:rPr>
            </w:pPr>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66</w:t>
            </w:r>
          </w:p>
        </w:tc>
      </w:tr>
      <w:tr>
        <w:trPr>
          <w:trHeight w:val="20"/>
        </w:trPr>
        <w:tc>
          <w:tcPr>
            <w:tcW w:w="440" w:type="dxa"/>
            <w:vAlign w:val="bottom"/>
            <w:gridSpan w:val="3"/>
          </w:tcPr>
          <w:p>
            <w:pPr>
              <w:spacing w:after="0" w:line="20" w:lineRule="exact"/>
              <w:rPr>
                <w:sz w:val="1"/>
                <w:szCs w:val="1"/>
                <w:color w:val="auto"/>
              </w:rPr>
            </w:pPr>
          </w:p>
        </w:tc>
        <w:tc>
          <w:tcPr>
            <w:tcW w:w="280" w:type="dxa"/>
            <w:vAlign w:val="bottom"/>
            <w:tcBorders>
              <w:righ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0"/>
        </w:trPr>
        <w:tc>
          <w:tcPr>
            <w:tcW w:w="720" w:type="dxa"/>
            <w:vAlign w:val="bottom"/>
            <w:gridSpan w:val="6"/>
          </w:tcPr>
          <w:p>
            <w:pPr>
              <w:jc w:val="right"/>
              <w:spacing w:after="0" w:line="209" w:lineRule="exact"/>
              <w:rPr>
                <w:rFonts w:ascii="Arial" w:cs="Arial" w:eastAsia="Arial" w:hAnsi="Arial"/>
                <w:sz w:val="20"/>
                <w:szCs w:val="20"/>
                <w:color w:val="0000EE"/>
              </w:rPr>
            </w:pPr>
            <w:hyperlink w:anchor="page45">
              <w:r>
                <w:rPr>
                  <w:rFonts w:ascii="Arial" w:cs="Arial" w:eastAsia="Arial" w:hAnsi="Arial"/>
                  <w:sz w:val="20"/>
                  <w:szCs w:val="20"/>
                  <w:color w:val="0000EE"/>
                </w:rPr>
                <w:t>12.</w:t>
              </w:r>
            </w:hyperlink>
          </w:p>
        </w:tc>
        <w:tc>
          <w:tcPr>
            <w:tcW w:w="300" w:type="dxa"/>
            <w:vAlign w:val="bottom"/>
          </w:tcPr>
          <w:p>
            <w:pPr>
              <w:spacing w:after="0"/>
              <w:rPr>
                <w:sz w:val="18"/>
                <w:szCs w:val="18"/>
                <w:color w:val="auto"/>
              </w:rPr>
            </w:pPr>
          </w:p>
        </w:tc>
        <w:tc>
          <w:tcPr>
            <w:tcW w:w="8800" w:type="dxa"/>
            <w:vAlign w:val="bottom"/>
            <w:gridSpan w:val="21"/>
          </w:tcPr>
          <w:p>
            <w:pPr>
              <w:spacing w:after="0" w:line="209" w:lineRule="exact"/>
              <w:rPr>
                <w:rFonts w:ascii="Arial" w:cs="Arial" w:eastAsia="Arial" w:hAnsi="Arial"/>
                <w:sz w:val="20"/>
                <w:szCs w:val="20"/>
                <w:color w:val="0000EE"/>
                <w:w w:val="98"/>
              </w:rPr>
            </w:pPr>
            <w:hyperlink w:anchor="page45">
              <w:r>
                <w:rPr>
                  <w:rFonts w:ascii="Arial" w:cs="Arial" w:eastAsia="Arial" w:hAnsi="Arial"/>
                  <w:sz w:val="20"/>
                  <w:szCs w:val="20"/>
                  <w:color w:val="0000EE"/>
                  <w:w w:val="98"/>
                </w:rPr>
                <w:t>Security Ownership of Certain Beneficial Owners and Management and Related Stockholder Matters</w:t>
              </w:r>
            </w:hyperlink>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66</w:t>
            </w:r>
          </w:p>
        </w:tc>
      </w:tr>
      <w:tr>
        <w:trPr>
          <w:trHeight w:val="210"/>
        </w:trPr>
        <w:tc>
          <w:tcPr>
            <w:tcW w:w="440" w:type="dxa"/>
            <w:vAlign w:val="bottom"/>
            <w:gridSpan w:val="3"/>
          </w:tcPr>
          <w:p>
            <w:pPr>
              <w:spacing w:after="0"/>
              <w:rPr>
                <w:sz w:val="18"/>
                <w:szCs w:val="18"/>
                <w:color w:val="auto"/>
              </w:rPr>
            </w:pPr>
          </w:p>
        </w:tc>
        <w:tc>
          <w:tcPr>
            <w:tcW w:w="280" w:type="dxa"/>
            <w:vAlign w:val="bottom"/>
            <w:tcBorders>
              <w:bottom w:val="single" w:sz="8" w:color="0000EE"/>
            </w:tcBorders>
            <w:gridSpan w:val="3"/>
          </w:tcPr>
          <w:p>
            <w:pPr>
              <w:jc w:val="right"/>
              <w:spacing w:after="0" w:line="209" w:lineRule="exact"/>
              <w:rPr>
                <w:rFonts w:ascii="Arial" w:cs="Arial" w:eastAsia="Arial" w:hAnsi="Arial"/>
                <w:sz w:val="20"/>
                <w:szCs w:val="20"/>
                <w:color w:val="0000EE"/>
                <w:w w:val="86"/>
              </w:rPr>
            </w:pPr>
            <w:hyperlink w:anchor="page45">
              <w:r>
                <w:rPr>
                  <w:rFonts w:ascii="Arial" w:cs="Arial" w:eastAsia="Arial" w:hAnsi="Arial"/>
                  <w:sz w:val="20"/>
                  <w:szCs w:val="20"/>
                  <w:color w:val="0000EE"/>
                  <w:w w:val="86"/>
                </w:rPr>
                <w:t>13.</w:t>
              </w:r>
            </w:hyperlink>
          </w:p>
        </w:tc>
        <w:tc>
          <w:tcPr>
            <w:tcW w:w="300" w:type="dxa"/>
            <w:vAlign w:val="bottom"/>
          </w:tcPr>
          <w:p>
            <w:pPr>
              <w:spacing w:after="0"/>
              <w:rPr>
                <w:sz w:val="18"/>
                <w:szCs w:val="18"/>
                <w:color w:val="auto"/>
              </w:rPr>
            </w:pPr>
          </w:p>
        </w:tc>
        <w:tc>
          <w:tcPr>
            <w:tcW w:w="6000" w:type="dxa"/>
            <w:vAlign w:val="bottom"/>
            <w:tcBorders>
              <w:top w:val="single" w:sz="8" w:color="0000EE"/>
              <w:bottom w:val="single" w:sz="8" w:color="0000EE"/>
            </w:tcBorders>
            <w:gridSpan w:val="17"/>
          </w:tcPr>
          <w:p>
            <w:pPr>
              <w:spacing w:after="0" w:line="209" w:lineRule="exact"/>
              <w:rPr>
                <w:rFonts w:ascii="Arial" w:cs="Arial" w:eastAsia="Arial" w:hAnsi="Arial"/>
                <w:sz w:val="20"/>
                <w:szCs w:val="20"/>
                <w:color w:val="0000EE"/>
                <w:w w:val="88"/>
              </w:rPr>
            </w:pPr>
            <w:hyperlink w:anchor="page45">
              <w:r>
                <w:rPr>
                  <w:rFonts w:ascii="Arial" w:cs="Arial" w:eastAsia="Arial" w:hAnsi="Arial"/>
                  <w:sz w:val="20"/>
                  <w:szCs w:val="20"/>
                  <w:color w:val="0000EE"/>
                  <w:w w:val="88"/>
                </w:rPr>
                <w:t>Certain Relationships and Related Transactions, and Director Independence</w:t>
              </w:r>
            </w:hyperlink>
          </w:p>
        </w:tc>
        <w:tc>
          <w:tcPr>
            <w:tcW w:w="2020" w:type="dxa"/>
            <w:vAlign w:val="bottom"/>
            <w:tcBorders>
              <w:top w:val="single" w:sz="8" w:color="0000EE"/>
            </w:tcBorders>
            <w:gridSpan w:val="3"/>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67</w:t>
            </w:r>
          </w:p>
        </w:tc>
      </w:tr>
      <w:tr>
        <w:trPr>
          <w:trHeight w:val="210"/>
        </w:trPr>
        <w:tc>
          <w:tcPr>
            <w:tcW w:w="720" w:type="dxa"/>
            <w:vAlign w:val="bottom"/>
            <w:gridSpan w:val="6"/>
          </w:tcPr>
          <w:p>
            <w:pPr>
              <w:jc w:val="right"/>
              <w:spacing w:after="0" w:line="209" w:lineRule="exact"/>
              <w:rPr>
                <w:rFonts w:ascii="Arial" w:cs="Arial" w:eastAsia="Arial" w:hAnsi="Arial"/>
                <w:sz w:val="20"/>
                <w:szCs w:val="20"/>
                <w:color w:val="0000EE"/>
              </w:rPr>
            </w:pPr>
            <w:hyperlink w:anchor="page45">
              <w:r>
                <w:rPr>
                  <w:rFonts w:ascii="Arial" w:cs="Arial" w:eastAsia="Arial" w:hAnsi="Arial"/>
                  <w:sz w:val="20"/>
                  <w:szCs w:val="20"/>
                  <w:color w:val="0000EE"/>
                </w:rPr>
                <w:t>14.</w:t>
              </w:r>
            </w:hyperlink>
          </w:p>
        </w:tc>
        <w:tc>
          <w:tcPr>
            <w:tcW w:w="300" w:type="dxa"/>
            <w:vAlign w:val="bottom"/>
          </w:tcPr>
          <w:p>
            <w:pPr>
              <w:spacing w:after="0"/>
              <w:rPr>
                <w:sz w:val="18"/>
                <w:szCs w:val="18"/>
                <w:color w:val="auto"/>
              </w:rPr>
            </w:pPr>
          </w:p>
        </w:tc>
        <w:tc>
          <w:tcPr>
            <w:tcW w:w="8800" w:type="dxa"/>
            <w:vAlign w:val="bottom"/>
            <w:gridSpan w:val="21"/>
          </w:tcPr>
          <w:p>
            <w:pPr>
              <w:spacing w:after="0" w:line="209" w:lineRule="exact"/>
              <w:rPr>
                <w:rFonts w:ascii="Arial" w:cs="Arial" w:eastAsia="Arial" w:hAnsi="Arial"/>
                <w:sz w:val="20"/>
                <w:szCs w:val="20"/>
                <w:color w:val="0000EE"/>
              </w:rPr>
            </w:pPr>
            <w:hyperlink w:anchor="page45">
              <w:r>
                <w:rPr>
                  <w:rFonts w:ascii="Arial" w:cs="Arial" w:eastAsia="Arial" w:hAnsi="Arial"/>
                  <w:sz w:val="20"/>
                  <w:szCs w:val="20"/>
                  <w:color w:val="0000EE"/>
                </w:rPr>
                <w:t>Principal Accounting Fees and Services</w:t>
              </w:r>
            </w:hyperlink>
          </w:p>
        </w:tc>
        <w:tc>
          <w:tcPr>
            <w:tcW w:w="1640" w:type="dxa"/>
            <w:vAlign w:val="bottom"/>
          </w:tcPr>
          <w:p>
            <w:pPr>
              <w:jc w:val="right"/>
              <w:ind w:right="581"/>
              <w:spacing w:after="0" w:line="209" w:lineRule="exact"/>
              <w:rPr>
                <w:sz w:val="20"/>
                <w:szCs w:val="20"/>
                <w:color w:val="auto"/>
              </w:rPr>
            </w:pPr>
            <w:r>
              <w:rPr>
                <w:rFonts w:ascii="Arial" w:cs="Arial" w:eastAsia="Arial" w:hAnsi="Arial"/>
                <w:sz w:val="20"/>
                <w:szCs w:val="20"/>
                <w:color w:val="auto"/>
              </w:rPr>
              <w:t>67</w:t>
            </w:r>
          </w:p>
        </w:tc>
      </w:tr>
      <w:tr>
        <w:trPr>
          <w:trHeight w:val="439"/>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9"/>
          </w:tcPr>
          <w:p>
            <w:pPr>
              <w:jc w:val="center"/>
              <w:ind w:right="3720"/>
              <w:spacing w:after="0"/>
              <w:rPr>
                <w:rFonts w:ascii="Arial" w:cs="Arial" w:eastAsia="Arial" w:hAnsi="Arial"/>
                <w:sz w:val="20"/>
                <w:szCs w:val="20"/>
                <w:b w:val="1"/>
                <w:bCs w:val="1"/>
                <w:color w:val="0000EE"/>
                <w:w w:val="96"/>
              </w:rPr>
            </w:pPr>
            <w:hyperlink w:anchor="page45">
              <w:r>
                <w:rPr>
                  <w:rFonts w:ascii="Arial" w:cs="Arial" w:eastAsia="Arial" w:hAnsi="Arial"/>
                  <w:sz w:val="20"/>
                  <w:szCs w:val="20"/>
                  <w:b w:val="1"/>
                  <w:bCs w:val="1"/>
                  <w:color w:val="0000EE"/>
                  <w:w w:val="96"/>
                </w:rPr>
                <w:t>PART IV</w:t>
              </w:r>
            </w:hyperlink>
          </w:p>
        </w:tc>
        <w:tc>
          <w:tcPr>
            <w:tcW w:w="1640" w:type="dxa"/>
            <w:vAlign w:val="bottom"/>
          </w:tcPr>
          <w:p>
            <w:pPr>
              <w:spacing w:after="0"/>
              <w:rPr>
                <w:sz w:val="24"/>
                <w:szCs w:val="24"/>
                <w:color w:val="auto"/>
              </w:rPr>
            </w:pPr>
          </w:p>
        </w:tc>
      </w:tr>
      <w:tr>
        <w:trPr>
          <w:trHeight w:val="439"/>
        </w:trPr>
        <w:tc>
          <w:tcPr>
            <w:tcW w:w="440" w:type="dxa"/>
            <w:vAlign w:val="bottom"/>
            <w:gridSpan w:val="3"/>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20"/>
                <w:szCs w:val="20"/>
                <w:color w:val="0000EE"/>
                <w:w w:val="86"/>
              </w:rPr>
            </w:pPr>
            <w:hyperlink w:anchor="page45">
              <w:r>
                <w:rPr>
                  <w:rFonts w:ascii="Arial" w:cs="Arial" w:eastAsia="Arial" w:hAnsi="Arial"/>
                  <w:sz w:val="20"/>
                  <w:szCs w:val="20"/>
                  <w:color w:val="0000EE"/>
                  <w:w w:val="86"/>
                </w:rPr>
                <w:t>15.</w:t>
              </w:r>
            </w:hyperlink>
          </w:p>
        </w:tc>
        <w:tc>
          <w:tcPr>
            <w:tcW w:w="300" w:type="dxa"/>
            <w:vAlign w:val="bottom"/>
          </w:tcPr>
          <w:p>
            <w:pPr>
              <w:spacing w:after="0"/>
              <w:rPr>
                <w:sz w:val="24"/>
                <w:szCs w:val="24"/>
                <w:color w:val="auto"/>
              </w:rPr>
            </w:pPr>
          </w:p>
        </w:tc>
        <w:tc>
          <w:tcPr>
            <w:tcW w:w="3480" w:type="dxa"/>
            <w:vAlign w:val="bottom"/>
            <w:tcBorders>
              <w:bottom w:val="single" w:sz="8" w:color="0000EE"/>
            </w:tcBorders>
            <w:gridSpan w:val="9"/>
          </w:tcPr>
          <w:p>
            <w:pPr>
              <w:spacing w:after="0"/>
              <w:rPr>
                <w:rFonts w:ascii="Arial" w:cs="Arial" w:eastAsia="Arial" w:hAnsi="Arial"/>
                <w:sz w:val="20"/>
                <w:szCs w:val="20"/>
                <w:color w:val="0000EE"/>
                <w:w w:val="88"/>
              </w:rPr>
            </w:pPr>
            <w:hyperlink w:anchor="page45">
              <w:r>
                <w:rPr>
                  <w:rFonts w:ascii="Arial" w:cs="Arial" w:eastAsia="Arial" w:hAnsi="Arial"/>
                  <w:sz w:val="20"/>
                  <w:szCs w:val="20"/>
                  <w:color w:val="0000EE"/>
                  <w:w w:val="88"/>
                </w:rPr>
                <w:t>Exhibits and Financial Statement Schedules</w:t>
              </w:r>
            </w:hyperlink>
          </w:p>
        </w:tc>
        <w:tc>
          <w:tcPr>
            <w:tcW w:w="840" w:type="dxa"/>
            <w:vAlign w:val="bottom"/>
            <w:gridSpan w:val="3"/>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3720" w:type="dxa"/>
            <w:vAlign w:val="bottom"/>
            <w:gridSpan w:val="6"/>
          </w:tcPr>
          <w:p>
            <w:pPr>
              <w:spacing w:after="0"/>
              <w:rPr>
                <w:sz w:val="24"/>
                <w:szCs w:val="24"/>
                <w:color w:val="auto"/>
              </w:rPr>
            </w:pPr>
          </w:p>
        </w:tc>
        <w:tc>
          <w:tcPr>
            <w:tcW w:w="1640" w:type="dxa"/>
            <w:vAlign w:val="bottom"/>
          </w:tcPr>
          <w:p>
            <w:pPr>
              <w:jc w:val="right"/>
              <w:ind w:right="581"/>
              <w:spacing w:after="0"/>
              <w:rPr>
                <w:sz w:val="20"/>
                <w:szCs w:val="20"/>
                <w:color w:val="auto"/>
              </w:rPr>
            </w:pPr>
            <w:r>
              <w:rPr>
                <w:rFonts w:ascii="Arial" w:cs="Arial" w:eastAsia="Arial" w:hAnsi="Arial"/>
                <w:sz w:val="20"/>
                <w:szCs w:val="20"/>
                <w:color w:val="auto"/>
              </w:rPr>
              <w:t>67</w:t>
            </w:r>
          </w:p>
        </w:tc>
      </w:tr>
      <w:tr>
        <w:trPr>
          <w:trHeight w:val="426"/>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bottom w:val="single" w:sz="8" w:color="0000EE"/>
            </w:tcBorders>
            <w:gridSpan w:val="2"/>
          </w:tcPr>
          <w:p>
            <w:pPr>
              <w:spacing w:after="0"/>
              <w:rPr>
                <w:rFonts w:ascii="Arial" w:cs="Arial" w:eastAsia="Arial" w:hAnsi="Arial"/>
                <w:sz w:val="20"/>
                <w:szCs w:val="20"/>
                <w:color w:val="0000EE"/>
                <w:w w:val="85"/>
              </w:rPr>
            </w:pPr>
            <w:hyperlink w:anchor="page46">
              <w:r>
                <w:rPr>
                  <w:rFonts w:ascii="Arial" w:cs="Arial" w:eastAsia="Arial" w:hAnsi="Arial"/>
                  <w:sz w:val="20"/>
                  <w:szCs w:val="20"/>
                  <w:color w:val="0000EE"/>
                  <w:w w:val="85"/>
                </w:rPr>
                <w:t>Signatures</w:t>
              </w:r>
            </w:hyperlink>
          </w:p>
        </w:tc>
        <w:tc>
          <w:tcPr>
            <w:tcW w:w="7960" w:type="dxa"/>
            <w:vAlign w:val="bottom"/>
            <w:gridSpan w:val="19"/>
          </w:tcPr>
          <w:p>
            <w:pPr>
              <w:spacing w:after="0"/>
              <w:rPr>
                <w:sz w:val="24"/>
                <w:szCs w:val="24"/>
                <w:color w:val="auto"/>
              </w:rPr>
            </w:pPr>
          </w:p>
        </w:tc>
        <w:tc>
          <w:tcPr>
            <w:tcW w:w="1640" w:type="dxa"/>
            <w:vAlign w:val="bottom"/>
          </w:tcPr>
          <w:p>
            <w:pPr>
              <w:jc w:val="right"/>
              <w:ind w:right="581"/>
              <w:spacing w:after="0"/>
              <w:rPr>
                <w:sz w:val="20"/>
                <w:szCs w:val="20"/>
                <w:color w:val="auto"/>
              </w:rPr>
            </w:pPr>
            <w:r>
              <w:rPr>
                <w:rFonts w:ascii="Arial" w:cs="Arial" w:eastAsia="Arial" w:hAnsi="Arial"/>
                <w:sz w:val="20"/>
                <w:szCs w:val="20"/>
                <w:color w:val="auto"/>
              </w:rPr>
              <w:t>68</w:t>
            </w:r>
          </w:p>
        </w:tc>
      </w:tr>
      <w:tr>
        <w:trPr>
          <w:trHeight w:val="447"/>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40" w:type="dxa"/>
            <w:vAlign w:val="bottom"/>
            <w:gridSpan w:val="15"/>
          </w:tcPr>
          <w:p>
            <w:pPr>
              <w:jc w:val="center"/>
              <w:ind w:left="4879"/>
              <w:spacing w:after="0"/>
              <w:rPr>
                <w:sz w:val="20"/>
                <w:szCs w:val="20"/>
                <w:color w:val="auto"/>
              </w:rPr>
            </w:pPr>
            <w:r>
              <w:rPr>
                <w:rFonts w:ascii="Arial" w:cs="Arial" w:eastAsia="Arial" w:hAnsi="Arial"/>
                <w:sz w:val="16"/>
                <w:szCs w:val="16"/>
                <w:color w:val="auto"/>
                <w:w w:val="89"/>
              </w:rPr>
              <w:t>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38"/>
        </w:trPr>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235"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As a result of the TCCC Transaction (as defined and described below), Monster Beverage 1990 Corporation (formerly Monster Beverage Corporation) (“Old Monster”) effected a holding company reorganization on June 12, 2015, pursuant to which it became a wholly owned subsidiary of New Laser Corporation, which then changed its name to “Monster Beverage Corporation”. When this report uses the words “the Company” “we”, “us”, and “our”, these words refer to Monster Beverage Corporation and its subsidiaries, unless the context otherwise requires. We are a holding company and conduct no operating business except through our consolidated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 and Divestitures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On June 12, 2015, Old Monster, now a wholly owned subsidiary of the Company, completed the transactions contemplated by the definitive agreements entered into with The Coca-Cola Company (“TCCC”) on August 14, 2014, which provided for a long-term strategic relationship in the global energy drink category (the “TCCC Transaction”).</w:t>
      </w:r>
    </w:p>
    <w:p>
      <w:pPr>
        <w:spacing w:after="0" w:line="200" w:lineRule="exact"/>
        <w:rPr>
          <w:sz w:val="20"/>
          <w:szCs w:val="20"/>
          <w:color w:val="auto"/>
        </w:rPr>
      </w:pPr>
    </w:p>
    <w:p>
      <w:pPr>
        <w:jc w:val="both"/>
        <w:ind w:right="40" w:firstLine="648"/>
        <w:spacing w:after="0" w:line="316" w:lineRule="auto"/>
        <w:rPr>
          <w:sz w:val="20"/>
          <w:szCs w:val="20"/>
          <w:color w:val="auto"/>
        </w:rPr>
      </w:pPr>
      <w:r>
        <w:rPr>
          <w:rFonts w:ascii="Arial" w:cs="Arial" w:eastAsia="Arial" w:hAnsi="Arial"/>
          <w:sz w:val="18"/>
          <w:szCs w:val="18"/>
          <w:color w:val="auto"/>
        </w:rPr>
        <w:t>Also, on June 12, 2015, Old Monster effected a holding company reorganization in connection with the TCCC Transaction by merging New Laser Merger Corp., a wholly owned subsidiary of the Company into Old Monster, with Old Monster surviving as a wholly owned</w:t>
      </w:r>
    </w:p>
    <w:p>
      <w:pPr>
        <w:sectPr>
          <w:pgSz w:w="11900" w:h="16838" w:orient="portrait"/>
          <w:cols w:equalWidth="0" w:num="1">
            <w:col w:w="11460"/>
          </w:cols>
          <w:pgMar w:left="240" w:top="490" w:right="199" w:bottom="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20"/>
          <w:szCs w:val="20"/>
          <w:color w:val="auto"/>
        </w:rPr>
        <w:t>subsidiary of the Company (the “Holding Company Reorganization”), and the Company changed its name from New Laser Corporation to “Monster Beverage Corporation.”</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In the Holding Company Reorganization, each Old Monster common share, par value $0.005 per share, outstanding immediately prior to consummation of the Holding Company Reorganization (other than any Old Monster common shares owned by Old Monster immediately prior to the closing of the TCCC Transaction, which were cancelled) was converted automatically into the right to receive one Company common share, par value $0.005 per share. In addition, upon consummation of the Holding Company Reorganization:</w:t>
      </w:r>
    </w:p>
    <w:p>
      <w:pPr>
        <w:spacing w:after="0" w:line="175" w:lineRule="exact"/>
        <w:rPr>
          <w:sz w:val="20"/>
          <w:szCs w:val="20"/>
          <w:color w:val="auto"/>
        </w:rPr>
      </w:pPr>
    </w:p>
    <w:p>
      <w:pPr>
        <w:jc w:val="both"/>
        <w:ind w:left="660" w:hanging="328"/>
        <w:spacing w:after="0" w:line="246" w:lineRule="auto"/>
        <w:tabs>
          <w:tab w:leader="none" w:pos="628" w:val="left"/>
        </w:tabs>
        <w:numPr>
          <w:ilvl w:val="0"/>
          <w:numId w:val="4"/>
        </w:numPr>
        <w:rPr>
          <w:rFonts w:ascii="Arial" w:cs="Arial" w:eastAsia="Arial" w:hAnsi="Arial"/>
          <w:sz w:val="20"/>
          <w:szCs w:val="20"/>
          <w:color w:val="auto"/>
        </w:rPr>
      </w:pPr>
      <w:r>
        <w:rPr>
          <w:rFonts w:ascii="Arial" w:cs="Arial" w:eastAsia="Arial" w:hAnsi="Arial"/>
          <w:sz w:val="20"/>
          <w:szCs w:val="20"/>
          <w:color w:val="auto"/>
        </w:rPr>
        <w:t>each unexercised and unexpired stock option then outstanding under any equity compensation plan of Old Monster, whether or not then exercisable, ceased to represent a right to acquire Old Monster common shares and was converted automatically into a right to acquire the same number of Company common shares, on the same terms and conditions as were applicable under such Old Monster stock option; and</w:t>
      </w:r>
    </w:p>
    <w:p>
      <w:pPr>
        <w:spacing w:after="0" w:line="205" w:lineRule="exact"/>
        <w:rPr>
          <w:rFonts w:ascii="Arial" w:cs="Arial" w:eastAsia="Arial" w:hAnsi="Arial"/>
          <w:sz w:val="20"/>
          <w:szCs w:val="20"/>
          <w:color w:val="auto"/>
        </w:rPr>
      </w:pPr>
    </w:p>
    <w:p>
      <w:pPr>
        <w:jc w:val="both"/>
        <w:ind w:left="660" w:hanging="328"/>
        <w:spacing w:after="0" w:line="244" w:lineRule="auto"/>
        <w:tabs>
          <w:tab w:leader="none" w:pos="777" w:val="left"/>
        </w:tabs>
        <w:numPr>
          <w:ilvl w:val="0"/>
          <w:numId w:val="4"/>
        </w:numPr>
        <w:rPr>
          <w:rFonts w:ascii="Arial" w:cs="Arial" w:eastAsia="Arial" w:hAnsi="Arial"/>
          <w:sz w:val="20"/>
          <w:szCs w:val="20"/>
          <w:color w:val="auto"/>
        </w:rPr>
      </w:pPr>
      <w:r>
        <w:rPr>
          <w:rFonts w:ascii="Arial" w:cs="Arial" w:eastAsia="Arial" w:hAnsi="Arial"/>
          <w:sz w:val="20"/>
          <w:szCs w:val="20"/>
          <w:color w:val="auto"/>
        </w:rPr>
        <w:t>each share of restricted stock and each restricted stock unit of Old Monster granted under all outstanding equity compensation plans ceased to represent or relate to Old Monster common shares and was converted automatically to represent or relate to Company common shares, on the same terms and conditions as were applicable to such Old Monster restricted stock and restricted stock units (including the vesting or other lapse restrictions (without acceleration thereof by virtue of the Holding Company Reorganization and the TCCC Transaction)).</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Promptly following the effective time of the Holding Company Reorganization, Old Monster assigned to the Company all obligations of Old Monster under Old Monster’s equity compensation plans and each stock option agreement, restricted stock award agreement, restricted stock unit award agreement and any similar agreement entered into pursuant to such equity compensation plans. In addition, all obligations of Old Monster under any employment agreements and indemnification agreements were assigned to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Immediately after the effective time of the Holding Company Reorganization, (1) the Company issued to TCCC 34,040,534 newly issued Company common shares representing approximately 16.7% of the total number of outstanding Company common shares (after giving effect to such issuance) (the “New Issuance”) and TCCC appointed two individuals to the Company’s Board of Directors, (2) TCCC transferred all of its rights in and to TCCC’s worldwide energy drink business (“KO Energy”) including NOS®, Full Throttle®, Burn®, Mother®, Play®, Power Play®, Relentless®, Nalu® and other brands (the “Strategic Brands”) to the Company, (3) Old Monster transferred all of its rights in and to its non-energy drink business (“Monster Non-Energy”) to TCCC, (4) the Company and TCCC amended the distribution coordination agreements previously existing between them to govern the transition of third parties’ rights to distribute the Company’s energy products in most territories in the U.S. to members of TCCC’s distribution network, which consists of owned or controlled bottlers/distributors and independent bottlers/distributors, and (5) TCCC and one of its subsidiaries made an aggregate net cash payment to the Company of $2.15 billion, $125.0 million of which is currently held in escrow, subject to release upon the achievement of milestones relating to the transition of distribution rights to TCCC’s distribution network.</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the one-year anniversary of the closing of the TCCC Transaction, the then-remaining escrow amount, less an amount sufficient to cover any unresolved claims, will be released to TCCC. Any amount described above that becomes payable following the one-year anniversary will be paid directly from TCCC to the Company. As of February 29, 2016, distribution rights in the U.S. representing approximately 89% of the target case sales have been transitioned to TCCC’s distribution network. As a result, $125 million is currently held in escrow. The Company expects to transition sufficient additional distribution rights to release all remaining amounts held in escrow. Therefore, the Company believes that achievement of the milestones is probable.</w:t>
      </w: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accordance with ASC No. 420 “Exit or Disposal Cost Obligations”, the Company expenses distributor termination costs in the period in which the written notification of termination occurs. As a result, the Company incurred termination amounts of $224.0 million for the year ended December 31, 2015 related to the distribution rights transferred to TCCC’s distribution network. Such termination amounts have been expensed in full and are included in operating expenses for the year ended December 31, 2015. In addition, the Company recognized as income $39.8 million in the first quarter of 2015, related to the accelerated amortization of the deferred revenue balances associated with certain of the Company’s prior distributors who were sent notices of termination during the first quarter of 2015.</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second quarter of 2015, as a result of the acquisitions and divestitures in connection with the TCCC Transaction, the Company revised its reportable segments to reflect management’s current view of the business and to align its external financial reporting with its new operating and internal financial reporting model. Historical segment information has been revised to reflect the effect of this change.</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have three operating and reportable segments, (i) Finished Products, which is comprised of our Monster Energy® drink products (previously comprising the majority of the former Direct Store Delivery segment) (“Finished Products”), (ii) Concentrate, the principal products of which include the supply of concentrates for the Strategic Brands energy drinks acquired from TCCC (“Concentrate”) and</w:t>
      </w:r>
    </w:p>
    <w:p>
      <w:pPr>
        <w:spacing w:after="0" w:line="1" w:lineRule="exact"/>
        <w:rPr>
          <w:sz w:val="20"/>
          <w:szCs w:val="20"/>
          <w:color w:val="auto"/>
        </w:rPr>
      </w:pPr>
    </w:p>
    <w:p>
      <w:pPr>
        <w:jc w:val="both"/>
        <w:ind w:firstLine="8"/>
        <w:spacing w:after="0"/>
        <w:tabs>
          <w:tab w:leader="none" w:pos="371" w:val="left"/>
        </w:tabs>
        <w:numPr>
          <w:ilvl w:val="0"/>
          <w:numId w:val="5"/>
        </w:numPr>
        <w:rPr>
          <w:rFonts w:ascii="Arial" w:cs="Arial" w:eastAsia="Arial" w:hAnsi="Arial"/>
          <w:sz w:val="20"/>
          <w:szCs w:val="20"/>
          <w:color w:val="auto"/>
        </w:rPr>
      </w:pPr>
      <w:r>
        <w:rPr>
          <w:rFonts w:ascii="Arial" w:cs="Arial" w:eastAsia="Arial" w:hAnsi="Arial"/>
          <w:sz w:val="20"/>
          <w:szCs w:val="20"/>
          <w:color w:val="auto"/>
        </w:rPr>
        <w:t>Other, the principal products of which include the brands disposed of as a result of the TCCC Transaction (previously comprising the majority of the former Warehouse segment and the Peace Tea® brand) (“Other”). Corporate and unallocated amounts that do not relate to a reportable segment specifically, have been allocated to “Corporate and Unallocated.” Our Finished Products segment represented 92.5%, 93.9% and 93.2% of our consolidated net sales for the years ended December 31, 2015, 2014 and 2013, respectively. Our Concentrate segment represented 5.3% of our consolidated net sales for the year ended December 31, 2015 (effectively from June 12, 2015). Our Other segment represented 2.2%, 6.1% and 6.8% of our consolidated net sales for the years ended December 31, 2015 (effectively through June 12, 2015), 2014 and 2013, respectively.</w:t>
      </w:r>
    </w:p>
    <w:p>
      <w:pPr>
        <w:sectPr>
          <w:pgSz w:w="11900" w:h="16838" w:orient="portrait"/>
          <w:cols w:equalWidth="0" w:num="1">
            <w:col w:w="11420"/>
          </w:cols>
          <w:pgMar w:left="240" w:top="121" w:right="239" w:bottom="0" w:gutter="0" w:footer="0" w:header="0"/>
        </w:sectPr>
      </w:pPr>
    </w:p>
    <w:bookmarkStart w:id="3" w:name="page4"/>
    <w:bookmarkEnd w:id="3"/>
    <w:p>
      <w:pPr>
        <w:jc w:val="both"/>
        <w:ind w:firstLine="648"/>
        <w:spacing w:after="0" w:line="250" w:lineRule="auto"/>
        <w:rPr>
          <w:sz w:val="20"/>
          <w:szCs w:val="20"/>
          <w:color w:val="auto"/>
        </w:rPr>
      </w:pPr>
      <w:r>
        <w:rPr>
          <w:rFonts w:ascii="Arial" w:cs="Arial" w:eastAsia="Arial" w:hAnsi="Arial"/>
          <w:sz w:val="20"/>
          <w:szCs w:val="20"/>
          <w:color w:val="auto"/>
        </w:rPr>
        <w:t>Our Finished Products segment generates net operating revenues by selling ready-to-drink packaged energy drinks to full service beverage distributors, retail grocery and specialty chains, wholesalers, club stores, drug chains, mass merchandisers, convenience chains, health food distributors, food service customers and the military.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Concentrate segment generates net operating revenues by selling “concentrates” and/or “beverage bases” to authorized bottling and canning operations. Such bottlers generally combine the concentrates and/or beverage bases with sweeteners and water, which are then filled in authorized containers bearing the Company’s respective trademarks and sold to customers directly (or in some cases through wholesalers or other bottlers).</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Generally, the Finished Products segment generates higher per case net operating revenues, but lower per case gross profit margins than the Concentrate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financial information about our reporting segments and geographic areas, refer to Note 18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and/or concentrates for energy drink beverages, primarily under the following brand names:</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Monster Energy®</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Monster Rehab®</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5560" w:type="dxa"/>
            <w:vAlign w:val="bottom"/>
            <w:gridSpan w:val="2"/>
          </w:tcPr>
          <w:p>
            <w:pPr>
              <w:spacing w:after="0"/>
              <w:rPr>
                <w:sz w:val="20"/>
                <w:szCs w:val="20"/>
                <w:color w:val="auto"/>
              </w:rPr>
            </w:pPr>
            <w:r>
              <w:rPr>
                <w:rFonts w:ascii="Arial" w:cs="Arial" w:eastAsia="Arial" w:hAnsi="Arial"/>
                <w:sz w:val="20"/>
                <w:szCs w:val="20"/>
                <w:color w:val="auto"/>
              </w:rPr>
              <w:t>·   Monster Energy Extra Strength Nitrous Technology®</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Java Monster®</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Muscle Monster®</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Mega Monster Energy®</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Ultra®</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Punch Monster®</w:t>
            </w:r>
          </w:p>
        </w:tc>
        <w:tc>
          <w:tcPr>
            <w:tcW w:w="3260" w:type="dxa"/>
            <w:vAlign w:val="bottom"/>
            <w:gridSpan w:val="2"/>
          </w:tcPr>
          <w:p>
            <w:pPr>
              <w:ind w:left="1040"/>
              <w:spacing w:after="0"/>
              <w:rPr>
                <w:sz w:val="20"/>
                <w:szCs w:val="20"/>
                <w:color w:val="auto"/>
              </w:rPr>
            </w:pPr>
            <w:r>
              <w:rPr>
                <w:rFonts w:ascii="Arial" w:cs="Arial" w:eastAsia="Arial" w:hAnsi="Arial"/>
                <w:sz w:val="20"/>
                <w:szCs w:val="20"/>
                <w:color w:val="auto"/>
                <w:w w:val="92"/>
              </w:rPr>
              <w:t>·   Play® and Power Play®</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Juice Monster®</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M3®</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Übermonster®</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5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00" w:type="dxa"/>
            <w:vAlign w:val="bottom"/>
          </w:tcPr>
          <w:p>
            <w:pPr>
              <w:ind w:left="100"/>
              <w:spacing w:after="0"/>
              <w:rPr>
                <w:sz w:val="20"/>
                <w:szCs w:val="20"/>
                <w:color w:val="auto"/>
              </w:rPr>
            </w:pPr>
            <w:r>
              <w:rPr>
                <w:rFonts w:ascii="Arial" w:cs="Arial" w:eastAsia="Arial" w:hAnsi="Arial"/>
                <w:sz w:val="20"/>
                <w:szCs w:val="20"/>
                <w:color w:val="auto"/>
              </w:rPr>
              <w:t>BU®</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BPM®</w:t>
            </w: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Monster Energy® brand energy drinks, which represented 92.5%, 93.9% and 93.2% of our net sales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2015, 2014 and 2013, respectively, primarily include the following:</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Kona Blend</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Lo-Carb Monster Energy®</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Loca Moca®</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Monster Assault®</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Mean Bean®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Juice Monster® Khaos®</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Vanilla Light</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Juice Monster® Ripper®</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Irish Blend®</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Juice Monster® Pipeline Punch™</w:t>
            </w:r>
          </w:p>
        </w:tc>
        <w:tc>
          <w:tcPr>
            <w:tcW w:w="940" w:type="dxa"/>
            <w:vAlign w:val="bottom"/>
          </w:tcPr>
          <w:p>
            <w:pPr>
              <w:ind w:left="780"/>
              <w:spacing w:after="0"/>
              <w:rPr>
                <w:sz w:val="20"/>
                <w:szCs w:val="20"/>
                <w:color w:val="auto"/>
              </w:rPr>
            </w:pPr>
            <w:r>
              <w:rPr>
                <w:rFonts w:ascii="Arial" w:cs="Arial" w:eastAsia="Arial" w:hAnsi="Arial"/>
                <w:sz w:val="20"/>
                <w:szCs w:val="20"/>
                <w:color w:val="auto"/>
              </w:rPr>
              <w:t>·</w:t>
            </w:r>
          </w:p>
        </w:tc>
        <w:tc>
          <w:tcPr>
            <w:tcW w:w="4380" w:type="dxa"/>
            <w:vAlign w:val="bottom"/>
          </w:tcPr>
          <w:p>
            <w:pPr>
              <w:ind w:left="120"/>
              <w:spacing w:after="0"/>
              <w:rPr>
                <w:sz w:val="20"/>
                <w:szCs w:val="20"/>
                <w:color w:val="auto"/>
              </w:rPr>
            </w:pPr>
            <w:r>
              <w:rPr>
                <w:rFonts w:ascii="Arial" w:cs="Arial" w:eastAsia="Arial" w:hAnsi="Arial"/>
                <w:sz w:val="20"/>
                <w:szCs w:val="20"/>
                <w:color w:val="auto"/>
              </w:rPr>
              <w:t>Java Monster® Cappuccino</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Energy® Absolutely Zero</w:t>
            </w:r>
          </w:p>
        </w:tc>
        <w:tc>
          <w:tcPr>
            <w:tcW w:w="940" w:type="dxa"/>
            <w:vAlign w:val="bottom"/>
          </w:tcPr>
          <w:p>
            <w:pPr>
              <w:ind w:left="780"/>
              <w:spacing w:after="0"/>
              <w:rPr>
                <w:sz w:val="20"/>
                <w:szCs w:val="20"/>
                <w:color w:val="auto"/>
              </w:rPr>
            </w:pPr>
            <w:r>
              <w:rPr>
                <w:rFonts w:ascii="Arial" w:cs="Arial" w:eastAsia="Arial" w:hAnsi="Arial"/>
                <w:sz w:val="20"/>
                <w:szCs w:val="20"/>
                <w:color w:val="auto"/>
              </w:rPr>
              <w:t>·</w:t>
            </w:r>
          </w:p>
        </w:tc>
        <w:tc>
          <w:tcPr>
            <w:tcW w:w="4380" w:type="dxa"/>
            <w:vAlign w:val="bottom"/>
          </w:tcPr>
          <w:p>
            <w:pPr>
              <w:ind w:left="120"/>
              <w:spacing w:after="0"/>
              <w:rPr>
                <w:sz w:val="20"/>
                <w:szCs w:val="20"/>
                <w:color w:val="auto"/>
              </w:rPr>
            </w:pPr>
            <w:r>
              <w:rPr>
                <w:rFonts w:ascii="Arial" w:cs="Arial" w:eastAsia="Arial" w:hAnsi="Arial"/>
                <w:sz w:val="20"/>
                <w:szCs w:val="20"/>
                <w:color w:val="auto"/>
              </w:rPr>
              <w:t>Mega Monster Energy®</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Monster Energy® Import</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w w:val="92"/>
              </w:rPr>
              <w:t>·   Monster Energy Extra Strength Nitrous Technology®</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Punch Monster® Baller’s Blend® (formerly Dub Edition)</w:t>
            </w:r>
          </w:p>
        </w:tc>
        <w:tc>
          <w:tcPr>
            <w:tcW w:w="94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20"/>
                <w:szCs w:val="20"/>
                <w:color w:val="auto"/>
              </w:rPr>
              <w:t>Super Dry™</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Punch Monster® Mad Dog (formerly Dub Edition)</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w w:val="92"/>
              </w:rPr>
              <w:t>·   Monster Energy Extra Strength Nitrous Technology®</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Rehab® Tea + Lemonade + Energy</w:t>
            </w:r>
          </w:p>
        </w:tc>
        <w:tc>
          <w:tcPr>
            <w:tcW w:w="94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20"/>
                <w:szCs w:val="20"/>
                <w:color w:val="auto"/>
              </w:rPr>
              <w:t>Anti-Gravity®</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Rehab® Raspberry Tea + Energy (formerly Rojo)</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M3® Monster Energy® Super Concentrate</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Rehab® Green Tea + Energy</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Monster Energy® Zero Ultra</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Rehab® Tea + Orangeade + Energy</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Monster Energy® Ultra Blue™</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Rehab® Tea + Pink Lemonade + Energy</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Monster Energy® Ultra Red™</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Rehab® Peach Tea + Energy</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Monster Energy® Ultra Black™</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Muscle Monster® Vanilla</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Monster Energy® Ultra Sunrise®</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Muscle Monster® Chocolate</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Monster Energy® Ultra Citron™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Muscle Monster® Strawberry</w:t>
            </w:r>
          </w:p>
        </w:tc>
        <w:tc>
          <w:tcPr>
            <w:tcW w:w="940" w:type="dxa"/>
            <w:vAlign w:val="bottom"/>
          </w:tcPr>
          <w:p>
            <w:pPr>
              <w:ind w:left="780"/>
              <w:spacing w:after="0"/>
              <w:rPr>
                <w:sz w:val="20"/>
                <w:szCs w:val="20"/>
                <w:color w:val="auto"/>
              </w:rPr>
            </w:pPr>
            <w:r>
              <w:rPr>
                <w:rFonts w:ascii="Arial" w:cs="Arial" w:eastAsia="Arial" w:hAnsi="Arial"/>
                <w:sz w:val="20"/>
                <w:szCs w:val="20"/>
                <w:color w:val="auto"/>
              </w:rPr>
              <w:t>·</w:t>
            </w:r>
          </w:p>
        </w:tc>
        <w:tc>
          <w:tcPr>
            <w:tcW w:w="4380" w:type="dxa"/>
            <w:vAlign w:val="bottom"/>
          </w:tcPr>
          <w:p>
            <w:pPr>
              <w:ind w:left="120"/>
              <w:spacing w:after="0"/>
              <w:rPr>
                <w:sz w:val="20"/>
                <w:szCs w:val="20"/>
                <w:color w:val="auto"/>
              </w:rPr>
            </w:pPr>
            <w:r>
              <w:rPr>
                <w:rFonts w:ascii="Arial" w:cs="Arial" w:eastAsia="Arial" w:hAnsi="Arial"/>
                <w:sz w:val="20"/>
                <w:szCs w:val="20"/>
                <w:color w:val="auto"/>
              </w:rPr>
              <w:t>Monster Energy® Unleaded®</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Muscle Monster® Banana</w:t>
            </w:r>
          </w:p>
        </w:tc>
        <w:tc>
          <w:tcPr>
            <w:tcW w:w="940" w:type="dxa"/>
            <w:vAlign w:val="bottom"/>
          </w:tcPr>
          <w:p>
            <w:pPr>
              <w:ind w:left="780"/>
              <w:spacing w:after="0"/>
              <w:rPr>
                <w:sz w:val="20"/>
                <w:szCs w:val="20"/>
                <w:color w:val="auto"/>
              </w:rPr>
            </w:pPr>
            <w:r>
              <w:rPr>
                <w:rFonts w:ascii="Arial" w:cs="Arial" w:eastAsia="Arial" w:hAnsi="Arial"/>
                <w:sz w:val="20"/>
                <w:szCs w:val="20"/>
                <w:color w:val="auto"/>
              </w:rPr>
              <w:t>·</w:t>
            </w:r>
          </w:p>
        </w:tc>
        <w:tc>
          <w:tcPr>
            <w:tcW w:w="4380" w:type="dxa"/>
            <w:vAlign w:val="bottom"/>
          </w:tcPr>
          <w:p>
            <w:pPr>
              <w:ind w:left="120"/>
              <w:spacing w:after="0"/>
              <w:rPr>
                <w:sz w:val="20"/>
                <w:szCs w:val="20"/>
                <w:color w:val="auto"/>
              </w:rPr>
            </w:pPr>
            <w:r>
              <w:rPr>
                <w:rFonts w:ascii="Arial" w:cs="Arial" w:eastAsia="Arial" w:hAnsi="Arial"/>
                <w:sz w:val="20"/>
                <w:szCs w:val="20"/>
                <w:color w:val="auto"/>
              </w:rPr>
              <w:t>Übermonster® Energy Brew™</w:t>
            </w:r>
          </w:p>
        </w:tc>
      </w:tr>
      <w:tr>
        <w:trPr>
          <w:trHeight w:val="246"/>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Monster Ghost™ M-100™</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Monster Energy® Valentino Rossi</w:t>
            </w:r>
          </w:p>
        </w:tc>
      </w:tr>
    </w:tbl>
    <w:p>
      <w:pPr>
        <w:ind w:left="360" w:hanging="287"/>
        <w:spacing w:after="0"/>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Monster Phantom™ M-100™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Overview</w:t>
      </w:r>
    </w:p>
    <w:p>
      <w:pPr>
        <w:sectPr>
          <w:pgSz w:w="11900" w:h="16838" w:orient="portrait"/>
          <w:cols w:equalWidth="0" w:num="1">
            <w:col w:w="11420"/>
          </w:cols>
          <w:pgMar w:left="240" w:top="122" w:right="239" w:bottom="85" w:gutter="0" w:footer="0" w:header="0"/>
        </w:sectPr>
      </w:pPr>
    </w:p>
    <w:bookmarkStart w:id="4" w:name="page5"/>
    <w:bookmarkEnd w:id="4"/>
    <w:p>
      <w:pPr>
        <w:jc w:val="both"/>
        <w:ind w:firstLine="648"/>
        <w:spacing w:after="0" w:line="244" w:lineRule="auto"/>
        <w:rPr>
          <w:sz w:val="20"/>
          <w:szCs w:val="20"/>
          <w:color w:val="auto"/>
        </w:rPr>
      </w:pPr>
      <w:r>
        <w:rPr>
          <w:rFonts w:ascii="Arial" w:cs="Arial" w:eastAsia="Arial" w:hAnsi="Arial"/>
          <w:sz w:val="20"/>
          <w:szCs w:val="20"/>
          <w:color w:val="auto"/>
        </w:rPr>
        <w:t>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 According to Beverage Marketing Corporation, domestic U.S. wholesale sales in 2015 for the “alternative” beverage category of the market are estimated at approximately $42.5 billion, representing an increase of approximately 9.6% over the estimated domestic U.S. wholesale sales in 2014 of approximately $38.8 billion.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the 1930s, Hubert Hansen and his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Hansen’s® trademark.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we acquired the Hansen’s® brand natural soda and apple juice business from CCC. Under our ownership, the Hansen’s® beverage business significantly expanded to include a wide range of beverages within the growing “alternative” beverage category including, in particular, energy drinks. In 1999, we acquired all of FJC’s rights to manufacture, sell and distribute fresh non-pasteurized juice products under the Hansen’s® trademark together with certain additional rights. In 2012, we changed our name from Hansen Natural Corporation to Monster Beverage Corporation. In 2015, as part of the TCCC Transaction, we acquired the Strategic Brands from TCCC and disposed of our non-energy drink business.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2015 Product Introductions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2015, we continued to expand our existing energy drink portfolio and further develop our distribution markets. During 2015, we introduced the following Monster Energy® brand energy drink products, in addition to the Strategic Brands acquired as part of the TCCC Transaction:</w:t>
      </w:r>
    </w:p>
    <w:p>
      <w:pPr>
        <w:spacing w:after="0" w:line="200" w:lineRule="exact"/>
        <w:rPr>
          <w:sz w:val="20"/>
          <w:szCs w:val="20"/>
          <w:color w:val="auto"/>
        </w:rPr>
      </w:pPr>
    </w:p>
    <w:p>
      <w:pPr>
        <w:ind w:left="600" w:hanging="359"/>
        <w:spacing w:after="0"/>
        <w:tabs>
          <w:tab w:leader="none" w:pos="60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Energy® Ultra Citron™, a carbonated energy drink which contains zero calories and zero sugar (January 2015).</w:t>
      </w:r>
    </w:p>
    <w:p>
      <w:pPr>
        <w:spacing w:after="0" w:line="15" w:lineRule="exact"/>
        <w:rPr>
          <w:rFonts w:ascii="Arial" w:cs="Arial" w:eastAsia="Arial" w:hAnsi="Arial"/>
          <w:sz w:val="20"/>
          <w:szCs w:val="20"/>
          <w:color w:val="auto"/>
        </w:rPr>
      </w:pPr>
    </w:p>
    <w:p>
      <w:pPr>
        <w:ind w:left="600" w:hanging="359"/>
        <w:spacing w:after="0"/>
        <w:tabs>
          <w:tab w:leader="none" w:pos="60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Rehab® Peach Tea + Energy (January 2015).</w:t>
      </w:r>
    </w:p>
    <w:p>
      <w:pPr>
        <w:ind w:left="600" w:hanging="359"/>
        <w:spacing w:after="0"/>
        <w:tabs>
          <w:tab w:leader="none" w:pos="600" w:val="left"/>
        </w:tabs>
        <w:numPr>
          <w:ilvl w:val="0"/>
          <w:numId w:val="7"/>
        </w:numPr>
        <w:rPr>
          <w:rFonts w:ascii="Arial" w:cs="Arial" w:eastAsia="Arial" w:hAnsi="Arial"/>
          <w:sz w:val="20"/>
          <w:szCs w:val="20"/>
          <w:color w:val="auto"/>
        </w:rPr>
      </w:pPr>
      <w:r>
        <w:rPr>
          <w:rFonts w:ascii="Arial" w:cs="Arial" w:eastAsia="Arial" w:hAnsi="Arial"/>
          <w:sz w:val="20"/>
          <w:szCs w:val="20"/>
          <w:color w:val="auto"/>
        </w:rPr>
        <w:t>Juice Monster® Pipeline Punch™ (July 2015).</w:t>
      </w:r>
    </w:p>
    <w:p>
      <w:pPr>
        <w:ind w:left="600" w:hanging="359"/>
        <w:spacing w:after="0"/>
        <w:tabs>
          <w:tab w:leader="none" w:pos="600" w:val="left"/>
        </w:tabs>
        <w:numPr>
          <w:ilvl w:val="0"/>
          <w:numId w:val="7"/>
        </w:numPr>
        <w:rPr>
          <w:rFonts w:ascii="Arial" w:cs="Arial" w:eastAsia="Arial" w:hAnsi="Arial"/>
          <w:sz w:val="20"/>
          <w:szCs w:val="20"/>
          <w:color w:val="auto"/>
        </w:rPr>
      </w:pPr>
      <w:r>
        <w:rPr>
          <w:rFonts w:ascii="Arial" w:cs="Arial" w:eastAsia="Arial" w:hAnsi="Arial"/>
          <w:sz w:val="20"/>
          <w:szCs w:val="20"/>
          <w:color w:val="auto"/>
        </w:rPr>
        <w:t>Muscle Monster® Banana (July 2015).</w:t>
      </w:r>
    </w:p>
    <w:p>
      <w:pPr>
        <w:ind w:left="600" w:hanging="359"/>
        <w:spacing w:after="0"/>
        <w:tabs>
          <w:tab w:leader="none" w:pos="60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Ghost™ M-100™, an exclusive limited time listing with a convenience customer (July 2015).</w:t>
      </w:r>
    </w:p>
    <w:p>
      <w:pPr>
        <w:ind w:left="600" w:hanging="359"/>
        <w:spacing w:after="0"/>
        <w:tabs>
          <w:tab w:leader="none" w:pos="60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Phantom™ M-100™, an exclusive limited time listing with certain convenience customers (July 2015).</w:t>
      </w:r>
    </w:p>
    <w:p>
      <w:pPr>
        <w:ind w:left="600" w:hanging="359"/>
        <w:spacing w:after="0"/>
        <w:tabs>
          <w:tab w:leader="none" w:pos="600" w:val="left"/>
        </w:tabs>
        <w:numPr>
          <w:ilvl w:val="0"/>
          <w:numId w:val="7"/>
        </w:numPr>
        <w:rPr>
          <w:rFonts w:ascii="Arial" w:cs="Arial" w:eastAsia="Arial" w:hAnsi="Arial"/>
          <w:sz w:val="20"/>
          <w:szCs w:val="20"/>
          <w:color w:val="auto"/>
        </w:rPr>
      </w:pPr>
      <w:r>
        <w:rPr>
          <w:rFonts w:ascii="Arial" w:cs="Arial" w:eastAsia="Arial" w:hAnsi="Arial"/>
          <w:sz w:val="20"/>
          <w:szCs w:val="20"/>
          <w:color w:val="auto"/>
        </w:rPr>
        <w:t>Monster Rehab® Raspberry Tea + Energy (August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2015 (other than those disposed of as part of the TCCC Transaction), either individually or in aggregate, did not have a material adverse impact on our financial position, results of operations or liquidity.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Finished Products Segment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Monster Energy® Brand Energy Drinks: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Monster Energy® Drinks </w:t>
      </w:r>
      <w:r>
        <w:rPr>
          <w:rFonts w:ascii="Arial" w:cs="Arial" w:eastAsia="Arial" w:hAnsi="Arial"/>
          <w:sz w:val="19"/>
          <w:szCs w:val="19"/>
          <w:color w:val="auto"/>
        </w:rPr>
        <w:t>- a line of carbonated energy drinks. Our Monster Energy® drinks contain vitamins, minerals, nutrients, herbs</w:t>
      </w:r>
      <w:r>
        <w:rPr>
          <w:rFonts w:ascii="Arial" w:cs="Arial" w:eastAsia="Arial" w:hAnsi="Arial"/>
          <w:sz w:val="19"/>
          <w:szCs w:val="19"/>
          <w:i w:val="1"/>
          <w:iCs w:val="1"/>
          <w:color w:val="auto"/>
        </w:rPr>
        <w:t xml:space="preserve"> </w:t>
      </w:r>
      <w:r>
        <w:rPr>
          <w:rFonts w:ascii="Arial" w:cs="Arial" w:eastAsia="Arial" w:hAnsi="Arial"/>
          <w:sz w:val="19"/>
          <w:szCs w:val="19"/>
          <w:color w:val="auto"/>
        </w:rPr>
        <w:t>and other dietary ingredients (collectively, “dietary ingredients”) and are marketed through our full service distributor network. We offer the following energy drinks under the Monster Energy® drink product line: Monster Energy®, Lo-Carb Monster Energy®, Monster Assault®, Juice Monster® Khaos®, Juice Monster® Ripper®, Juice Monster® Pipeline Punch™, Monster Energy® Absolutely Zero, Monster Energy® Import, Punch Monster® Baller’s Blend®, Punch Monster® Mad Dog, Monster Ghost™ M-100™, Monster Phantom™ M-100™, Mega Monster Energy®, M3® Monster Energy® Super Concentrate energy drinks, Übermonster® Energy Brew™, Monster Energy® Zero Ultra, Monster Energy® Ultra Blue™, Monster Energy® Ultra Red™, Monster Energy® Ultra Black™, Monster Energy® Ultra Sunrise®, Monster Energy® Ultra Citron™, Monster Energy® Unleaded® and Monster Energy® Valentino Rossi.</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Java Monster</w:t>
      </w:r>
      <w:r>
        <w:rPr>
          <w:rFonts w:ascii="Arial" w:cs="Arial" w:eastAsia="Arial" w:hAnsi="Arial"/>
          <w:sz w:val="19"/>
          <w:szCs w:val="19"/>
          <w:color w:val="auto"/>
        </w:rPr>
        <w:t>®</w:t>
      </w:r>
      <w:r>
        <w:rPr>
          <w:rFonts w:ascii="Arial" w:cs="Arial" w:eastAsia="Arial" w:hAnsi="Arial"/>
          <w:sz w:val="19"/>
          <w:szCs w:val="19"/>
          <w:i w:val="1"/>
          <w:iCs w:val="1"/>
          <w:color w:val="auto"/>
        </w:rPr>
        <w:t xml:space="preserve"> Coffee + Energy Drinks </w:t>
      </w:r>
      <w:r>
        <w:rPr>
          <w:rFonts w:ascii="Arial" w:cs="Arial" w:eastAsia="Arial" w:hAnsi="Arial"/>
          <w:sz w:val="19"/>
          <w:szCs w:val="19"/>
          <w:color w:val="auto"/>
        </w:rPr>
        <w:t>- a line of non-carbonated dairy based coffee + energy drinks. We offer the following coffee +</w:t>
      </w:r>
      <w:r>
        <w:rPr>
          <w:rFonts w:ascii="Arial" w:cs="Arial" w:eastAsia="Arial" w:hAnsi="Arial"/>
          <w:sz w:val="19"/>
          <w:szCs w:val="19"/>
          <w:i w:val="1"/>
          <w:iCs w:val="1"/>
          <w:color w:val="auto"/>
        </w:rPr>
        <w:t xml:space="preserve"> </w:t>
      </w:r>
      <w:r>
        <w:rPr>
          <w:rFonts w:ascii="Arial" w:cs="Arial" w:eastAsia="Arial" w:hAnsi="Arial"/>
          <w:sz w:val="19"/>
          <w:szCs w:val="19"/>
          <w:color w:val="auto"/>
        </w:rPr>
        <w:t>energy drinks under the Java Monster® product line: Java Monster® Kona Blend, Java Monster® Loca Moca®, Java Monster® Mean Bean®, Java Monster® Vanilla Light, Java Monster® Irish Blend® and Java Monster® Cappuccino.</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Muscle Monster</w:t>
      </w:r>
      <w:r>
        <w:rPr>
          <w:rFonts w:ascii="Arial" w:cs="Arial" w:eastAsia="Arial" w:hAnsi="Arial"/>
          <w:sz w:val="20"/>
          <w:szCs w:val="20"/>
          <w:color w:val="auto"/>
        </w:rPr>
        <w:t>®</w:t>
      </w:r>
      <w:r>
        <w:rPr>
          <w:rFonts w:ascii="Arial" w:cs="Arial" w:eastAsia="Arial" w:hAnsi="Arial"/>
          <w:sz w:val="20"/>
          <w:szCs w:val="20"/>
          <w:i w:val="1"/>
          <w:iCs w:val="1"/>
          <w:color w:val="auto"/>
        </w:rPr>
        <w:t xml:space="preserve"> Energy Shakes </w:t>
      </w:r>
      <w:r>
        <w:rPr>
          <w:rFonts w:ascii="Arial" w:cs="Arial" w:eastAsia="Arial" w:hAnsi="Arial"/>
          <w:sz w:val="20"/>
          <w:szCs w:val="20"/>
          <w:color w:val="auto"/>
        </w:rPr>
        <w:t>– a line of non-carbonated energy shakes containing 25-grams of protein. We offer the following</w:t>
      </w:r>
      <w:r>
        <w:rPr>
          <w:rFonts w:ascii="Arial" w:cs="Arial" w:eastAsia="Arial" w:hAnsi="Arial"/>
          <w:sz w:val="20"/>
          <w:szCs w:val="20"/>
          <w:i w:val="1"/>
          <w:iCs w:val="1"/>
          <w:color w:val="auto"/>
        </w:rPr>
        <w:t xml:space="preserve"> </w:t>
      </w:r>
      <w:r>
        <w:rPr>
          <w:rFonts w:ascii="Arial" w:cs="Arial" w:eastAsia="Arial" w:hAnsi="Arial"/>
          <w:sz w:val="20"/>
          <w:szCs w:val="20"/>
          <w:color w:val="auto"/>
        </w:rPr>
        <w:t>energy shakes under the Muscle Monster® Energy Shake product line: Vanilla, Chocolate, Strawberry and Banana.</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Monster Energy Extra Strength Nitrous Technology</w:t>
      </w:r>
      <w:r>
        <w:rPr>
          <w:rFonts w:ascii="Arial" w:cs="Arial" w:eastAsia="Arial" w:hAnsi="Arial"/>
          <w:sz w:val="20"/>
          <w:szCs w:val="20"/>
          <w:color w:val="auto"/>
        </w:rPr>
        <w:t>®</w:t>
      </w:r>
      <w:r>
        <w:rPr>
          <w:rFonts w:ascii="Arial" w:cs="Arial" w:eastAsia="Arial" w:hAnsi="Arial"/>
          <w:sz w:val="20"/>
          <w:szCs w:val="20"/>
          <w:i w:val="1"/>
          <w:iCs w:val="1"/>
          <w:color w:val="auto"/>
        </w:rPr>
        <w:t xml:space="preserve"> Energy Drinks </w:t>
      </w:r>
      <w:r>
        <w:rPr>
          <w:rFonts w:ascii="Arial" w:cs="Arial" w:eastAsia="Arial" w:hAnsi="Arial"/>
          <w:sz w:val="20"/>
          <w:szCs w:val="20"/>
          <w:color w:val="auto"/>
        </w:rPr>
        <w:t>- a line of carbonated energy drinks containing nitrous oxide. We</w:t>
      </w:r>
      <w:r>
        <w:rPr>
          <w:rFonts w:ascii="Arial" w:cs="Arial" w:eastAsia="Arial" w:hAnsi="Arial"/>
          <w:sz w:val="20"/>
          <w:szCs w:val="20"/>
          <w:i w:val="1"/>
          <w:iCs w:val="1"/>
          <w:color w:val="auto"/>
        </w:rPr>
        <w:t xml:space="preserve"> </w:t>
      </w:r>
      <w:r>
        <w:rPr>
          <w:rFonts w:ascii="Arial" w:cs="Arial" w:eastAsia="Arial" w:hAnsi="Arial"/>
          <w:sz w:val="20"/>
          <w:szCs w:val="20"/>
          <w:color w:val="auto"/>
        </w:rPr>
        <w:t>offer the following energy drinks under the Monster Energy Extra Strength Nitrous Technology® product line: Super Dry™ and Anti Gravity®.</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Monster Rehab® Tea + Energy Drinks </w:t>
      </w:r>
      <w:r>
        <w:rPr>
          <w:rFonts w:ascii="Arial" w:cs="Arial" w:eastAsia="Arial" w:hAnsi="Arial"/>
          <w:sz w:val="18"/>
          <w:szCs w:val="18"/>
          <w:color w:val="auto"/>
        </w:rPr>
        <w:t>- a line of non-carbonated energy drinks with electrolytes. We offer the following tea + energy</w:t>
      </w:r>
      <w:r>
        <w:rPr>
          <w:rFonts w:ascii="Arial" w:cs="Arial" w:eastAsia="Arial" w:hAnsi="Arial"/>
          <w:sz w:val="18"/>
          <w:szCs w:val="18"/>
          <w:i w:val="1"/>
          <w:iCs w:val="1"/>
          <w:color w:val="auto"/>
        </w:rPr>
        <w:t xml:space="preserve"> </w:t>
      </w:r>
      <w:r>
        <w:rPr>
          <w:rFonts w:ascii="Arial" w:cs="Arial" w:eastAsia="Arial" w:hAnsi="Arial"/>
          <w:sz w:val="18"/>
          <w:szCs w:val="18"/>
          <w:color w:val="auto"/>
        </w:rPr>
        <w:t>drinks under the Monster Rehab® drink line: Monster Rehab® Tea + Lemonade + Energy, Monster Rehab® Raspberry Tea + Energy, Monster</w:t>
      </w:r>
    </w:p>
    <w:p>
      <w:pPr>
        <w:sectPr>
          <w:pgSz w:w="11900" w:h="16838" w:orient="portrait"/>
          <w:cols w:equalWidth="0" w:num="1">
            <w:col w:w="11420"/>
          </w:cols>
          <w:pgMar w:left="240" w:top="122" w:right="239" w:bottom="0" w:gutter="0" w:footer="0" w:header="0"/>
        </w:sectPr>
      </w:pPr>
    </w:p>
    <w:bookmarkStart w:id="5" w:name="page6"/>
    <w:bookmarkEnd w:id="5"/>
    <w:p>
      <w:pPr>
        <w:jc w:val="both"/>
        <w:ind w:right="20"/>
        <w:spacing w:after="0" w:line="262" w:lineRule="auto"/>
        <w:rPr>
          <w:sz w:val="20"/>
          <w:szCs w:val="20"/>
          <w:color w:val="auto"/>
        </w:rPr>
      </w:pPr>
      <w:r>
        <w:rPr>
          <w:rFonts w:ascii="Arial" w:cs="Arial" w:eastAsia="Arial" w:hAnsi="Arial"/>
          <w:sz w:val="20"/>
          <w:szCs w:val="20"/>
          <w:color w:val="auto"/>
        </w:rPr>
        <w:t>Rehab® Green Tea + Energy, Monster Rehab® Tea + Orangeade + Energy, Monster Rehab® Tea + Pink Lemonade + Energy and Monster Rehab Peach® Tea + Energy.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Concentrate Segment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Strategic Brands Energy Drinks: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BU® </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a line of carbonated energy drinks. We offer the following energy drinks under the BU</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Original.</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Burn® </w:t>
      </w:r>
      <w:r>
        <w:rPr>
          <w:rFonts w:ascii="Arial" w:cs="Arial" w:eastAsia="Arial" w:hAnsi="Arial"/>
          <w:sz w:val="20"/>
          <w:szCs w:val="20"/>
          <w:color w:val="auto"/>
        </w:rPr>
        <w:t>- a line of carbonated energy drinks. We offer the following energy drinks under the Burn® product line: Original, Zero, Berry,</w:t>
      </w:r>
      <w:r>
        <w:rPr>
          <w:rFonts w:ascii="Arial" w:cs="Arial" w:eastAsia="Arial" w:hAnsi="Arial"/>
          <w:sz w:val="20"/>
          <w:szCs w:val="20"/>
          <w:i w:val="1"/>
          <w:iCs w:val="1"/>
          <w:color w:val="auto"/>
        </w:rPr>
        <w:t xml:space="preserve"> </w:t>
      </w:r>
      <w:r>
        <w:rPr>
          <w:rFonts w:ascii="Arial" w:cs="Arial" w:eastAsia="Arial" w:hAnsi="Arial"/>
          <w:sz w:val="20"/>
          <w:szCs w:val="20"/>
          <w:color w:val="auto"/>
        </w:rPr>
        <w:t>Lemon and Blue Refresh.</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BPM® </w:t>
      </w:r>
      <w:r>
        <w:rPr>
          <w:rFonts w:ascii="Arial" w:cs="Arial" w:eastAsia="Arial" w:hAnsi="Arial"/>
          <w:sz w:val="18"/>
          <w:szCs w:val="18"/>
          <w:color w:val="auto"/>
        </w:rPr>
        <w:t>- a line of carbonated energy drinks. We offer the following energy drinks under the BPM® product line: Focus and Hydrate.</w:t>
      </w:r>
    </w:p>
    <w:p>
      <w:pPr>
        <w:spacing w:after="0" w:line="2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Full Throttle® </w:t>
      </w:r>
      <w:r>
        <w:rPr>
          <w:rFonts w:ascii="Arial" w:cs="Arial" w:eastAsia="Arial" w:hAnsi="Arial"/>
          <w:sz w:val="20"/>
          <w:szCs w:val="20"/>
          <w:color w:val="auto"/>
        </w:rPr>
        <w:t>- a line of carbonated energy drinks. We offer the following energy drinks under the Full Throttle® product line: Citrus,</w:t>
      </w:r>
      <w:r>
        <w:rPr>
          <w:rFonts w:ascii="Arial" w:cs="Arial" w:eastAsia="Arial" w:hAnsi="Arial"/>
          <w:sz w:val="20"/>
          <w:szCs w:val="20"/>
          <w:i w:val="1"/>
          <w:iCs w:val="1"/>
          <w:color w:val="auto"/>
        </w:rPr>
        <w:t xml:space="preserve"> </w:t>
      </w:r>
      <w:r>
        <w:rPr>
          <w:rFonts w:ascii="Arial" w:cs="Arial" w:eastAsia="Arial" w:hAnsi="Arial"/>
          <w:sz w:val="20"/>
          <w:szCs w:val="20"/>
          <w:color w:val="auto"/>
        </w:rPr>
        <w:t>Agave and Berry.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Gladiator® - </w:t>
      </w:r>
      <w:r>
        <w:rPr>
          <w:rFonts w:ascii="Arial" w:cs="Arial" w:eastAsia="Arial" w:hAnsi="Arial"/>
          <w:sz w:val="19"/>
          <w:szCs w:val="19"/>
          <w:color w:val="auto"/>
        </w:rPr>
        <w:t>a line of carbonated energy drinks. We offer the following energy drinks under the Gladiator® product line: Original.</w:t>
      </w:r>
    </w:p>
    <w:p>
      <w:pPr>
        <w:spacing w:after="0" w:line="2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Mother® - </w:t>
      </w:r>
      <w:r>
        <w:rPr>
          <w:rFonts w:ascii="Arial" w:cs="Arial" w:eastAsia="Arial" w:hAnsi="Arial"/>
          <w:sz w:val="20"/>
          <w:szCs w:val="20"/>
          <w:color w:val="auto"/>
        </w:rPr>
        <w:t>a line of carbonated energy drinks. We offer the following energy drinks under the Mother</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Original, Sugar</w:t>
      </w:r>
      <w:r>
        <w:rPr>
          <w:rFonts w:ascii="Arial" w:cs="Arial" w:eastAsia="Arial" w:hAnsi="Arial"/>
          <w:sz w:val="20"/>
          <w:szCs w:val="20"/>
          <w:i w:val="1"/>
          <w:iCs w:val="1"/>
          <w:color w:val="auto"/>
        </w:rPr>
        <w:t xml:space="preserve"> </w:t>
      </w:r>
      <w:r>
        <w:rPr>
          <w:rFonts w:ascii="Arial" w:cs="Arial" w:eastAsia="Arial" w:hAnsi="Arial"/>
          <w:sz w:val="20"/>
          <w:szCs w:val="20"/>
          <w:color w:val="auto"/>
        </w:rPr>
        <w:t>Free, Frosty Berry, Green Storm, Surge Orange and Revive.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Nalu® </w:t>
      </w:r>
      <w:r>
        <w:rPr>
          <w:rFonts w:ascii="Arial" w:cs="Arial" w:eastAsia="Arial" w:hAnsi="Arial"/>
          <w:sz w:val="18"/>
          <w:szCs w:val="18"/>
          <w:color w:val="auto"/>
        </w:rPr>
        <w:t>- a line of carbonated energy drinks. We offer the following energy drinks under the Nalu</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line: Original and Exotic.</w:t>
      </w:r>
    </w:p>
    <w:p>
      <w:pPr>
        <w:spacing w:after="0" w:line="2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NOS® </w:t>
      </w:r>
      <w:r>
        <w:rPr>
          <w:rFonts w:ascii="Arial" w:cs="Arial" w:eastAsia="Arial" w:hAnsi="Arial"/>
          <w:sz w:val="20"/>
          <w:szCs w:val="20"/>
          <w:color w:val="auto"/>
        </w:rPr>
        <w:t>- a line of carbonated energy drinks. We offer the following energy drinks under the NOS</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Original, Original</w:t>
      </w:r>
      <w:r>
        <w:rPr>
          <w:rFonts w:ascii="Arial" w:cs="Arial" w:eastAsia="Arial" w:hAnsi="Arial"/>
          <w:sz w:val="20"/>
          <w:szCs w:val="20"/>
          <w:i w:val="1"/>
          <w:iCs w:val="1"/>
          <w:color w:val="auto"/>
        </w:rPr>
        <w:t xml:space="preserve"> </w:t>
      </w:r>
      <w:r>
        <w:rPr>
          <w:rFonts w:ascii="Arial" w:cs="Arial" w:eastAsia="Arial" w:hAnsi="Arial"/>
          <w:sz w:val="20"/>
          <w:szCs w:val="20"/>
          <w:color w:val="auto"/>
        </w:rPr>
        <w:t>Zero, Charged Citrus, Charged Citrus Zero, Grape and Loaded Cherry.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Play® and Power Play® - </w:t>
      </w:r>
      <w:r>
        <w:rPr>
          <w:rFonts w:ascii="Arial" w:cs="Arial" w:eastAsia="Arial" w:hAnsi="Arial"/>
          <w:sz w:val="20"/>
          <w:szCs w:val="20"/>
          <w:color w:val="auto"/>
        </w:rPr>
        <w:t>a line of carbonated energy drinks. We offer the following energy drinks under the Play</w:t>
      </w:r>
      <w:r>
        <w:rPr>
          <w:rFonts w:ascii="Arial" w:cs="Arial" w:eastAsia="Arial" w:hAnsi="Arial"/>
          <w:sz w:val="20"/>
          <w:szCs w:val="20"/>
          <w:i w:val="1"/>
          <w:iCs w:val="1"/>
          <w:color w:val="auto"/>
        </w:rPr>
        <w:t xml:space="preserve">® </w:t>
      </w:r>
      <w:r>
        <w:rPr>
          <w:rFonts w:ascii="Arial" w:cs="Arial" w:eastAsia="Arial" w:hAnsi="Arial"/>
          <w:sz w:val="20"/>
          <w:szCs w:val="20"/>
          <w:color w:val="auto"/>
        </w:rPr>
        <w:t>and Power Play</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Original, Light, Dare and Forge.</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Relentless® - </w:t>
      </w:r>
      <w:r>
        <w:rPr>
          <w:rFonts w:ascii="Arial" w:cs="Arial" w:eastAsia="Arial" w:hAnsi="Arial"/>
          <w:sz w:val="20"/>
          <w:szCs w:val="20"/>
          <w:color w:val="auto"/>
        </w:rPr>
        <w:t>a line of carbonated energy drinks. We offer the following energy drinks under the Relentless</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Origin,</w:t>
      </w:r>
      <w:r>
        <w:rPr>
          <w:rFonts w:ascii="Arial" w:cs="Arial" w:eastAsia="Arial" w:hAnsi="Arial"/>
          <w:sz w:val="20"/>
          <w:szCs w:val="20"/>
          <w:i w:val="1"/>
          <w:iCs w:val="1"/>
          <w:color w:val="auto"/>
        </w:rPr>
        <w:t xml:space="preserve"> </w:t>
      </w:r>
      <w:r>
        <w:rPr>
          <w:rFonts w:ascii="Arial" w:cs="Arial" w:eastAsia="Arial" w:hAnsi="Arial"/>
          <w:sz w:val="20"/>
          <w:szCs w:val="20"/>
          <w:color w:val="auto"/>
        </w:rPr>
        <w:t>Origin Ultra, Apple Kiwi, Lemon Ice and Cherry.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Samurai® - </w:t>
      </w:r>
      <w:r>
        <w:rPr>
          <w:rFonts w:ascii="Arial" w:cs="Arial" w:eastAsia="Arial" w:hAnsi="Arial"/>
          <w:sz w:val="18"/>
          <w:szCs w:val="18"/>
          <w:color w:val="auto"/>
        </w:rPr>
        <w:t>a line of carbonated energy drinks. We offer the following energy drinks under the Samurai® product line: Strawberry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Fruity.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Ultra® - </w:t>
      </w:r>
      <w:r>
        <w:rPr>
          <w:rFonts w:ascii="Arial" w:cs="Arial" w:eastAsia="Arial" w:hAnsi="Arial"/>
          <w:sz w:val="18"/>
          <w:szCs w:val="18"/>
          <w:color w:val="auto"/>
        </w:rPr>
        <w:t>a line of carbonated energy drinks. We offer the following energy drinks under the Ultra</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line: Original and Orange.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Other Segment (sales through June 12, 2015)</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part of the TCCC Transaction, we transferred all of our rights in and to the following products to TCCC with the exception of Hansen’s® and Blue Sky® energy drinks, which were discontinued.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Peace Tea® Iced Teas and Juice Drinks </w:t>
      </w:r>
      <w:r>
        <w:rPr>
          <w:rFonts w:ascii="Arial" w:cs="Arial" w:eastAsia="Arial" w:hAnsi="Arial"/>
          <w:sz w:val="20"/>
          <w:szCs w:val="20"/>
          <w:color w:val="auto"/>
        </w:rPr>
        <w:t>- a line of ready-to-drink iced teas and juice drinks.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Hansen’s® Brand Sodas - </w:t>
      </w:r>
      <w:r>
        <w:rPr>
          <w:rFonts w:ascii="Arial" w:cs="Arial" w:eastAsia="Arial" w:hAnsi="Arial"/>
          <w:sz w:val="19"/>
          <w:szCs w:val="19"/>
          <w:color w:val="auto"/>
        </w:rPr>
        <w:t>Hansen’s® brand sodas have been a leading natural soda brand on the West Coast of the United States for</w:t>
      </w:r>
      <w:r>
        <w:rPr>
          <w:rFonts w:ascii="Arial" w:cs="Arial" w:eastAsia="Arial" w:hAnsi="Arial"/>
          <w:sz w:val="19"/>
          <w:szCs w:val="19"/>
          <w:i w:val="1"/>
          <w:iCs w:val="1"/>
          <w:color w:val="auto"/>
        </w:rPr>
        <w:t xml:space="preserve"> </w:t>
      </w:r>
      <w:r>
        <w:rPr>
          <w:rFonts w:ascii="Arial" w:cs="Arial" w:eastAsia="Arial" w:hAnsi="Arial"/>
          <w:sz w:val="19"/>
          <w:szCs w:val="19"/>
          <w:color w:val="auto"/>
        </w:rPr>
        <w:t>more than 35 years and are made with natural flavors. Hansen’s® brand sodas, sweetened with cane sugar, and Hansen’s® Diet Sodas, sweetened with Splenda® no calorie sweetener and Acesulfame-K, contain no preservatives, sodium, or caffeine.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Blue Sky</w:t>
      </w:r>
      <w:r>
        <w:rPr>
          <w:rFonts w:ascii="Arial" w:cs="Arial" w:eastAsia="Arial" w:hAnsi="Arial"/>
          <w:sz w:val="20"/>
          <w:szCs w:val="20"/>
          <w:color w:val="auto"/>
        </w:rPr>
        <w:t>®</w:t>
      </w:r>
      <w:r>
        <w:rPr>
          <w:rFonts w:ascii="Arial" w:cs="Arial" w:eastAsia="Arial" w:hAnsi="Arial"/>
          <w:sz w:val="20"/>
          <w:szCs w:val="20"/>
          <w:i w:val="1"/>
          <w:iCs w:val="1"/>
          <w:color w:val="auto"/>
        </w:rPr>
        <w:t xml:space="preserve"> Products - </w:t>
      </w:r>
      <w:r>
        <w:rPr>
          <w:rFonts w:ascii="Arial" w:cs="Arial" w:eastAsia="Arial" w:hAnsi="Arial"/>
          <w:sz w:val="20"/>
          <w:szCs w:val="20"/>
          <w:color w:val="auto"/>
        </w:rPr>
        <w:t>Blue Sky® products contain no preservatives, artificial sweeteners or caffeine (other than our Blue Sky® energy</w:t>
      </w:r>
      <w:r>
        <w:rPr>
          <w:rFonts w:ascii="Arial" w:cs="Arial" w:eastAsia="Arial" w:hAnsi="Arial"/>
          <w:sz w:val="20"/>
          <w:szCs w:val="20"/>
          <w:i w:val="1"/>
          <w:iCs w:val="1"/>
          <w:color w:val="auto"/>
        </w:rPr>
        <w:t xml:space="preserve"> </w:t>
      </w:r>
      <w:r>
        <w:rPr>
          <w:rFonts w:ascii="Arial" w:cs="Arial" w:eastAsia="Arial" w:hAnsi="Arial"/>
          <w:sz w:val="20"/>
          <w:szCs w:val="20"/>
          <w:color w:val="auto"/>
        </w:rPr>
        <w:t>drinks) and are made with natural flavors.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Hansen’s</w:t>
      </w:r>
      <w:r>
        <w:rPr>
          <w:rFonts w:ascii="Arial" w:cs="Arial" w:eastAsia="Arial" w:hAnsi="Arial"/>
          <w:sz w:val="20"/>
          <w:szCs w:val="20"/>
          <w:color w:val="auto"/>
        </w:rPr>
        <w:t>®</w:t>
      </w:r>
      <w:r>
        <w:rPr>
          <w:rFonts w:ascii="Arial" w:cs="Arial" w:eastAsia="Arial" w:hAnsi="Arial"/>
          <w:sz w:val="20"/>
          <w:szCs w:val="20"/>
          <w:i w:val="1"/>
          <w:iCs w:val="1"/>
          <w:color w:val="auto"/>
        </w:rPr>
        <w:t xml:space="preserve"> Energy Drinks - </w:t>
      </w:r>
      <w:r>
        <w:rPr>
          <w:rFonts w:ascii="Arial" w:cs="Arial" w:eastAsia="Arial" w:hAnsi="Arial"/>
          <w:sz w:val="20"/>
          <w:szCs w:val="20"/>
          <w:color w:val="auto"/>
        </w:rPr>
        <w:t>Hansen’s® Energy Drinks competed in the “functional” beverage category, namely, beverages that provide</w:t>
      </w:r>
      <w:r>
        <w:rPr>
          <w:rFonts w:ascii="Arial" w:cs="Arial" w:eastAsia="Arial" w:hAnsi="Arial"/>
          <w:sz w:val="20"/>
          <w:szCs w:val="20"/>
          <w:i w:val="1"/>
          <w:iCs w:val="1"/>
          <w:color w:val="auto"/>
        </w:rPr>
        <w:t xml:space="preserve"> </w:t>
      </w:r>
      <w:r>
        <w:rPr>
          <w:rFonts w:ascii="Arial" w:cs="Arial" w:eastAsia="Arial" w:hAnsi="Arial"/>
          <w:sz w:val="20"/>
          <w:szCs w:val="20"/>
          <w:color w:val="auto"/>
        </w:rPr>
        <w:t>a benefit in addition to simply delivering refreshment.</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Hansen’s® Juice Products - </w:t>
      </w:r>
      <w:r>
        <w:rPr>
          <w:rFonts w:ascii="Arial" w:cs="Arial" w:eastAsia="Arial" w:hAnsi="Arial"/>
          <w:sz w:val="20"/>
          <w:szCs w:val="20"/>
          <w:color w:val="auto"/>
        </w:rPr>
        <w:t>The juice product line contains 100% juice and 120% of the United States Recommended Daily</w:t>
      </w:r>
      <w:r>
        <w:rPr>
          <w:rFonts w:ascii="Arial" w:cs="Arial" w:eastAsia="Arial" w:hAnsi="Arial"/>
          <w:sz w:val="20"/>
          <w:szCs w:val="20"/>
          <w:i w:val="1"/>
          <w:iCs w:val="1"/>
          <w:color w:val="auto"/>
        </w:rPr>
        <w:t xml:space="preserve"> </w:t>
      </w:r>
      <w:r>
        <w:rPr>
          <w:rFonts w:ascii="Arial" w:cs="Arial" w:eastAsia="Arial" w:hAnsi="Arial"/>
          <w:sz w:val="20"/>
          <w:szCs w:val="20"/>
          <w:color w:val="auto"/>
        </w:rPr>
        <w:t>Allowances for vitamin C.</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Hansen’s® Aseptic Juices – </w:t>
      </w:r>
      <w:r>
        <w:rPr>
          <w:rFonts w:ascii="Arial" w:cs="Arial" w:eastAsia="Arial" w:hAnsi="Arial"/>
          <w:sz w:val="20"/>
          <w:szCs w:val="20"/>
          <w:color w:val="auto"/>
        </w:rPr>
        <w:t>The line of aseptically packed boxed juice products, includes our dual-branded multi-vitamin 100% juice</w:t>
      </w:r>
      <w:r>
        <w:rPr>
          <w:rFonts w:ascii="Arial" w:cs="Arial" w:eastAsia="Arial" w:hAnsi="Arial"/>
          <w:sz w:val="20"/>
          <w:szCs w:val="20"/>
          <w:i w:val="1"/>
          <w:iCs w:val="1"/>
          <w:color w:val="auto"/>
        </w:rPr>
        <w:t xml:space="preserve"> </w:t>
      </w:r>
      <w:r>
        <w:rPr>
          <w:rFonts w:ascii="Arial" w:cs="Arial" w:eastAsia="Arial" w:hAnsi="Arial"/>
          <w:sz w:val="20"/>
          <w:szCs w:val="20"/>
          <w:color w:val="auto"/>
        </w:rPr>
        <w:t>line, which is sold in conjunction with Costco Wholesale Corporation.</w:t>
      </w:r>
    </w:p>
    <w:p>
      <w:pPr>
        <w:sectPr>
          <w:pgSz w:w="11900" w:h="16838" w:orient="portrait"/>
          <w:cols w:equalWidth="0" w:num="1">
            <w:col w:w="11420"/>
          </w:cols>
          <w:pgMar w:left="240" w:top="121" w:right="239" w:bottom="40" w:gutter="0" w:footer="0" w:header="0"/>
        </w:sectPr>
      </w:pPr>
    </w:p>
    <w:bookmarkStart w:id="6" w:name="page7"/>
    <w:bookmarkEnd w:id="6"/>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Hubert’s® Lemonades - </w:t>
      </w:r>
      <w:r>
        <w:rPr>
          <w:rFonts w:ascii="Arial" w:cs="Arial" w:eastAsia="Arial" w:hAnsi="Arial"/>
          <w:sz w:val="20"/>
          <w:szCs w:val="20"/>
          <w:color w:val="auto"/>
        </w:rPr>
        <w:t>Hubert’s® Lemonade is a line of premium ready-to-drink lemonades available in a variety of flavors.</w:t>
      </w:r>
      <w:r>
        <w:rPr>
          <w:rFonts w:ascii="Arial" w:cs="Arial" w:eastAsia="Arial" w:hAnsi="Arial"/>
          <w:sz w:val="20"/>
          <w:szCs w:val="20"/>
          <w:i w:val="1"/>
          <w:iCs w:val="1"/>
          <w:color w:val="auto"/>
        </w:rPr>
        <w:t xml:space="preserve"> </w:t>
      </w:r>
      <w:r>
        <w:rPr>
          <w:rFonts w:ascii="Arial" w:cs="Arial" w:eastAsia="Arial" w:hAnsi="Arial"/>
          <w:sz w:val="20"/>
          <w:szCs w:val="20"/>
          <w:color w:val="auto"/>
        </w:rPr>
        <w:t>Hubert’s® Lemonade is sweetened with cane sugar and stevia leaf extract and contains no preservatives, artificial sweeteners, artificial flavors or caffeine.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Products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continue to evaluate and, where considered appropriate, introduce additional flavors and types of beverages to complement our existing product lines. We may also evaluate, and where considered appropriate, introduce additional types of consumer products we consider are complementary to our existing products and/or to which our brand names are able to add value. Under the terms of the TCCC Transaction, we have agreed, subject to certain exceptions, not to compete with TCCC in non-alcoholic ready-to-drink beverages, other than the energy drink category.</w:t>
      </w:r>
    </w:p>
    <w:p>
      <w:pPr>
        <w:spacing w:after="0" w:line="2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also develop and supply, on a limited exclusive basis, selected beverages in different formats to a limited number of customers, with the objective of solidifying and/or enhancing our relationship with those customers.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Packaging</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package our products in a variety of different package types and sizes including, but not limited to, aluminum cans, aluminum Cap Cans, sleek aluminum cans, aluminum cans with resealable ends and glass bottles. In addition to these packages, our bottlers package certain of our Strategic Brands in polyethylene terephthalate (PET) plastic bottles.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Manufacture and Distribution</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do not directly manufacture our products, but instead outsource the manufacturing process to third party bottlers and contract packers.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For our Finished Products segment, we purchase concentrates, sweeteners, juices, flavors, dietary ingredients, cans, bottles, caps, labels, trays, boxes and other ingredients for our beverage products from our suppliers, which are delivered to our various third party bottlers and co-packers. In some cases, certain common supplies may be purchased by our various third party bottlers and co-packers. Depending on the product, the third party bottlers or packers add filtered water and/or other ingredients (including dietary ingredients) for the manufacture and packaging of the finished products into our approved containers in accordance with our formulas. Depending on the beverage, the bottler/packer may also add carbonation to the products as part of the production process.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our Concentrate segment, we purchase concentrates and/or beverage bases which are then sold to certain of our various third party bottlers/distributors. The third party bottlers/distributors are responsible for the manufacture and packaging of the finished products including the procurement of all other required ingredients and packaging materials.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Co-Packing Arrangements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All of our beverage products are manufactured by various third party bottlers and co-packers situated throughout the United States and abroad, under separate arrangements with each party. The majority of our co-packaging arrangements are generally on a month-to-month basis or are terminable upon request and do not generally obligate us to produce any minimum quantities of products within specified periods.</w:t>
      </w:r>
    </w:p>
    <w:p>
      <w:pPr>
        <w:spacing w:after="0" w:line="165" w:lineRule="exact"/>
        <w:rPr>
          <w:sz w:val="20"/>
          <w:szCs w:val="20"/>
          <w:color w:val="auto"/>
        </w:rPr>
      </w:pPr>
    </w:p>
    <w:p>
      <w:pPr>
        <w:jc w:val="both"/>
        <w:ind w:firstLine="697"/>
        <w:spacing w:after="0" w:line="246" w:lineRule="auto"/>
        <w:rPr>
          <w:sz w:val="20"/>
          <w:szCs w:val="20"/>
          <w:color w:val="auto"/>
        </w:rPr>
      </w:pPr>
      <w:r>
        <w:rPr>
          <w:rFonts w:ascii="Arial" w:cs="Arial" w:eastAsia="Arial" w:hAnsi="Arial"/>
          <w:sz w:val="20"/>
          <w:szCs w:val="20"/>
          <w:color w:val="auto"/>
        </w:rPr>
        <w:t>In some instances subject to agreement, certain equipment may be purchased by us and installed at the facilities of our co-packers to enable them to produce certain of our products. In general, such equipment remains our property and is returned to us upon termination of the packing arrangements with such co-packers, unless we are reimbursed by the co-packer via a per-case credit over a pre-determined number of cases that are produced at the facilities concerned.</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our Finished Products segment, we are generally responsible for arranging for the purchase and delivery to our third party bottlers and co-packers of the containers in which our beverage products are packaged.</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pack certain of our products in a number of locations both domestically and internationally, to enable us to produce products closer to the markets where they are sold, with the objective of reducing freight costs as well as transportation-related product damages. As distribution volumes increase in both our domestic and international markets, we will continue to source additional packing arrangements closer to such markets to further reduce freight costs. 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aluminum Cap Cans, sleek aluminum cans, aluminum cans with resealable ends, PET plastic bottles, glass, labels, flavors, juice concentrates, dietary ingredients, other ingredients and certain sweeteners, and/or procure adequate packing arrangements and/or obtain adequate or timely shipment of our products, we might not be able to satisfy demand on a short-term basis. (See “Part I, Item 1A – Risk Factors”).</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production arrangements are generally of short duration or are terminable upon our request. For certain of our products, including our Monster Energy® brand energy drinks, our Java Monster® product line, our Muscle Monster® product line, our Punch Monster® product line and certain of our other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w:t>
      </w:r>
    </w:p>
    <w:p>
      <w:pPr>
        <w:sectPr>
          <w:pgSz w:w="11900" w:h="16838" w:orient="portrait"/>
          <w:cols w:equalWidth="0" w:num="1">
            <w:col w:w="11420"/>
          </w:cols>
          <w:pgMar w:left="240" w:top="121" w:right="239" w:bottom="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20"/>
          <w:szCs w:val="20"/>
          <w:color w:val="auto"/>
        </w:rPr>
        <w:t>available for such products, either at commercially reasonable rates and/or within a reasonably short time period, if at all, a lengthy disruption or delay in production of any of such products could significantly affect our revenues.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continue to actively seek alternative and/or additional co-packing facilities around the world (including in Africa, Asia, Australia, Canada, Central America, China, Europe, India, Mexico, the Middle East, South America and the United States) with adequate capacity and capability for the production of our various products to minimize transportation costs and transportation-related damages as well as to mitigate the risk of a disruption in production and/or importation.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Agreements</w:t>
      </w:r>
    </w:p>
    <w:p>
      <w:pPr>
        <w:spacing w:after="0" w:line="229" w:lineRule="exact"/>
        <w:rPr>
          <w:sz w:val="20"/>
          <w:szCs w:val="20"/>
          <w:color w:val="auto"/>
        </w:rPr>
      </w:pPr>
    </w:p>
    <w:p>
      <w:pPr>
        <w:ind w:right="360" w:firstLine="648"/>
        <w:spacing w:after="0" w:line="287" w:lineRule="auto"/>
        <w:rPr>
          <w:sz w:val="20"/>
          <w:szCs w:val="20"/>
          <w:color w:val="auto"/>
        </w:rPr>
      </w:pPr>
      <w:r>
        <w:rPr>
          <w:rFonts w:ascii="Arial" w:cs="Arial" w:eastAsia="Arial" w:hAnsi="Arial"/>
          <w:sz w:val="19"/>
          <w:szCs w:val="19"/>
          <w:color w:val="auto"/>
        </w:rPr>
        <w:t>During 2015, we continued to expand distribution of our products in both our domestic and international markets, due in part to the TCCC Transaction, and our products are now sold in approximately 156 countries and territories around the world.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Monster Energy</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 xml:space="preserve"> Distribution Agreements</w:t>
      </w:r>
    </w:p>
    <w:p>
      <w:pPr>
        <w:spacing w:after="0" w:line="229" w:lineRule="exact"/>
        <w:rPr>
          <w:sz w:val="20"/>
          <w:szCs w:val="20"/>
          <w:color w:val="auto"/>
        </w:rPr>
      </w:pPr>
    </w:p>
    <w:p>
      <w:pPr>
        <w:jc w:val="both"/>
        <w:ind w:firstLine="745"/>
        <w:spacing w:after="0" w:line="257" w:lineRule="auto"/>
        <w:rPr>
          <w:sz w:val="20"/>
          <w:szCs w:val="20"/>
          <w:color w:val="auto"/>
        </w:rPr>
      </w:pPr>
      <w:r>
        <w:rPr>
          <w:rFonts w:ascii="Arial" w:cs="Arial" w:eastAsia="Arial" w:hAnsi="Arial"/>
          <w:sz w:val="19"/>
          <w:szCs w:val="19"/>
          <w:color w:val="auto"/>
        </w:rPr>
        <w:t>We have entered into agreements with various distributors providing for the distribution of our products during initial terms of up to twenty years, which may be renewed thereafter for additional terms ranging from one to five years. Such agreements remain in effect for their then 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of such agreements at any time without cause upon payment of a termination fee, including the distribution agreements with select Anheuser-Busch distributors (the “AB Distributors”) and certain distribution agreements with TCCC bottlers that were entered into prior to 2015.</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Certain of our material distribution agreements for our Monster Energy® brand energy drinks, as amended from time to time, are described below:</w:t>
      </w:r>
    </w:p>
    <w:p>
      <w:pPr>
        <w:spacing w:after="0" w:line="200" w:lineRule="exact"/>
        <w:rPr>
          <w:sz w:val="20"/>
          <w:szCs w:val="20"/>
          <w:color w:val="auto"/>
        </w:rPr>
      </w:pPr>
    </w:p>
    <w:p>
      <w:pPr>
        <w:spacing w:after="0" w:line="220" w:lineRule="exact"/>
        <w:rPr>
          <w:sz w:val="20"/>
          <w:szCs w:val="20"/>
          <w:color w:val="auto"/>
        </w:rPr>
      </w:pPr>
    </w:p>
    <w:p>
      <w:pPr>
        <w:jc w:val="both"/>
        <w:ind w:left="660" w:hanging="490"/>
        <w:spacing w:after="0" w:line="257"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including Coca-Cola Refreshments USA, Inc. (“CCR”), Coca-Cola Bottling Company (“CCBC”), CCBCC Operations, LLC (“Consolidated”), United Bottling Contracts Company, LLC (“United”), and other TCCC independent bottlers (collectively, the “TCCC North American Bottlers”) will distribute and sell, or continue to distribute and sell, our Monster Energy® brand energy drinks. In connection with the TCCC Transaction, the parties entered into the Amended TCCC North American Coordination Agreement in order to, among other things, change the procedure under which the TCCC North American Bottlers are appointed in specified territories.</w:t>
      </w:r>
    </w:p>
    <w:p>
      <w:pPr>
        <w:spacing w:after="0" w:line="194" w:lineRule="exact"/>
        <w:rPr>
          <w:rFonts w:ascii="Arial" w:cs="Arial" w:eastAsia="Arial" w:hAnsi="Arial"/>
          <w:sz w:val="19"/>
          <w:szCs w:val="19"/>
          <w:color w:val="auto"/>
        </w:rPr>
      </w:pPr>
    </w:p>
    <w:p>
      <w:pPr>
        <w:ind w:left="660" w:right="20" w:hanging="484"/>
        <w:spacing w:after="0" w:line="260" w:lineRule="auto"/>
        <w:tabs>
          <w:tab w:leader="none" w:pos="938" w:val="left"/>
        </w:tabs>
        <w:numPr>
          <w:ilvl w:val="0"/>
          <w:numId w:val="8"/>
        </w:numPr>
        <w:rPr>
          <w:rFonts w:ascii="Arial" w:cs="Arial" w:eastAsia="Arial" w:hAnsi="Arial"/>
          <w:sz w:val="20"/>
          <w:szCs w:val="20"/>
          <w:color w:val="auto"/>
        </w:rPr>
      </w:pPr>
      <w:r>
        <w:rPr>
          <w:rFonts w:ascii="Arial" w:cs="Arial" w:eastAsia="Arial" w:hAnsi="Arial"/>
          <w:sz w:val="20"/>
          <w:szCs w:val="20"/>
          <w:color w:val="auto"/>
        </w:rPr>
        <w:t>Amended and Restated Distribution Agreement with CCR, pursuant to which CCR distributes, directly and through certain sub-distributors, our Monster Energy® brand energy drinks in a large portion of the United States.</w:t>
      </w:r>
    </w:p>
    <w:p>
      <w:pPr>
        <w:spacing w:after="0" w:line="190" w:lineRule="exact"/>
        <w:rPr>
          <w:rFonts w:ascii="Arial" w:cs="Arial" w:eastAsia="Arial" w:hAnsi="Arial"/>
          <w:sz w:val="20"/>
          <w:szCs w:val="20"/>
          <w:color w:val="auto"/>
        </w:rPr>
      </w:pPr>
    </w:p>
    <w:p>
      <w:pPr>
        <w:jc w:val="both"/>
        <w:ind w:left="660" w:hanging="490"/>
        <w:spacing w:after="0" w:line="278" w:lineRule="auto"/>
        <w:tabs>
          <w:tab w:leader="none" w:pos="119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Amended and Restated International Distribution Coordination Agreement (the “Amended TCCC International Coordination Agreement”) with TCCC, pursuant to which we have designated, and in the future may designate, countries in which we wish to appoint TCCC distributors to distribute and sell our Monster Energy® brand energy drinks, subject to TCCC’s approval. In connection with the TCCC Transaction, the parties entered into the Amended TCCC International Coordination Agreement in order to, among other things, change the procedure under which the TCCC distributors are appointed in specified territories.</w:t>
      </w:r>
    </w:p>
    <w:p>
      <w:pPr>
        <w:spacing w:after="0" w:line="178" w:lineRule="exact"/>
        <w:rPr>
          <w:rFonts w:ascii="Arial" w:cs="Arial" w:eastAsia="Arial" w:hAnsi="Arial"/>
          <w:sz w:val="18"/>
          <w:szCs w:val="18"/>
          <w:color w:val="auto"/>
        </w:rPr>
      </w:pPr>
    </w:p>
    <w:p>
      <w:pPr>
        <w:jc w:val="both"/>
        <w:ind w:left="660" w:hanging="490"/>
        <w:spacing w:after="0" w:line="246" w:lineRule="auto"/>
        <w:tabs>
          <w:tab w:leader="none" w:pos="1174"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Energy International Distribution Agreement and Monster Energy Belgium Distribution Agreement with Coca-Cola Enterprises, Inc. (“CCE”), pursuant to which CCE was appointed to distribute directly, and through certain sub-distributors, our Monster Energy® brand energy drinks in Belgium, France, Great Britain, Luxembourg, Monaco, the Netherlands, Norway and Sweden.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left="660" w:hanging="490"/>
        <w:spacing w:after="0" w:line="291" w:lineRule="auto"/>
        <w:tabs>
          <w:tab w:leader="none" w:pos="704" w:val="left"/>
        </w:tabs>
        <w:numPr>
          <w:ilvl w:val="0"/>
          <w:numId w:val="9"/>
        </w:numPr>
        <w:rPr>
          <w:rFonts w:ascii="Arial" w:cs="Arial" w:eastAsia="Arial" w:hAnsi="Arial"/>
          <w:sz w:val="18"/>
          <w:szCs w:val="18"/>
          <w:color w:val="auto"/>
        </w:rPr>
      </w:pPr>
      <w:r>
        <w:rPr>
          <w:rFonts w:ascii="Arial" w:cs="Arial" w:eastAsia="Arial" w:hAnsi="Arial"/>
          <w:sz w:val="18"/>
          <w:szCs w:val="18"/>
          <w:color w:val="auto"/>
        </w:rPr>
        <w:t>CCE, Coca-Cola Iberian Partners, the bottler operating primarily in Spain and Portugal, and Coca-Cola Erfrischungsgetranke AG, the bottler operating in Germany, have agreed to merge their business interests to form a newly created entity, Coca-Cola European Partners (CCEP). Once this combination is effected, a significant portion of our European distribution will be controlled by CCEP.</w:t>
      </w:r>
    </w:p>
    <w:p>
      <w:pPr>
        <w:spacing w:after="0" w:line="165" w:lineRule="exact"/>
        <w:rPr>
          <w:rFonts w:ascii="Arial" w:cs="Arial" w:eastAsia="Arial" w:hAnsi="Arial"/>
          <w:sz w:val="18"/>
          <w:szCs w:val="18"/>
          <w:color w:val="auto"/>
        </w:rPr>
      </w:pPr>
    </w:p>
    <w:p>
      <w:pPr>
        <w:ind w:left="660" w:hanging="490"/>
        <w:spacing w:after="0" w:line="260" w:lineRule="auto"/>
        <w:tabs>
          <w:tab w:leader="none" w:pos="831" w:val="left"/>
        </w:tabs>
        <w:numPr>
          <w:ilvl w:val="0"/>
          <w:numId w:val="9"/>
        </w:numPr>
        <w:rPr>
          <w:rFonts w:ascii="Arial" w:cs="Arial" w:eastAsia="Arial" w:hAnsi="Arial"/>
          <w:sz w:val="20"/>
          <w:szCs w:val="20"/>
          <w:color w:val="auto"/>
        </w:rPr>
      </w:pPr>
      <w:r>
        <w:rPr>
          <w:rFonts w:ascii="Arial" w:cs="Arial" w:eastAsia="Arial" w:hAnsi="Arial"/>
          <w:sz w:val="20"/>
          <w:szCs w:val="20"/>
          <w:color w:val="auto"/>
        </w:rPr>
        <w:t>Additionally, we have entered into distribution agreements for certain of our Monster Energy products with various TCCC network bottlers, both in the United States and internationally.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Strategic Brands Distribution Agreements</w:t>
      </w:r>
    </w:p>
    <w:p>
      <w:pPr>
        <w:sectPr>
          <w:pgSz w:w="11900" w:h="16838" w:orient="portrait"/>
          <w:cols w:equalWidth="0" w:num="1">
            <w:col w:w="11420"/>
          </w:cols>
          <w:pgMar w:left="240" w:top="121" w:right="239" w:bottom="79" w:gutter="0" w:footer="0" w:header="0"/>
        </w:sectPr>
      </w:pPr>
    </w:p>
    <w:bookmarkStart w:id="8" w:name="page9"/>
    <w:bookmarkEnd w:id="8"/>
    <w:p>
      <w:pPr>
        <w:jc w:val="both"/>
        <w:ind w:firstLine="648"/>
        <w:spacing w:after="0" w:line="247" w:lineRule="auto"/>
        <w:rPr>
          <w:sz w:val="20"/>
          <w:szCs w:val="20"/>
          <w:color w:val="auto"/>
        </w:rPr>
      </w:pPr>
      <w:r>
        <w:rPr>
          <w:rFonts w:ascii="Arial" w:cs="Arial" w:eastAsia="Arial" w:hAnsi="Arial"/>
          <w:sz w:val="20"/>
          <w:szCs w:val="20"/>
          <w:color w:val="auto"/>
        </w:rPr>
        <w:t>On June 12, 2015, in connection with the closing of the TCCC Transaction, TCCC transferred to the Company all of its rights in and to TCCC’s worldwide energy drink business including: NOS® and Full Throttle® (the “U.S. Strategic Brands”); and Burn®, Mother®, Play®, Power Play®, Relentless®, Nalu® and other brands (the “International Strategic Brands,” and together with the U.S. Strategic Brands, the “Strategic Brands”).</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have entered into distribution coordination agreements with TCCC pursuant to which we have designated, and in the future may designate, subject to TCCC’s approval, territories in which TCCC bottlers will distribute our Strategic Brands energy drinks.</w:t>
      </w:r>
    </w:p>
    <w:p>
      <w:pPr>
        <w:spacing w:after="0" w:line="16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entered into agreements with various international bottlers from TCCC’s network of wholly or partially-owned and independent bottlers (the “TCCC International Bottlers”) providing for the distribution and sale of the International Strategic Brands energy drinks during initial terms of up to ten years, which may be renewed thereafter for additional terms ranging from two to ten years. Such agreements remain in effect for their then current term, but are subject to specified termination rights held by each party, which may include, by way of example, and depending on the form of agreement, termination upon: material breach of the agreement by either party; insolvency or bankruptcy of a TCCC International Bottler; a change of control of the TCCC International Bottler; or changes in legal or regulatory conditions.</w:t>
      </w:r>
    </w:p>
    <w:p>
      <w:pPr>
        <w:spacing w:after="0" w:line="20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distribute NOS® drinks in the United States through distribution agreements with TCCC North American Bottlers that were assigned to us in connection with the closing of the TCCC Transaction (the “Existing NOS® Agreements”). The Existing NOS® Agreements provide for the distribution and sale of NOS® drinks in the United States during initial terms of ten years, with automatic renewal for ten year periods, unless terminated in accordance with the terms of the distribution agreement. These agreements are subject to specified termination rights held by each party, which include, by way of example, termination without cause with the payment of liquidated compensation in certain cases and termination for cause (which includes, among other things, insolvency and breach of the agreement).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distribute Full Throttle® drinks in the United States through TCCC North American Bottlers pursuant to the existing relationships established by TCCC before the closing of the TCCC Transaction. We anticipate entering into new distribution agreements with TCCC North American Bottlers that are substantially similar to the Existing NOS® Agreements, but that provide for the distribution of NOS® and Full Throttle drinks, in 2016.</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Distribution levels vary by product and geographic location. Gross sales outside the United States accounted for $713.2 million, $657.9 million and $580.6 million for the years ended December 31, 2015, 2014 and 2013, respectively. The distribution rights relating to each territory for which the Company sent notices of termination in February 2015, including certain AB Distributors in the United States described above, have been transitioned to TCCC’s network of owned or controlled bottlers/distributors and independent bottlers/distributors as of the effective date of termination of the current third party’s rights in the applicable territory.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 and Suppliers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principal raw materials used in the manufacturing of our products are aluminum cans, aluminum Cap Cans, sleek aluminum cans, aluminum cans with resealable ends, PET plastic bottles as well as flavors, juice concentrates, sugar, sucralose, milk, cream, protein, dietary ingredients and other packaging materials, the costs of which are subject to fluctuations.</w:t>
      </w:r>
    </w:p>
    <w:p>
      <w:pPr>
        <w:spacing w:after="0" w:line="20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For our Monster Energy® brand energy drinks, we purchase beverage flavors, concentrates, juices, dietary ingredients, cane sugar, sucrose, sucralose and other sweeteners as well as other ingredients from independent suppliers located in the United States and abroad.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our Strategic Brands energy drinks, we purchase concentrates and/or beverage bases from TCCC in the United States and abroad.</w:t>
      </w:r>
    </w:p>
    <w:p>
      <w:pPr>
        <w:spacing w:after="0" w:line="2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Generally, raw materials utilized by us in our business are readily available from numerous sources. However, certain raw materials are manufactured by only one company. We purchase certain flavors, vitamin blends and herbs, certain other dietary ingredients and sucralose, as well as certain other ingredients, from single manufacturers. Additionally, certain of our containers and flavors are only manufactured by single companies.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 regard to our Java Monster® and Muscle Monster® product lines, the dairy and protein industries are subject to shortages and increased demand from time to time, which may result in higher prices.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Generally, for our Monster Energy® brand energy drinks, flavor suppliers own the proprietary rights to their flavor formulas which they make available to customers for specific use in the production of their customers’ products. Consequently, we do not have possession of the list of flavor ingredients or flavor formulas used in the production of our products and certain of our blended concentrates (our “Product Flavor Formulas”) and we may be unable to obtain comparable flavors or concentrates from alternative suppliers on short notice. Our flavor suppliers generally do not make flavors used in our products available to third parties. We have also entered into agreements with certain of our flavor suppliers who have agreed, subject to the terms of such agreements, to maintain our Product Flavor Formulas in confidence, not to use our Product Flavor Formulas in the production of other customers’ products and to provide us with access to our Product Flavor Formulas under certain circumstances, such as the bankruptcy of the flavor supplier. As part of the TCCC Transaction, we acquired ownership of the flavor formulas for the Strategic Brands, with limited exceptions. We have identified alternative suppliers for many of the ingredients contained in many of our beverages. However, industry-wide shortages of certain fruits and fruit juices, coffee, tea, dietary ingredients and sweeteners have been, and could from time to time in the future be, encountered, which could interfere with and/or delay production of certain of our products.</w:t>
      </w:r>
    </w:p>
    <w:p>
      <w:pPr>
        <w:sectPr>
          <w:pgSz w:w="11900" w:h="16838" w:orient="portrait"/>
          <w:cols w:equalWidth="0" w:num="1">
            <w:col w:w="11420"/>
          </w:cols>
          <w:pgMar w:left="240" w:top="121" w:right="239" w:bottom="49" w:gutter="0" w:footer="0" w:header="0"/>
        </w:sectPr>
      </w:pPr>
    </w:p>
    <w:bookmarkStart w:id="9" w:name="page10"/>
    <w:bookmarkEnd w:id="9"/>
    <w:p>
      <w:pPr>
        <w:spacing w:after="0" w:line="10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We continually endeavor to develop back-up sources of supply for certain of our flavors and concentrates as well as to negotiate arrangements with suppliers, which would enable us to obtain access to certain concentrates or our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connection with the development of new products and flavors, independent suppliers bear a large portion of the expense of product development, thereby enabling us to develop new products and flavors at what we consider to be reasonable economic levels. We have historically developed and successfully introduced new products, flavors and packaging for our products and intend to continue to develop and introduce additional new beverages, flavors and innovative packaging.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Important factors affecting our ability to compete successfully include taste and flavor of products, trade and consumer promotions, rapid and effective development of new, unique cutting edge products, attractive and different packaging, brand exposure and marketing as well as pricing. We also compete for distributors who will give our products more focus than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effect on our business and results of operations.</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have experienced and continue to experience competition from new entrants in the energy drink and energy shot categories. A number of companies who market and distribute iced teas, juice cocktails and enhanced waters in larger volume packages, such as 16- and 20-ounce glass and plastic bottles, including Sobe, Sobe Life Water, Vitamin Water, Snapple, Arizona, Fuse, Ocean Spray, Honest Tea, Gold Peak Tea, Activate and Mountain Dew Kickstart, have added dietary ingredients to their products with a view to marketing their products as “functional” or energy beverages or as having “functional” benefits. We believe that many of those products contain lower levels of dietary ingredients, principally deliver refreshment and are positioned differently from our energy or “functional” drinks.</w:t>
      </w:r>
    </w:p>
    <w:p>
      <w:pPr>
        <w:spacing w:after="0" w:line="17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We are also subject to increasing levels of regulatory issues particularly in relation to the registration and taxation of our products in certain new international markets, which may put us at a competitive disadvantage. (See “Government Regulation” below for additional information).</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compete not only for consumer preference, but also for maximum marketing and sales efforts by multi-brand licensed bottlers, brokers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The Dr. Pepper Snapple Group, Inc. (the “DPS Group”) and Red Bull Gmbh. We also compete with companies that are smaller or primarily local in operation. Our products also compete with private label brands such as those carried by grocery store chains, convenience store chains and club stores.</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Domestically, our energy drinks compete directly with Red Bull, Rockstar, No Fear, Amp, Adrenaline Rush, Venom, Redline, Rip It, Xenergy, 5-Hour Energy Shots, MiO Energy, Stacker 2, VPX Redline Energy Shots, and many other brands. PepsiCo also markets and/or distributes additional products in that market segment such as Pepsi Max, Mountain Dew, Mountain Dew MDX and Mountain Dew Kickstart. Internationally, our energy drinks compete with Red Bull, Rockstar, V-Energy, Lucozade, Adrenaline Rush and numerous local and private label brands that usually differ from country to country, such as Hell, Shock, Tiger, Boost, TNT, Shark, Hot 6, Battery, Bullit, Flash Up, Black, Non-Stop, Bomba, Semtex, Vive 100, Dark Dog, Speed, Guaraná, Sting, M-150, Lipovitan, Bacchus, Volt, Mr. Big and a host of other international brands.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Java Monster® product line competes directly with Starbucks Frappuccino, Starbucks Double Shot, Starbucks Double Shot Energy Plus Coffee and other Starbucks coffee drinks, Rockstar Roasted, Seattle’s Best and illy issimo coffee.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Muscle Monster® product line competes directly with Muscle Milk, Core Power, ABB Pure Pro and Gatorade Recover Protein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Shake.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3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w:t>
      </w:r>
    </w:p>
    <w:p>
      <w:pPr>
        <w:sectPr>
          <w:pgSz w:w="11900" w:h="16941" w:orient="portrait"/>
          <w:cols w:equalWidth="0" w:num="1">
            <w:col w:w="11420"/>
          </w:cols>
          <w:pgMar w:left="240" w:top="121" w:right="239" w:bottom="0" w:gutter="0" w:footer="0" w:header="0"/>
        </w:sectPr>
      </w:pPr>
    </w:p>
    <w:bookmarkStart w:id="10" w:name="page11"/>
    <w:bookmarkEnd w:id="10"/>
    <w:p>
      <w:pPr>
        <w:jc w:val="both"/>
        <w:ind w:right="40"/>
        <w:spacing w:after="0" w:line="264" w:lineRule="auto"/>
        <w:rPr>
          <w:sz w:val="20"/>
          <w:szCs w:val="20"/>
          <w:color w:val="auto"/>
        </w:rPr>
      </w:pPr>
      <w:r>
        <w:rPr>
          <w:rFonts w:ascii="Arial" w:cs="Arial" w:eastAsia="Arial" w:hAnsi="Arial"/>
          <w:sz w:val="19"/>
          <w:szCs w:val="19"/>
          <w:color w:val="auto"/>
        </w:rPr>
        <w:t>products. We also support our brands with prize promotions, price promotions, competitions, endorsements from selected public and sports figures, personality endorsements (including from television and other well-known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8"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 appropriate, we partner with our retailers and wholesalers to assist our marketing efforts.</w:t>
      </w:r>
    </w:p>
    <w:p>
      <w:pPr>
        <w:spacing w:after="0" w:line="229" w:lineRule="exact"/>
        <w:rPr>
          <w:sz w:val="20"/>
          <w:szCs w:val="20"/>
          <w:color w:val="auto"/>
        </w:rPr>
      </w:pPr>
    </w:p>
    <w:p>
      <w:pPr>
        <w:jc w:val="both"/>
        <w:ind w:right="40" w:firstLine="648"/>
        <w:spacing w:after="0" w:line="316" w:lineRule="auto"/>
        <w:rPr>
          <w:sz w:val="20"/>
          <w:szCs w:val="20"/>
          <w:color w:val="auto"/>
        </w:rPr>
      </w:pPr>
      <w:r>
        <w:rPr>
          <w:rFonts w:ascii="Arial" w:cs="Arial" w:eastAsia="Arial" w:hAnsi="Arial"/>
          <w:sz w:val="18"/>
          <w:szCs w:val="18"/>
          <w:color w:val="auto"/>
        </w:rPr>
        <w:t>We increased expenditures for our sales and marketing programs by approximately 19.0% in 2015 compared to 2014. As of December 31, 2015, we employed 1,659 employees in sales and marketing activities, of which 1,028 were employed on a full-time basis.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3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drug chains, mass merchandisers, convenience chains, health food distributors, food service customers and the military. Gross sales to our various customer types for the years ended December 31, 2015, 2014 and 2013 are reflected below. Such information includes sales made by us directly to the customer types concerned, which include our full service beverage bottlers/distributors in the United States. Such full service beverage bottlers/distributors in turn sell certain of our products to the same customer types listed below. We limit our description of our customer types to include only our sales to such full service bottlers/distributors without reference to such distributors’ sales to their own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2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2980" w:type="dxa"/>
            <w:vAlign w:val="bottom"/>
            <w:gridSpan w:val="2"/>
          </w:tcPr>
          <w:p>
            <w:pPr>
              <w:jc w:val="center"/>
              <w:ind w:left="1004"/>
              <w:spacing w:after="0"/>
              <w:rPr>
                <w:sz w:val="20"/>
                <w:szCs w:val="20"/>
                <w:color w:val="auto"/>
              </w:rPr>
            </w:pPr>
            <w:r>
              <w:rPr>
                <w:rFonts w:ascii="Arial" w:cs="Arial" w:eastAsia="Arial" w:hAnsi="Arial"/>
                <w:sz w:val="20"/>
                <w:szCs w:val="20"/>
                <w:color w:val="auto"/>
                <w:w w:val="89"/>
              </w:rPr>
              <w:t>2015</w:t>
            </w:r>
          </w:p>
        </w:tc>
        <w:tc>
          <w:tcPr>
            <w:tcW w:w="1880" w:type="dxa"/>
            <w:vAlign w:val="bottom"/>
          </w:tcPr>
          <w:p>
            <w:pPr>
              <w:jc w:val="center"/>
              <w:spacing w:after="0"/>
              <w:rPr>
                <w:sz w:val="20"/>
                <w:szCs w:val="20"/>
                <w:color w:val="auto"/>
              </w:rPr>
            </w:pPr>
            <w:r>
              <w:rPr>
                <w:rFonts w:ascii="Arial" w:cs="Arial" w:eastAsia="Arial" w:hAnsi="Arial"/>
                <w:sz w:val="20"/>
                <w:szCs w:val="20"/>
                <w:color w:val="auto"/>
                <w:w w:val="89"/>
              </w:rPr>
              <w:t>2014</w:t>
            </w:r>
          </w:p>
        </w:tc>
        <w:tc>
          <w:tcPr>
            <w:tcW w:w="1840" w:type="dxa"/>
            <w:vAlign w:val="bottom"/>
          </w:tcPr>
          <w:p>
            <w:pPr>
              <w:jc w:val="center"/>
              <w:spacing w:after="0"/>
              <w:rPr>
                <w:sz w:val="20"/>
                <w:szCs w:val="20"/>
                <w:color w:val="auto"/>
              </w:rPr>
            </w:pPr>
            <w:r>
              <w:rPr>
                <w:rFonts w:ascii="Arial" w:cs="Arial" w:eastAsia="Arial" w:hAnsi="Arial"/>
                <w:sz w:val="20"/>
                <w:szCs w:val="20"/>
                <w:color w:val="auto"/>
                <w:w w:val="89"/>
              </w:rPr>
              <w:t>2013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7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740" w:type="dxa"/>
            <w:vAlign w:val="bottom"/>
            <w:tcBorders>
              <w:top w:val="single" w:sz="8" w:color="auto"/>
            </w:tcBorders>
          </w:tcPr>
          <w:p>
            <w:pPr>
              <w:jc w:val="center"/>
              <w:ind w:right="41"/>
              <w:spacing w:after="0" w:line="207" w:lineRule="exact"/>
              <w:rPr>
                <w:sz w:val="20"/>
                <w:szCs w:val="20"/>
                <w:color w:val="auto"/>
              </w:rPr>
            </w:pPr>
            <w:r>
              <w:rPr>
                <w:rFonts w:ascii="Arial" w:cs="Arial" w:eastAsia="Arial" w:hAnsi="Arial"/>
                <w:sz w:val="20"/>
                <w:szCs w:val="20"/>
                <w:color w:val="auto"/>
                <w:w w:val="89"/>
              </w:rPr>
              <w:t>65%</w:t>
            </w:r>
          </w:p>
        </w:tc>
        <w:tc>
          <w:tcPr>
            <w:tcW w:w="18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62%</w:t>
            </w:r>
          </w:p>
        </w:tc>
        <w:tc>
          <w:tcPr>
            <w:tcW w:w="18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2980" w:type="dxa"/>
            <w:vAlign w:val="bottom"/>
            <w:gridSpan w:val="2"/>
          </w:tcPr>
          <w:p>
            <w:pPr>
              <w:jc w:val="center"/>
              <w:ind w:left="1004"/>
              <w:spacing w:after="0"/>
              <w:rPr>
                <w:sz w:val="20"/>
                <w:szCs w:val="20"/>
                <w:color w:val="auto"/>
              </w:rPr>
            </w:pPr>
            <w:r>
              <w:rPr>
                <w:rFonts w:ascii="Arial" w:cs="Arial" w:eastAsia="Arial" w:hAnsi="Arial"/>
                <w:sz w:val="20"/>
                <w:szCs w:val="20"/>
                <w:color w:val="auto"/>
                <w:w w:val="96"/>
              </w:rPr>
              <w:t>9%</w:t>
            </w:r>
          </w:p>
        </w:tc>
        <w:tc>
          <w:tcPr>
            <w:tcW w:w="188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184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2980" w:type="dxa"/>
            <w:vAlign w:val="bottom"/>
            <w:gridSpan w:val="2"/>
          </w:tcPr>
          <w:p>
            <w:pPr>
              <w:jc w:val="center"/>
              <w:ind w:left="1004"/>
              <w:spacing w:after="0"/>
              <w:rPr>
                <w:sz w:val="20"/>
                <w:szCs w:val="20"/>
                <w:color w:val="auto"/>
              </w:rPr>
            </w:pPr>
            <w:r>
              <w:rPr>
                <w:rFonts w:ascii="Arial" w:cs="Arial" w:eastAsia="Arial" w:hAnsi="Arial"/>
                <w:sz w:val="20"/>
                <w:szCs w:val="20"/>
                <w:color w:val="auto"/>
                <w:w w:val="89"/>
              </w:rPr>
              <w:t>23%</w:t>
            </w:r>
          </w:p>
        </w:tc>
        <w:tc>
          <w:tcPr>
            <w:tcW w:w="1880" w:type="dxa"/>
            <w:vAlign w:val="bottom"/>
          </w:tcPr>
          <w:p>
            <w:pPr>
              <w:jc w:val="center"/>
              <w:spacing w:after="0"/>
              <w:rPr>
                <w:sz w:val="20"/>
                <w:szCs w:val="20"/>
                <w:color w:val="auto"/>
              </w:rPr>
            </w:pPr>
            <w:r>
              <w:rPr>
                <w:rFonts w:ascii="Arial" w:cs="Arial" w:eastAsia="Arial" w:hAnsi="Arial"/>
                <w:sz w:val="20"/>
                <w:szCs w:val="20"/>
                <w:color w:val="auto"/>
                <w:w w:val="89"/>
              </w:rPr>
              <w:t>23%</w:t>
            </w:r>
          </w:p>
        </w:tc>
        <w:tc>
          <w:tcPr>
            <w:tcW w:w="1840" w:type="dxa"/>
            <w:vAlign w:val="bottom"/>
          </w:tcPr>
          <w:p>
            <w:pPr>
              <w:jc w:val="center"/>
              <w:spacing w:after="0"/>
              <w:rPr>
                <w:sz w:val="20"/>
                <w:szCs w:val="20"/>
                <w:color w:val="auto"/>
              </w:rPr>
            </w:pPr>
            <w:r>
              <w:rPr>
                <w:rFonts w:ascii="Arial" w:cs="Arial" w:eastAsia="Arial" w:hAnsi="Arial"/>
                <w:sz w:val="20"/>
                <w:szCs w:val="20"/>
                <w:color w:val="auto"/>
                <w:w w:val="89"/>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2980" w:type="dxa"/>
            <w:vAlign w:val="bottom"/>
            <w:gridSpan w:val="2"/>
          </w:tcPr>
          <w:p>
            <w:pPr>
              <w:jc w:val="center"/>
              <w:ind w:left="1004"/>
              <w:spacing w:after="0"/>
              <w:rPr>
                <w:sz w:val="20"/>
                <w:szCs w:val="20"/>
                <w:color w:val="auto"/>
              </w:rPr>
            </w:pPr>
            <w:r>
              <w:rPr>
                <w:rFonts w:ascii="Arial" w:cs="Arial" w:eastAsia="Arial" w:hAnsi="Arial"/>
                <w:sz w:val="20"/>
                <w:szCs w:val="20"/>
                <w:color w:val="auto"/>
                <w:w w:val="96"/>
              </w:rPr>
              <w:t>2%</w:t>
            </w:r>
          </w:p>
        </w:tc>
        <w:tc>
          <w:tcPr>
            <w:tcW w:w="1880" w:type="dxa"/>
            <w:vAlign w:val="bottom"/>
          </w:tcPr>
          <w:p>
            <w:pPr>
              <w:jc w:val="center"/>
              <w:spacing w:after="0"/>
              <w:rPr>
                <w:sz w:val="20"/>
                <w:szCs w:val="20"/>
                <w:color w:val="auto"/>
              </w:rPr>
            </w:pPr>
            <w:r>
              <w:rPr>
                <w:rFonts w:ascii="Arial" w:cs="Arial" w:eastAsia="Arial" w:hAnsi="Arial"/>
                <w:sz w:val="20"/>
                <w:szCs w:val="20"/>
                <w:color w:val="auto"/>
                <w:w w:val="89"/>
              </w:rPr>
              <w:t>4%</w:t>
            </w:r>
          </w:p>
        </w:tc>
        <w:tc>
          <w:tcPr>
            <w:tcW w:w="184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20"/>
                <w:szCs w:val="20"/>
                <w:color w:val="auto"/>
              </w:rPr>
              <w:t>Other</w:t>
            </w:r>
          </w:p>
        </w:tc>
        <w:tc>
          <w:tcPr>
            <w:tcW w:w="2980" w:type="dxa"/>
            <w:vAlign w:val="bottom"/>
            <w:gridSpan w:val="2"/>
          </w:tcPr>
          <w:p>
            <w:pPr>
              <w:jc w:val="center"/>
              <w:ind w:left="1004"/>
              <w:spacing w:after="0"/>
              <w:rPr>
                <w:sz w:val="20"/>
                <w:szCs w:val="20"/>
                <w:color w:val="auto"/>
              </w:rPr>
            </w:pPr>
            <w:r>
              <w:rPr>
                <w:rFonts w:ascii="Arial" w:cs="Arial" w:eastAsia="Arial" w:hAnsi="Arial"/>
                <w:sz w:val="20"/>
                <w:szCs w:val="20"/>
                <w:color w:val="auto"/>
                <w:w w:val="96"/>
              </w:rPr>
              <w:t>1%</w:t>
            </w:r>
          </w:p>
        </w:tc>
        <w:tc>
          <w:tcPr>
            <w:tcW w:w="188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84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2"/>
        </w:trPr>
        <w:tc>
          <w:tcPr>
            <w:tcW w:w="4720" w:type="dxa"/>
            <w:vAlign w:val="bottom"/>
          </w:tcPr>
          <w:p>
            <w:pPr>
              <w:spacing w:after="0"/>
              <w:rPr>
                <w:sz w:val="24"/>
                <w:szCs w:val="24"/>
                <w:color w:val="auto"/>
              </w:rPr>
            </w:pPr>
          </w:p>
        </w:tc>
        <w:tc>
          <w:tcPr>
            <w:tcW w:w="1240" w:type="dxa"/>
            <w:vAlign w:val="bottom"/>
          </w:tcPr>
          <w:p>
            <w:pPr>
              <w:jc w:val="right"/>
              <w:ind w:right="64"/>
              <w:spacing w:after="0"/>
              <w:rPr>
                <w:sz w:val="20"/>
                <w:szCs w:val="20"/>
                <w:color w:val="auto"/>
              </w:rPr>
            </w:pPr>
            <w:r>
              <w:rPr>
                <w:rFonts w:ascii="Arial" w:cs="Arial" w:eastAsia="Arial" w:hAnsi="Arial"/>
                <w:sz w:val="16"/>
                <w:szCs w:val="16"/>
                <w:color w:val="auto"/>
              </w:rPr>
              <w:t>15</w:t>
            </w:r>
          </w:p>
        </w:tc>
        <w:tc>
          <w:tcPr>
            <w:tcW w:w="1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7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20"/>
          <w:szCs w:val="20"/>
          <w:color w:val="auto"/>
        </w:rPr>
        <w:t>Our customers include the TCCC North American Bottlers, CCE, Coca-Cola Hellenic, Swire Coca-Cola, USA and certain other Coca-Cola independent bottlers, Asahi, Kalil Bottling Group, Wal-Mart, Inc. (including Sam’s Club) Costco and AB Distributors. In February 2015, in accordance with its existing agreements with the applicable AB Distributors, the Company sent notices of termination to the majority of the AB Distributors in the United States for the termination of their respective distribution agreements, to be effective at various dates beginning in March 2015. The associated distribution rights have been transitioned to TCCC’s network of owned or controlled bottlers/distributors and independent bottlers/distributors as of the effective date of termination of the AB Distributors’ rights in the applicable territories (see Note 9 “Distribution Agreements” in the notes to consolidated financial statements). TCCC, through certain wholly-owned subsidiaries (the “TCCC Subsidiaries”), accounted for approximately 42%, 29% and 29% of our net sales for the years ended December 31, 2015, 2014 and 2013,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Sales of ready-to-drink beverages are somewhat seasonal, with the second and third calendar quarters accounting for the highest sales volumes. The volume of sales in the beverage business may be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5"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8"/>
          <w:szCs w:val="18"/>
          <w:color w:val="auto"/>
        </w:rPr>
        <w:t>We presently have more than 6,300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(registered outside of the United States in certain jurisdictions), Monster</w:t>
      </w:r>
    </w:p>
    <w:p>
      <w:pPr>
        <w:spacing w:after="0" w:line="2" w:lineRule="exact"/>
        <w:rPr>
          <w:sz w:val="20"/>
          <w:szCs w:val="20"/>
          <w:color w:val="auto"/>
        </w:rPr>
      </w:pPr>
    </w:p>
    <w:p>
      <w:pPr>
        <w:jc w:val="both"/>
        <w:ind w:right="40"/>
        <w:spacing w:after="0" w:line="247" w:lineRule="auto"/>
        <w:rPr>
          <w:sz w:val="20"/>
          <w:szCs w:val="20"/>
          <w:color w:val="auto"/>
        </w:rPr>
      </w:pPr>
      <w:r>
        <w:rPr>
          <w:rFonts w:ascii="Arial" w:cs="Arial" w:eastAsia="Arial" w:hAnsi="Arial"/>
          <w:sz w:val="20"/>
          <w:szCs w:val="20"/>
          <w:color w:val="auto"/>
        </w:rPr>
        <w:t xml:space="preserve">Energy®, </w:t>
      </w:r>
      <w:r>
        <w:rPr>
          <w:sz w:val="1"/>
          <w:szCs w:val="1"/>
          <w:color w:val="auto"/>
        </w:rPr>
        <w:drawing>
          <wp:inline distT="0" distB="0" distL="0" distR="0">
            <wp:extent cx="102870"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0"/>
          <w:szCs w:val="20"/>
          <w:color w:val="auto"/>
        </w:rPr>
        <w:t>®, M Monster Energy®, Monster Rehab®, Java Monster®, Muscle Monster®, Punch Monster®, Juice Monster®, Unleash the Beast®, Monster Energy Extra Strength Nitrous Technology®, BU®, Nalu®, NOS®, Full Throttle®, Burn®, Mother®, Ultra®, Play® and Power Play®, Gladiator®, Relentless®, Samurai® and BPM® to be our core trademarks.</w:t>
      </w:r>
    </w:p>
    <w:p>
      <w:pPr>
        <w:spacing w:after="0" w:line="20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ectPr>
          <w:pgSz w:w="11900" w:h="16838" w:orient="portrait"/>
          <w:cols w:equalWidth="0" w:num="1">
            <w:col w:w="11460"/>
          </w:cols>
          <w:pgMar w:left="240" w:top="122" w:right="199" w:bottom="0" w:gutter="0" w:footer="0" w:header="0"/>
        </w:sectPr>
      </w:pPr>
    </w:p>
    <w:bookmarkStart w:id="11" w:name="page12"/>
    <w:bookmarkEnd w:id="11"/>
    <w:p>
      <w:pPr>
        <w:spacing w:after="0" w:line="101"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enforce and protect our trademark rights against third parties infringing or disparaging our trademarks by opposing registration of conflicting trademarks, and initiating litigation as necessary.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production, distribution and sale in the United States of many of our products are subject to various U.S. federal and state regulations, including but not limited to: the Federal Food, Drug and Cosmetic Act (“FD&amp;C Act”); the Occupational Safety and Health Act; various environmental statutes; and a number of other federal, state and local statutes and regulations applicable to the production, transportation, sale, safety, advertising, marketing, labeling and ingredients of such products. Outside the United States, the production, distribution and sale of many of our products are also subject to numerous statutes and regulations.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below for additional information.</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Furthermore, legislation may be introduced in the United States and other countries at the federal, state and municipal level in respect of each of the subject areas discussed below. Public health officials and health advocates are increasingly focused on the public health consequences associated with obesity, especially as the disease affects children, and are seeking legislative change to reduce the consumption of sweetened beverages. There also has been an increased focus on caffeine content in beverages, as discussed below.</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January 2013, the U.S. Food and Drug Administration (“FDA”) announced that it would be investigating the safety of caffeine in food products, particularly its effects on children and adolescents. Also in January 2013, we received a letter from Representative Edward J. Markey, Senator Richard J. Durbin and Senator Richard Blumenthal requesting information from us to enable them to better understand a number of issues relating in part to an investigation they said had been launched by the FDA examining energy drinks and potential health risks, particularly for groups of vulnerable individuals, including young people and those with pre-existing cardiac conditions. We provided a response to their letter. The Congressmen issued a report and recommendations in April 2013, most of which we had already implemented. The Congressmen released a follow-up report in January 2015, recommending, inter alia, that the energy drink industry not market to consumers under age 18 and not market their products for hydration, and that the FDA develop and release definitions and guidance for this market sector. In addition, other organizations, such as the European Food Safety Authority, have also published reports, studies, articles and opinions on caffeine and energy drinks.</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Product Labeling and Advertising. </w:t>
      </w:r>
      <w:r>
        <w:rPr>
          <w:rFonts w:ascii="Arial" w:cs="Arial" w:eastAsia="Arial" w:hAnsi="Arial"/>
          <w:sz w:val="18"/>
          <w:szCs w:val="18"/>
          <w:color w:val="auto"/>
        </w:rPr>
        <w:t>We are subject to Proposition 65 in California, a law which requires that a specified warning be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with respect to any product sold in California that contains in excess of threshold amounts of a substance listed by that state as having been found to cause cancer or reproductive toxicity. In May 2015, bisphenol-A (BPA), a food-grade chemical commonly used in the coating of the interiors of aluminum cans, was added to that list. We anticipate that the warning requirement will be deemed to be effective on May 11, 2016. However, our aluminum can suppliers are testing BPA non-intent coating for commercialization prior to this date. If we are required to add warning labels to any of our products or place warnings in certain other locations where our products are sold, it is difficult to predict whether, or to what extent, such a warning would have an impact on sales of our products in those locations or elsewhere.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the FDA is considering revising regulations with respect to serving size information and nutrition labeling on food and beverage products, including to require a declaration of added sugars. If adopted, we may incur significant costs to alter our existing packaging materials to comply with new regulations. Additionally, revised serving size information may impact and/or reduce and/or otherwise affect the purchase and consumption of our products by consumers.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July 2012, we received a subpoena from the Attorney General for the State of New York in connection with an investigation relating to the advertising, marketing, promotion, ingredients, usage and sale of our Monster Energy® brand energy drinks. We cannot predict the outcome of this inquiry and what effect, if any, it may have on our business, financial condition or results of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October 2012, we received a written request for information from the City Attorney for the City and County of San Francisco concerning the Company’s advertising and marketing of its Monster Energy® brand energy drinks and specifically concerning the safety of its products for consumption by adolescents. See “Part I, Item 3 – Legal Proceedings” below for additional information.</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Other countries, such as Kuwait, Qatar, Saudi Arabia and UAE are also considering labeling requirements, which may require us to amend our labels and warning statements.</w:t>
      </w:r>
    </w:p>
    <w:p>
      <w:pPr>
        <w:spacing w:after="0" w:line="19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i w:val="1"/>
          <w:iCs w:val="1"/>
          <w:color w:val="auto"/>
        </w:rPr>
        <w:t xml:space="preserve">Age and Other Restrictions on Energy Drink Products. </w:t>
      </w:r>
      <w:r>
        <w:rPr>
          <w:rFonts w:ascii="Arial" w:cs="Arial" w:eastAsia="Arial" w:hAnsi="Arial"/>
          <w:sz w:val="18"/>
          <w:szCs w:val="18"/>
          <w:color w:val="auto"/>
        </w:rPr>
        <w:t>Proposals to limit or restrict the sale of energy drinks to minors and/or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below a specified age and/or restrict the venues in which energy drinks can be sold and/or to restrict the use of the Supplemental Nutrition</w:t>
      </w:r>
    </w:p>
    <w:p>
      <w:pPr>
        <w:sectPr>
          <w:pgSz w:w="11900" w:h="16939" w:orient="portrait"/>
          <w:cols w:equalWidth="0" w:num="1">
            <w:col w:w="11420"/>
          </w:cols>
          <w:pgMar w:left="240" w:top="352" w:right="239" w:bottom="0" w:gutter="0" w:footer="0" w:header="0"/>
        </w:sectPr>
      </w:pPr>
    </w:p>
    <w:bookmarkStart w:id="12" w:name="page13"/>
    <w:bookmarkEnd w:id="12"/>
    <w:p>
      <w:pPr>
        <w:spacing w:after="0" w:line="5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Assistance Program (formerly food stamps) to purchase energy drinks have been raised and/or enacted in certain U.S. states, counties, municipalities and/or in certain foreign countries. For example, Lithuania has enacted legislation prohibiting the sale of energy drinks to persons under the age of 18 and in 2016 legislation will come into force in Latvia restricting advertising of energy drinks, prohibiting sales in educational establishments and prohibiting the sale to persons under the age of 18 of energy drinks containing certain ingredients (such as taurine).</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Excise Taxes on Energy Drinks. </w:t>
      </w:r>
      <w:r>
        <w:rPr>
          <w:rFonts w:ascii="Arial" w:cs="Arial" w:eastAsia="Arial" w:hAnsi="Arial"/>
          <w:sz w:val="18"/>
          <w:szCs w:val="18"/>
          <w:color w:val="auto"/>
        </w:rPr>
        <w:t>Legislation that would impose an excise tax on sweetened beverages has been proposed in Congress,</w:t>
      </w:r>
      <w:r>
        <w:rPr>
          <w:rFonts w:ascii="Arial" w:cs="Arial" w:eastAsia="Arial" w:hAnsi="Arial"/>
          <w:sz w:val="18"/>
          <w:szCs w:val="18"/>
          <w:i w:val="1"/>
          <w:iCs w:val="1"/>
          <w:color w:val="auto"/>
        </w:rPr>
        <w:t xml:space="preserve"> </w:t>
      </w:r>
      <w:r>
        <w:rPr>
          <w:rFonts w:ascii="Arial" w:cs="Arial" w:eastAsia="Arial" w:hAnsi="Arial"/>
          <w:sz w:val="18"/>
          <w:szCs w:val="18"/>
          <w:color w:val="auto"/>
        </w:rPr>
        <w:t>in some state legislatures, including Connecticut, Hawaii, Massachusetts, Nebraska, Oregon, Rhode Island and Texas, and by some local governments, with excise taxes generally ranging between $0.01 and $0.02 per ounce of sweetened beverage. Berkeley, California, became the first jurisdiction to pass such a measure, by ballot question approved in November 2014. A general tax of $0.01 per ounce on certain sweetened drinks, including energy drinks, became effective in Berkeley on January 1, 2015.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For example, Mexico instituted a 25% excise tax on certain energy drinks, to which our products are currently not subject and Mexico has also enacted a $1 MXN tax per liter on sugar-sweetened beverages. In addition, legislation has been proposed that would specifically impose excise taxes on energy drinks. For example, the Ukrainian Parliament is considering a draft law that would impose an excise tax on energy drinks based on the caffeine content and ingredients. Such targeted legislation has been passed in other countries. Hungary has instituted an excise tax to which our products are subject and France approved a tax on beverages containing more than 220 milligrams of caffeine per liter. We adjusted the caffeine levels in certain of our Monster® Energy products that are sold in France to address this regulation.</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Limits on Caffeine Content</w:t>
      </w:r>
      <w:r>
        <w:rPr>
          <w:rFonts w:ascii="Arial" w:cs="Arial" w:eastAsia="Arial" w:hAnsi="Arial"/>
          <w:sz w:val="18"/>
          <w:szCs w:val="18"/>
          <w:color w:val="auto"/>
        </w:rPr>
        <w:t>. Legislation has been proposed to limit the amount of caffeine that may be contained in beverages,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energy drinks. Some jurisdictions where we do business have prescribed limited caffeine content for beverages. On January 1, 2013, regulations took effect in Canada that limit the amount of caffeine contained in any beverage in a single-serving can or bottle to less than 180 milligrams. We adjusted the caffeine levels in certain of our Monster Energy® products that are sold in Canada to address these regulations, although the majority of our products were unaffected. Caffeine limit restrictions or restrictions on combining caffeine with other ingredients have also been implemented or proposed in other jurisdictions, including India. Such restrictions could require reformulations of certain of our products. However, we may not be able to satisfactorily reformulate our products in all jurisdictions that adopt similar legislation.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Limitations on Container Size. </w:t>
      </w:r>
      <w:r>
        <w:rPr>
          <w:rFonts w:ascii="Arial" w:cs="Arial" w:eastAsia="Arial" w:hAnsi="Arial"/>
          <w:sz w:val="20"/>
          <w:szCs w:val="20"/>
          <w:color w:val="auto"/>
        </w:rPr>
        <w:t>We package our products in a variety of different package types and sizes, including for certain of our</w:t>
      </w:r>
      <w:r>
        <w:rPr>
          <w:rFonts w:ascii="Arial" w:cs="Arial" w:eastAsia="Arial" w:hAnsi="Arial"/>
          <w:sz w:val="20"/>
          <w:szCs w:val="20"/>
          <w:i w:val="1"/>
          <w:iCs w:val="1"/>
          <w:color w:val="auto"/>
        </w:rPr>
        <w:t xml:space="preserve"> </w:t>
      </w:r>
      <w:r>
        <w:rPr>
          <w:rFonts w:ascii="Arial" w:cs="Arial" w:eastAsia="Arial" w:hAnsi="Arial"/>
          <w:sz w:val="20"/>
          <w:szCs w:val="20"/>
          <w:color w:val="auto"/>
        </w:rPr>
        <w:t>Monster Energy® brand energy drinks in aluminum cans larger than 16 fluid ounces. Certain jurisdictions, such as the member states of the Gulf Corporation Council as well as Yemen are considering container size limitations on energy drinks which may require us to change the size of our products sold in certain of these countries.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Container Deposits. </w:t>
      </w:r>
      <w:r>
        <w:rPr>
          <w:rFonts w:ascii="Arial" w:cs="Arial" w:eastAsia="Arial" w:hAnsi="Arial"/>
          <w:sz w:val="19"/>
          <w:szCs w:val="19"/>
          <w:color w:val="auto"/>
        </w:rPr>
        <w:t>Various municipalities, states and foreign countries require that a deposit be charged for certain non-refillable</w:t>
      </w:r>
      <w:r>
        <w:rPr>
          <w:rFonts w:ascii="Arial" w:cs="Arial" w:eastAsia="Arial" w:hAnsi="Arial"/>
          <w:sz w:val="19"/>
          <w:szCs w:val="19"/>
          <w:i w:val="1"/>
          <w:iCs w:val="1"/>
          <w:color w:val="auto"/>
        </w:rPr>
        <w:t xml:space="preserve"> </w:t>
      </w:r>
      <w:r>
        <w:rPr>
          <w:rFonts w:ascii="Arial" w:cs="Arial" w:eastAsia="Arial" w:hAnsi="Arial"/>
          <w:sz w:val="19"/>
          <w:szCs w:val="19"/>
          <w:color w:val="auto"/>
        </w:rPr>
        <w:t>beverage containers. The precise requirements imposed by these measures vary by jurisdiction. Other deposit, recycling or product stewardship proposals have been introduced in certain U.S. states, counties, municipalities and in certain foreign countries.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As of December 31, 2015, we employed a total of 2,214 employees of which 1,500 were employed on a full-time basis. Of our 2,214 employees, we employed 555 in administrative and operational capacities and 1,659 persons in sales and marketing capacities.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may read and copy such material at the SEC’s Public Reference Room located at 100 F Street, N.E., Washington, D.C. 20549. You may obtain information on the operation of the Public Reference Room by calling the SEC at 1-800-SEC-0330. You can also find the Company’s SEC filings at the SEC’s website, which contains reports, proxy and information statements, and other information regarding issuers that file electronically with the SEC, at http://www.sec.gov.</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Our Internet address is </w:t>
      </w:r>
      <w:r>
        <w:rPr>
          <w:rFonts w:ascii="Arial" w:cs="Arial" w:eastAsia="Arial" w:hAnsi="Arial"/>
          <w:sz w:val="19"/>
          <w:szCs w:val="19"/>
          <w:u w:val="single" w:color="auto"/>
          <w:color w:val="auto"/>
        </w:rPr>
        <w:t>www.monsterbevcorp.com</w:t>
      </w:r>
      <w:r>
        <w:rPr>
          <w:rFonts w:ascii="Arial" w:cs="Arial" w:eastAsia="Arial" w:hAnsi="Arial"/>
          <w:sz w:val="19"/>
          <w:szCs w:val="19"/>
          <w:color w:val="auto"/>
        </w:rPr>
        <w:t xml:space="preserve">. Information contained on our website is not part of this annual report on Form 10-K. Our SEC filings (including any amendments) will be made available free of charge on </w:t>
      </w:r>
      <w:r>
        <w:rPr>
          <w:rFonts w:ascii="Arial" w:cs="Arial" w:eastAsia="Arial" w:hAnsi="Arial"/>
          <w:sz w:val="19"/>
          <w:szCs w:val="19"/>
          <w:u w:val="single" w:color="auto"/>
          <w:color w:val="auto"/>
        </w:rPr>
        <w:t>www.monsterbevcorp.com</w:t>
      </w:r>
      <w:r>
        <w:rPr>
          <w:rFonts w:ascii="Arial" w:cs="Arial" w:eastAsia="Arial" w:hAnsi="Arial"/>
          <w:sz w:val="19"/>
          <w:szCs w:val="19"/>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ectPr>
          <w:pgSz w:w="11900" w:h="16893" w:orient="portrait"/>
          <w:cols w:equalWidth="0" w:num="1">
            <w:col w:w="11420"/>
          </w:cols>
          <w:pgMar w:left="240" w:top="122" w:right="239" w:bottom="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ind w:left="5580" w:hanging="484"/>
        <w:spacing w:after="0"/>
        <w:tabs>
          <w:tab w:leader="none" w:pos="5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739-6200</w:t>
      </w:r>
    </w:p>
    <w:p>
      <w:pPr>
        <w:ind w:left="5580" w:hanging="484"/>
        <w:spacing w:after="0"/>
        <w:tabs>
          <w:tab w:leader="none" w:pos="5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426-7367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financial condition and/or operating results.</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Following the TCCC Transaction, the Company and TCCC have extensive commercial arrangements and, as a result, the Company’s future performance is substantially dependent on the success of its relationship with TCCC.</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connection with the TCCC Transaction, the amended distribution coordination agreements entered into with TCCC provided for the transition of third parties’ rights to distribute the Company’s products in most territories in the U.S. to members of TCCC’s distribution network, which consists of owned or controlled bottlers/distributors and independent bottlers/distributors. On February 9, 2015, in accordance with its existing agreements with the applicable third-party distributors, the Company sent notices of termination to certain affected third-party distributors, including the majority of the AB Distributors in the U.S., providing for the termination of their respective distribution agreements, to be effective at various dates beginning in March 2015. The associated distribution rights were transferred to TCCC’s distribution network in each applicable territory as of the effective date of the termination of the applicable third party’s rights in such territory. In addition, it is expected that TCCC will become our preferred distribution partner globally. As a result, we will be reducing our distributor diversification and will be substantially dependent on TCCC’s international distribution platform.</w:t>
      </w:r>
    </w:p>
    <w:p>
      <w:pPr>
        <w:spacing w:after="0" w:line="1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Also in connection with the TCCC Transaction, TCCC made a substantial equity investment in the Company and has agreed, subject to certain exceptions, not to compete in the energy drink category. While we believe that this will incentivize TCCC to take steps to assure that our products receive the appropriate attention in the TCCC distribution system, there can be no assurance of this as TCCC is a much larger company with many strategic priorities. In addition, TCCC does not control all members of its distribution system, many of which are independent companies that make their own business decisions that may not always align with TCCC’s interests. Moreover, it is also possible that we may fail to recognize the expected benefits of the new distribution arrangements regardless of TCCC’s priorities or the priorities of the members of TCCC’s distribution system. In any such case, our operating results could suffer and the value of the Company’s common shares could be adversely affected.</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Following the TCCC Transaction, the Company no longer competes with TCCC in the non-energy drink category. As a result, we now derive virtually all of our revenues from energy drinks, and competitive pressure in the energy drink category could adversely affect our business and operating results.</w:t>
      </w:r>
    </w:p>
    <w:p>
      <w:pPr>
        <w:spacing w:after="0" w:line="20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Under the terms of the TCCC Transaction, we have agreed, subject to certain exceptions, not to compete with TCCC in the non-energy drink category. As a result, our sole focus is in the energy drink category and our business has become more vulnerable to adverse changes impacting the energy drink category and business, which could adversely impact our business and the trading price of our common stock.</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Following the TCCC Transaction, virtually all of our sales are derived from our energy drinks, including in particular our Monster Energy® brand energy drinks. Our Monster Energy® brand energy drinks represented 92.5% of net sales for the year ended December 31, 2015.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Domestically, our energy drinks compete directly with Red Bull, Rockstar, No Fear, Amp, Adrenaline Rush, Venom, Redline, Xenergy, MiO Energy, Rip It, Starbucks Double Shot, Starbucks Double Shot Energy Plus Coffee, Rockstar Roasted, 5-Hour Energy Shots, Stacker 2, VPX Redline Energy Shots and many other brands. In addition, certain large companies such as PepsiCo market and/or distribute products in that market segment, such as Pepsi Max, Mountain Dew, Mountain Dew MDX and Mountain Dew Kickstart. Internationally, our energy drinks compete with Red Bull, Rockstar, V-Energy, Lucozade, Adrenaline Rush and numerous local and private label brands that usually differ from country to country, such as Hell, Shock, Tiger, Boost, Speed, TNT, Shark, Hot 6, Shark Energy, Battery, Bullit, Flash Up, Black, Non-Stop, Bomba, Semtex, Vive 100, Dark Dog, Speed, Guaraná, Sting, M-150, Lipovitan, Bacchus, Bolt, Mr. Big and a host of other international brands. Our Java Monster® product line competes directly with Starbucks Frappuccino, Starbucks Double Shot, Starbucks Double Shot Energy Plus Coffee and other Starbucks coffee drinks, Rockstar Roasted, Seattle’s Best and illy issimo coffee drinks. Our Muscle Monster® product line competes directly with Muscle Milk, Core Power, ABB Pure Pro and Gatorade Recover Protein Shake. Competitive pressures in the energy drink category could impact our revenues and/or we could experience price erosion and/or lower market share, any of which could have a material adverse effect on our business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Following the TCCC Transaction, in certain markets the Company owns multiple potentially competing brands in the energy drink category.</w:t>
      </w:r>
    </w:p>
    <w:p>
      <w:pPr>
        <w:sectPr>
          <w:pgSz w:w="11900" w:h="16838" w:orient="portrait"/>
          <w:cols w:equalWidth="0" w:num="1">
            <w:col w:w="11420"/>
          </w:cols>
          <w:pgMar w:left="240" w:top="352" w:right="239" w:bottom="0" w:gutter="0" w:footer="0" w:header="0"/>
        </w:sectPr>
      </w:pPr>
    </w:p>
    <w:bookmarkStart w:id="14" w:name="page15"/>
    <w:bookmarkEnd w:id="14"/>
    <w:p>
      <w:pPr>
        <w:jc w:val="both"/>
        <w:ind w:firstLine="648"/>
        <w:spacing w:after="0" w:line="250" w:lineRule="auto"/>
        <w:rPr>
          <w:sz w:val="20"/>
          <w:szCs w:val="20"/>
          <w:color w:val="auto"/>
        </w:rPr>
      </w:pPr>
      <w:r>
        <w:rPr>
          <w:rFonts w:ascii="Arial" w:cs="Arial" w:eastAsia="Arial" w:hAnsi="Arial"/>
          <w:sz w:val="20"/>
          <w:szCs w:val="20"/>
          <w:color w:val="auto"/>
        </w:rPr>
        <w:t>As a result of the TCCC Transaction, in certain markets we have acquired additional brands in the energy drink category. We may encounter difficulties managing different and potentially competing brands in such shared markets, which could adversely impact our business and the trading price of our common stock.</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TCCC is a significant shareholder of the Company and may have interests that are different from the Company’s other shareholders (including current shareholders of the Company).</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Immediately following the consummation of the TCCC Transaction, TCCC owned common shares of the Company representing approximately 16.7% of the total number of the Company’s outstanding common shares. TCCC also nominated two directors to the Company’s board of directors. The number of directors that TCCC is entitled to nominate is subject to reduction in certain circumstances.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TCCC’s ownership could also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 in control transaction, a bidder would be required to secure the support of holders of 62.5% of the Company’s common shares not owned by TCCC (assuming that TCCC increased its ownership from approximately 16.7% to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 party.</w:t>
      </w:r>
    </w:p>
    <w:p>
      <w:pPr>
        <w:spacing w:after="0" w:line="1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interests of TCCC may be different from or conflict with the interests of the Company’s other shareholders and, as a result, TCCC’s influence may result in the delay or prevention of potential actions or transactions, including a potential change of management or control of the Company, even if such action or transaction may be beneficial to the Company’s other shareholders. Moreover, TCCC’s ownership of a significant amount of the Company’s outstanding common shares could result in downward pressure on the trading price of the Company’s common shares if TCCC were to sell a large portion of its shares or as a result of the perception that such a sale might occur.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Changes in government regulation, or failure to comply with existing regulations, could adversely affect our business, financial condition and results of operations.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and municipal level in respect of each of the foregoing subject areas. Public health officials and health advocates are increasingly focused on the public health consequences associated with obesity, especially as the disease affects children, and are seeking legislative change to reduce the consumption of sweetened beverages. There also has been an increased focus on caffeine content in beverages.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production, distribution and sale in the United States of many of our products are also currently subject to various federal and state regulations, including, but not limited to: the FD&amp;C Act, including as amended by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statutes and regulations. If a regulatory authority finds that a current or future product or production run is not in compliance with any of these regulations, we may be fined, or such products may have to be recalled and/or reformulated and/or have the packaging changed, which could adversely affect our business, financial condition and results of operations.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We cannot predict the effect of inquiries from and/or actions by attorneys general and/or other government agencies and/or quasi-government agencies into the advertising, marketing, promotion, ingredients, usage and/or sale of our energy drink products.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are subject to the risks of investigations and/or enforcement actions by state attorneys general and/or other government and/or quasi-governmental agencies relating to the advertising, marketing, promotion, ingredients, usage and/or sale of our energy drinks. In July 2012, we received a subpoena from a state attorney general in connection with an investigation relating to the advertising, marketing, promotion, ingredients, usage and sale of our Monster Energy® brand energy drinks. We cannot predict the outcome of this inquiry and what, if any, effect it may have on our business, financial condition or results of operations.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ectPr>
          <w:pgSz w:w="11900" w:h="16838" w:orient="portrait"/>
          <w:cols w:equalWidth="0" w:num="1">
            <w:col w:w="11420"/>
          </w:cols>
          <w:pgMar w:left="240" w:top="352" w:right="239" w:bottom="0" w:gutter="0" w:footer="0" w:header="0"/>
        </w:sectPr>
      </w:pPr>
    </w:p>
    <w:bookmarkStart w:id="15" w:name="page16"/>
    <w:bookmarkEnd w:id="15"/>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Litigation regarding our products, and related unfavorable media attention, could expose us to significant liabilities and reduce demand for our products.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have been named as a defendant in product liability lawsuits which allege that consumption of our products has been responsible for wrongful deaths and/or injuries. We do not believe that our products are responsible for such wrongful deaths and/or injuries, and intend to vigorously defend each such lawsuit. We believe that each of these lawsuits is without merit and would not have a material adverse effect on our financial position or results of operations in the event any damages were awarded.</w:t>
      </w:r>
    </w:p>
    <w:p>
      <w:pPr>
        <w:spacing w:after="0" w:line="19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October 2012, we received a written request for information from the City Attorney for the City and County of San Francisco (the “City Attorney”) concerning our advertising and marketing of our Monster Energy® brand of energy drinks and specifically concerning the safety of our products for consumption by adolescents. In a subsequent letter, the City Attorney threatened to bring suit against us if we did not agree to take certain steps immediately and, on May 6, 2013, the City Attorney filed a complaint against us for declaratory and injunctive relief, civil penalties and restitution for an alleged violation of California’s Unfair Competition Law. We deny that we have violated the Unfair Competition Law or any other law and believe that the City Attorney’s claims and demands are preempted and unconstitutional. We intend to vigorously defend against the lawsuit. At this time, no evaluation of the likelihood of an unfavorable outcome or range of potential loss can be expressed.</w:t>
      </w:r>
    </w:p>
    <w:p>
      <w:pPr>
        <w:spacing w:after="0" w:line="2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Several other lawsuits have been filed against us claiming that certain statements made in our advertisements and/or on the labels of our products were false and/or misleading in nature and/or that our products are not safe. Putative class action lawsuits have also recently been filed against certain of our competitors asserting that certain claims in their advertisements amount to false advertising. We do not believe any statements made by us in our promotional materials or set forth on our product labels are false or misleading or that our products are in any way unsafe and intend to vigorously defend these lawsuits.</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of the foregoing matters or other product-related litigation, the threat thereof, or unfavorable media attention arising from pending or threatened product-related litigation, could consume significant financial and managerial resources, and result in decreased demand for our products, significant monetary awards against us and injury to our reputation.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Criticism of our energy drink products, and/or criticism or a negative perception of energy drinks generally, could adversely affect us.</w:t>
      </w:r>
    </w:p>
    <w:p>
      <w:pPr>
        <w:spacing w:after="0" w:line="241" w:lineRule="exact"/>
        <w:rPr>
          <w:sz w:val="20"/>
          <w:szCs w:val="20"/>
          <w:color w:val="auto"/>
        </w:rPr>
      </w:pPr>
    </w:p>
    <w:p>
      <w:pPr>
        <w:jc w:val="both"/>
        <w:ind w:firstLine="654"/>
        <w:spacing w:after="0" w:line="257" w:lineRule="auto"/>
        <w:rPr>
          <w:sz w:val="20"/>
          <w:szCs w:val="20"/>
          <w:color w:val="auto"/>
        </w:rPr>
      </w:pPr>
      <w:r>
        <w:rPr>
          <w:rFonts w:ascii="Arial" w:cs="Arial" w:eastAsia="Arial" w:hAnsi="Arial"/>
          <w:sz w:val="19"/>
          <w:szCs w:val="19"/>
          <w:color w:val="auto"/>
        </w:rPr>
        <w:t>An unfavorable report on the health effects of caffeine, or criticism or negative publicity regarding the caffeine content and/or any other ingredients in our products or energy drinks generally,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they could adversely affect the demand for our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competition could hurt our business.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flavors, product positioning as well as promotion and marketing strategies. Our products compete with a wide range of drinks produced by a relatively large number of manufacturers, some of which have substantially greater financial, marketing and distribution resources than we do.</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Important factors affecting our ability to compete successfully include the taste and flavor of our products, trade and consumer promotions, rapid and effective development of new, unique cutting edge products, attractive and different packaging, branded product advertising and pricing. Our products compete with all liquid refreshments and in some cases with products of much larger and substantially better financed competitors, including the products of numerous nationally and internationally known producers such as TCCC, PepsiCo, Red Bull Gmbh and the DPS Group. We also compete with companies that are smaller or primarily national or local in operations. Our products also compete with private label brands such as those carried by grocery store chains, convenience store chains, and club stores.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9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Global economic uncertainties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w:t>
      </w:r>
    </w:p>
    <w:p>
      <w:pPr>
        <w:sectPr>
          <w:pgSz w:w="11900" w:h="16955" w:orient="portrait"/>
          <w:cols w:equalWidth="0" w:num="1">
            <w:col w:w="11420"/>
          </w:cols>
          <w:pgMar w:left="240" w:top="130" w:right="239" w:bottom="0" w:gutter="0" w:footer="0" w:header="0"/>
        </w:sectPr>
      </w:pPr>
    </w:p>
    <w:bookmarkStart w:id="16" w:name="page17"/>
    <w:bookmarkEnd w:id="16"/>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any developments or crisis in European and other international markets. If economic conditions deteriorate, our industry, business and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consumer preferences may reduce demand for some of our products.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beverage industry is subject to changing consumer preferences and shifts in consumer preferences may adversely affect us. There is increasing awareness of and concern for the health consequences of obesity. This may reduce demand for our non-diet beverages, which could reduce our revenues and adversely affect our results of operations. Recently, concerns have emerged regarding diet sodas and in particular, aspartame, which is contained in certain of our Strategic Brands energy drinks.</w:t>
      </w:r>
    </w:p>
    <w:p>
      <w:pPr>
        <w:spacing w:after="0" w:line="19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taste, quality and health, although there can be no assurance of our ability to do so. There is no assurance that consumers will continue to purchase our products in the future. Product lifecycles for some beverage brands and/or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If our revenues decline, our business, financial condition and results of operations could be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Operations outside the United States expose us to uncertain conditions and other risks in international markets.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Our gross sales to customers outside of the United States were approximately 23% of consolidated gross sales for the years ended December 31, 2015, 2014 and 2013, and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areas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U.S. We face and will continue to face substantial risks associated with having foreign operations, including: economic and/or political instability in our international markets;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Global or regional catastrophic events could impact our operations and affect our ability to grow our business.</w:t>
      </w:r>
    </w:p>
    <w:p>
      <w:pPr>
        <w:spacing w:after="0" w:line="229" w:lineRule="exact"/>
        <w:rPr>
          <w:sz w:val="20"/>
          <w:szCs w:val="20"/>
          <w:color w:val="auto"/>
        </w:rPr>
      </w:pPr>
    </w:p>
    <w:p>
      <w:pPr>
        <w:jc w:val="both"/>
        <w:ind w:firstLine="654"/>
        <w:spacing w:after="0" w:line="243" w:lineRule="auto"/>
        <w:rPr>
          <w:sz w:val="20"/>
          <w:szCs w:val="20"/>
          <w:color w:val="auto"/>
        </w:rPr>
      </w:pPr>
      <w:r>
        <w:rPr>
          <w:rFonts w:ascii="Arial" w:cs="Arial" w:eastAsia="Arial" w:hAnsi="Arial"/>
          <w:sz w:val="20"/>
          <w:szCs w:val="20"/>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or widespread outbreaks of infectious diseases. Such events could impact the production and/or distribution of our products. In addition, such events could disrupt global or regional economic activity, which could affect consumer purchasing power, thereby reducing demand for our products. If we are unable to grow our business internationally as a result of these factors, our growth rate could decline.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foreign currency exchange rates may adversely affect our operating results.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exposed to foreign currency exchange rate risk with respect to our sales, expenses, profits, assets and liabilities denominated in currencies other than the U.S. dollar. We may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207"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do not directly manufacture our products, but instead outsource such manufacturing to bottlers and other contract packers.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our Monster Energy® brand energy drinks, our Muscle Monster®</w:t>
      </w:r>
    </w:p>
    <w:p>
      <w:pPr>
        <w:sectPr>
          <w:pgSz w:w="11900" w:h="16935" w:orient="portrait"/>
          <w:cols w:equalWidth="0" w:num="1">
            <w:col w:w="11420"/>
          </w:cols>
          <w:pgMar w:left="240" w:top="122" w:right="239" w:bottom="0" w:gutter="0" w:footer="0" w:header="0"/>
        </w:sectPr>
      </w:pPr>
    </w:p>
    <w:bookmarkStart w:id="17" w:name="page18"/>
    <w:bookmarkEnd w:id="17"/>
    <w:p>
      <w:pPr>
        <w:jc w:val="both"/>
        <w:spacing w:after="0" w:line="283" w:lineRule="auto"/>
        <w:rPr>
          <w:sz w:val="20"/>
          <w:szCs w:val="20"/>
          <w:color w:val="auto"/>
        </w:rPr>
      </w:pPr>
      <w:r>
        <w:rPr>
          <w:rFonts w:ascii="Arial" w:cs="Arial" w:eastAsia="Arial" w:hAnsi="Arial"/>
          <w:sz w:val="18"/>
          <w:szCs w:val="18"/>
          <w:color w:val="auto"/>
        </w:rPr>
        <w:t>product line, our Java Monster® product line and certain of our other products. While we believe a short-term disruption or delay in production would not significantly affect our revenue, a lengthy disruption or delay in the production of any of such products could significantly adversely affect our revenues from such products because alternative co-packing facilities in the United States and abroad with adequate long-term capacity may not be available for such products either at commercially reasonable rates, and/or within a reasonably short time period, if at all.</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Many of our bottlers/distributors are affiliated with and manufacture and/or distribute other soda, carbonated and non-carbonated brands and other beverage products (both alcoholic and non-alcoholic). In many cases, such products compete directly with our products.</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Unilateral decisions could be taken by our bottlers/distributors, convenience and gas chains, grocery chains, specialty chain stores, club stores and other customers, to discontinue carrying certain or all of our products that they are carrying at any time, which could cause our business to suffer.</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TCCC North American Bottlers, CCE and Coca-Cola Hellenic are our primary domestic and international distributors of our products. As a result, if we are unable to maintain good relationships with the TCCC North American Bottlers and/or CCE and/or Coca-Cola Hellenic, or if the TCCC North American Bottlers and/or CCE and/or Coca-Cola Hellenic do not effectively focus on marketing, promoting, selling and distributing our products, sales of our products could be adversely affected.</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through the TCCC Subsidiaries, accounted for approximately 42%, 29% and 29% of our net sales for the years ended December 31, 2015, 2014 and 2013, respectively. A decision by CCR, CCBC, CCE, Wal-Mart, Inc. (including Sam’s Club), Coca-Cola Hellenic, or any other large customer to decrease the amount purchased from us or to cease carrying our products could have a material adverse effect on our financial condition and consolidated results of operations.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marketing efforts of our distributors are important for our success. If our brands prove to be less attractive to our existing bottlers and distributors and/or if we fail to attract additional bottlers and distributors, and/or our bottlers and/or distributors do not market, promote and distribute our products effectively, our business, financial condition and results of operations could be adversely affected.</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upon our ongoing relationships with our key flavor suppliers. If we are unable to source our flavors on acceptable terms from our key suppliers, we could suffer disruptions in our business.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Generally, flavor suppliers hold the proprietary rights to their flavors. Consequently, we do not have the list of flavor ingredients or formulae for our flavors and certain of our concentrates readily available to us and we may be unable to obtain comparable flavors or concentrates from alternative suppliers on short notice. If we must replace a flavor supplier, we could experience a temporary disruption in our ability to deliver products to our customers and/or a reduction in demand for our products containing replacement flavors, which could have a material adverse effect on our business and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Increases in costs and/or shortages of raw materials and/or ingredients and/or fuel and/or costs of co-packing could harm our business.</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principal raw materials used by us are aluminum cans, sleek aluminum cans, aluminum Cap Cans, aluminum cans with resealable ends, flavors, juice concentrates, sugar, sucralose, milk, cream, protein, dietary ingredients and other packaging materials; the costs and availability of which are subject to fluctuations. In addition, certain of our co-pack arrangements allow such co-packers to increase their charges based on certain of their own cost increases. We are uncertain whether the prices of any of the above or any other raw materials or ingredients, certain of which have recently risen, will continue to rise or may rise in the future. We are unsure whether we will be able to pass any of such increases on to our customers. We generally do not use hedging agreements or alternative instruments to manage the risks associated with securing sufficient ingredients or raw materials although we do, from time to time, enter into purchase agreements for a significant portion of our annual anticipated requirements for certain raw materials such as aluminum cans, apple juice, sugar and sucralose.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some of these raw materials, including certain sizes of cans, are available from a limited number of suppliers.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failure to accurately estimate demand for our products could adversely affect our business and financial results.</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may not correctly estimate demand for our products. Our ability to estimate demand for our products is imprecise, particularly with regard to new products, and may be less precise during periods of rapid growth, particularly in new markets. If we materially underestimate demand for our products or are unable to secure sufficient ingredients or raw materials including, but not limited to, aluminum cans, aluminum Cap Cans, sleek aluminum cans, aluminum cans with resealable ends, PET plastic bottles, glass bottles, labels, sucralose, flavors, dietary ingredients, juice concentrates, certain sweeteners, coffee, tea, protein, packaging materials or co-packing arrangements, we might not be able to satisfy demand on a short-term basis. Moreover, industry-wide shortages of certain juice concentrates, dietary ingredients and sweeteners have been and could, from time to time in the future, be experienced.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do not maintain sufficient inventory levels and/or if we are unable to deliver our products to our customers in sufficient quantities, and/or if our customers’ or retailers’ inventory levels are too high, our operating results could be adversely affected.</w:t>
      </w:r>
    </w:p>
    <w:p>
      <w:pPr>
        <w:sectPr>
          <w:pgSz w:w="11900" w:h="16838" w:orient="portrait"/>
          <w:cols w:equalWidth="0" w:num="1">
            <w:col w:w="11420"/>
          </w:cols>
          <w:pgMar w:left="240" w:top="122" w:right="239" w:bottom="27"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9"/>
          <w:szCs w:val="19"/>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The costs of packaging supplies are subject to price increases from time to time and we may be unable to pass all or some of such increased costs on to our customers.</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Many of our packaging supply contracts allow our suppliers to alter the costs they charge us for packaging supplies based on changes in the costs of the underlying commodities that are used to produce those packaging supplies, such as aluminum for cans,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intellectual property rights are critical to our success, and the loss of such rights could materially adversely affect our business.</w:t>
      </w:r>
    </w:p>
    <w:p>
      <w:pPr>
        <w:spacing w:after="0" w:line="24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third parties will not infringe or misappropriate our trademarks, copyrights and similar proprietary rights. If we lose some or all of our intellectual property rights, our business may be materially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are unable to maintain our brand image or product quality, our business may suffer.</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success depends on our ability to build and maintain the brand image for our existing products, new products and brand extensions. There can be no assurance that our advertising, marketing and promotional programs will have the desired impact on our products’ brand image and on consumer preference and demand. Product quality and/or ingredient content issues, efficacy or lack thereof, real or imagined, or allegations of product contamination, even if false or unfounded, could tarnish the image of the affected brands and may cause consumers to choose other products.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as well as proposed or new legislation affecting our industry.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encounter product recalls, our business may suffer and we may incur material losses.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may be required from time to time to recall products entirely or from specific co-packers, markets or batches if such products become contaminated, damaged, mislabeled or otherwise materially not compliant with applicable regulatory requirements. Material product recalls could adversely affect our profitability and our brand image. We do not maintain recall insurance.</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business is dependent, to a large extent, upon the services of our senior management. We do not maintain key person life insurance on any members of our senior management. The loss of services of either Mr. Sacks, Chairman and Chief Executive Officer, Mr. Schlosberg,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Climate change may negatively affect our business.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is concern that a gradual increase in global average temperatures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and/or increase the cost of certain key ingredients, juice concentrates and dietary ingredients used in our products. Increased frequency or duration of extreme weather conditions could also impair production capabilities, disrupt our supply chain including, without limitation, the availability of, and/or result in higher prices for juice concentrates, natural flavors and dietary ingredients or impact demand for our products.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adverse effect on our results of operations.</w:t>
      </w:r>
    </w:p>
    <w:p>
      <w:pPr>
        <w:sectPr>
          <w:pgSz w:w="11900" w:h="16838" w:orient="portrait"/>
          <w:cols w:equalWidth="0" w:num="1">
            <w:col w:w="11420"/>
          </w:cols>
          <w:pgMar w:left="240" w:top="122"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2" w:right="239" w:bottom="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changes in accounting practices and/or taxation may adversely affect our financial results.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stock price may restrict sale opportunities.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or net income. We may be unable to achieve analysts’ net revenue and/or earnings forecasts, which are based on their own projected revenues, sales volumes and sales mix of many product types and/or new products, certain of which are more profitable than others, as well as their own estimates of gross margin and operating expenses. There can be no assurance that we will achieve any projected levels or mixes of product sales and/or revenues and/or gross margins and/or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2015, our stock price high was $160.50 and our stock price low was $106.77.</w:t>
      </w:r>
    </w:p>
    <w:p>
      <w:pPr>
        <w:spacing w:after="0" w:line="20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Provisions in our organizational documents and control by insiders may prevent changes in control even if such changes would be beneficial to other stockholders.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organizational documents may limit changes in control. Furthermore, as of February 4, 2016, Mr. Sacks and Mr. Schlosberg together may be deemed to beneficially own and/or exercise voting control over approximately 10% of our outstanding common stock. Immediately following the consummation of the TCCC Transaction, TCCC owned approximately 16.7% of our common stock. Consequently, Mr. Sacks, Mr. Schlosberg and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cash flow may not be sufficient to fund our long term goals.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Although we currently have sufficient cash to support our planned operating activities in the current year, we may be unable to generate sufficient cash flow to support our capital expenditure plans and general operating activities in the future. In addition, the terms and/or availability of our credit facility and/or the activities of our debtors and/or creditors could affect the financing of our future growth.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investments in marketable securities are subject to risks which may cause losses and affect the liquidity of these investments.</w:t>
      </w:r>
    </w:p>
    <w:p>
      <w:pPr>
        <w:spacing w:after="0" w:line="24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At December 31, 2015, we had $2,175.4 million in cash and cash equivalents, $744.6 million in short-term investments and $15.4 million of long-term investments. We have historically invested these amounts in U.S. Treasury bills, certificates of deposit, commercial paper, government agencies and municipal securities (which may have an auction reset feature), variable rate demand notes and money market funds meeting certain criteria.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may be required to record a significant charge to earnings if our goodwill or intangible assets become impaired.</w:t>
      </w:r>
    </w:p>
    <w:p>
      <w:pPr>
        <w:spacing w:after="0" w:line="229" w:lineRule="exact"/>
        <w:rPr>
          <w:sz w:val="20"/>
          <w:szCs w:val="20"/>
          <w:color w:val="auto"/>
        </w:rPr>
      </w:pPr>
    </w:p>
    <w:p>
      <w:pPr>
        <w:jc w:val="both"/>
        <w:ind w:firstLine="361"/>
        <w:spacing w:after="0" w:line="291" w:lineRule="auto"/>
        <w:rPr>
          <w:sz w:val="20"/>
          <w:szCs w:val="20"/>
          <w:color w:val="auto"/>
        </w:rPr>
      </w:pPr>
      <w:r>
        <w:rPr>
          <w:rFonts w:ascii="Arial" w:cs="Arial" w:eastAsia="Arial" w:hAnsi="Arial"/>
          <w:sz w:val="18"/>
          <w:szCs w:val="18"/>
          <w:color w:val="auto"/>
        </w:rPr>
        <w:t>Under GAAP, we are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a decline in stock price and market capitalization, and slower growth rates in our industry.</w:t>
      </w:r>
    </w:p>
    <w:p>
      <w:pPr>
        <w:spacing w:after="0" w:line="165" w:lineRule="exact"/>
        <w:rPr>
          <w:sz w:val="20"/>
          <w:szCs w:val="20"/>
          <w:color w:val="auto"/>
        </w:rPr>
      </w:pPr>
    </w:p>
    <w:p>
      <w:pPr>
        <w:jc w:val="both"/>
        <w:ind w:right="20" w:firstLine="361"/>
        <w:spacing w:after="0" w:line="269" w:lineRule="auto"/>
        <w:rPr>
          <w:sz w:val="20"/>
          <w:szCs w:val="20"/>
          <w:color w:val="auto"/>
        </w:rPr>
      </w:pPr>
      <w:r>
        <w:rPr>
          <w:rFonts w:ascii="Arial" w:cs="Arial" w:eastAsia="Arial" w:hAnsi="Arial"/>
          <w:sz w:val="19"/>
          <w:szCs w:val="19"/>
          <w:color w:val="auto"/>
        </w:rPr>
        <w:t>We may be required to record a significant charge to earnings in our financial statements during the period in which we determine that our intangible assets have been impaired. Any such charge would adversely impact our results of operations. As of December 31, 2015, our goodwill totaled approximately $1,279.7 million and our intangible assets totaled approximately $428.0 million.</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required to maintain both disclosure controls and procedures and internal control over financial reporting that are effective for the purposes described in “Part II, Item 9A – Controls and Procedures.” If we fail to do so, our business, results of operations, financial condition or the value of our stock could be materially harmed.</w:t>
      </w:r>
    </w:p>
    <w:p>
      <w:pPr>
        <w:sectPr>
          <w:pgSz w:w="11900" w:h="16838" w:orient="portrait"/>
          <w:cols w:equalWidth="0" w:num="1">
            <w:col w:w="11420"/>
          </w:cols>
          <w:pgMar w:left="240" w:top="517" w:right="239" w:bottom="0" w:gutter="0" w:footer="0" w:header="0"/>
        </w:sectPr>
      </w:pPr>
    </w:p>
    <w:bookmarkStart w:id="20" w:name="page21"/>
    <w:bookmarkEnd w:id="20"/>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i w:val="1"/>
          <w:iCs w:val="1"/>
          <w:color w:val="auto"/>
        </w:rPr>
        <w:t>Litigation, legal proceedings, government and regulatory inquiries and/or proceedings could expose us to significant liabilities and thus negatively affect our financial results.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are a party, from time to time, to various litigation claims and legal proceedings, government and regulatory inquiries and/or proceedings, including, but not limited to, intellectual property, fraud, unfair business practices, false advertising, product liability, breach of contract claims, securities actions and shareholder derivative actions. Material legal proceedings are described more fully in “Part I, Item 3 – Legal Proceedings” and in “Part II, Item 8, Note 11” to our consolidated financial statements contained in this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Defending these proceedings can result in significant ongoing expenditures and the diversion of our management’s time and attention from the operation of our business, which could have a negative effect on our business operations.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must continually maintain, protect and/or upgrade our information technology systems.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Information technology helps us operate efficiently, interface with customers,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 including cybersecurity attacks. Cybersecurity attacks are evolving and include, but are not limited to, malicious software, attempts to gain unauthorized access to data, and other electronic security breaches that could lead to disruptions in systems, an inability to process customer orders and/or lost customer orders, unauthorized release of confidential or otherwise protected information and corruption of data. We believe that we have adopted appropriate measures to mitigate potential risks to our technology and our operations from these information technology-related disruptions. However, given the unpredictability of the timing, nature and scope of such disruptions, we could potentially be subject to operational interruption, damage to our brand image and private data exposure. 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9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35" w:lineRule="exact"/>
        <w:rPr>
          <w:sz w:val="20"/>
          <w:szCs w:val="20"/>
          <w:color w:val="auto"/>
        </w:rPr>
      </w:pPr>
    </w:p>
    <w:p>
      <w:pPr>
        <w:jc w:val="center"/>
        <w:ind w:right="89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owned corporate headquarters are located at 1 Monster Way, Corona, California 92879, and consists of an approximately 141,000 square-foot, free standing, six-story building. As a result of our sustainability efforts, we are seeking ENERGY STAR certification for our corporate headquarters shortly.</w:t>
      </w:r>
    </w:p>
    <w:p>
      <w:pPr>
        <w:spacing w:after="0" w:line="20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During February 2016, we entered into an agreement to acquire approximately 49 acres of land, located in Rialto, CA, for a purchase price of approximately $39 million. The purchase is subject to various conditions precedent that must be satisfied prior to the closing. If we ultimately acquire the land, we intend to build an approximately 1,000,000 square-foot building, which we hope to have LEED certified, to replace our current leased warehouse and distribution space in Corona, CA.</w:t>
      </w:r>
    </w:p>
    <w:p>
      <w:pPr>
        <w:spacing w:after="0" w:line="205" w:lineRule="exact"/>
        <w:rPr>
          <w:sz w:val="20"/>
          <w:szCs w:val="20"/>
          <w:color w:val="auto"/>
        </w:rPr>
      </w:pPr>
    </w:p>
    <w:p>
      <w:pPr>
        <w:ind w:left="780"/>
        <w:spacing w:after="0"/>
        <w:rPr>
          <w:sz w:val="20"/>
          <w:szCs w:val="20"/>
          <w:color w:val="auto"/>
        </w:rPr>
      </w:pPr>
      <w:r>
        <w:rPr>
          <w:rFonts w:ascii="Arial" w:cs="Arial" w:eastAsia="Arial" w:hAnsi="Arial"/>
          <w:sz w:val="19"/>
          <w:szCs w:val="19"/>
          <w:color w:val="auto"/>
        </w:rPr>
        <w:t>In addition, we lease many smaller office and/or warehouse spaces, both domestically and in certain international locations.</w:t>
      </w:r>
    </w:p>
    <w:p>
      <w:pPr>
        <w:spacing w:after="0" w:line="235"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been named a defendant in various personal injury lawsuits, claiming that the death or 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w:t>
      </w:r>
    </w:p>
    <w:p>
      <w:pPr>
        <w:sectPr>
          <w:pgSz w:w="11900" w:h="16966" w:orient="portrait"/>
          <w:cols w:equalWidth="0" w:num="1">
            <w:col w:w="11420"/>
          </w:cols>
          <w:pgMar w:left="240" w:top="121" w:right="239" w:bottom="0" w:gutter="0" w:footer="0" w:header="0"/>
        </w:sectPr>
      </w:pPr>
    </w:p>
    <w:bookmarkStart w:id="21" w:name="page22"/>
    <w:bookmarkEnd w:id="21"/>
    <w:p>
      <w:pPr>
        <w:spacing w:after="0" w:line="7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York County. The motion was fully briefed and was argued on March 17, 2015. No decision has been rendered.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San Francisco City Attorney Litigation </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right="20" w:firstLine="8"/>
        <w:spacing w:after="0" w:line="269" w:lineRule="auto"/>
        <w:tabs>
          <w:tab w:leader="none" w:pos="2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 (ii) “Provide adequate warning labels”; (iii) “Cease promoting over-consumption in marketing”; (iv) “Cease use of alcohol and drug references in marketing”; and (v) “Cease targeting minors.”</w:t>
      </w:r>
    </w:p>
    <w:p>
      <w:pPr>
        <w:spacing w:after="0" w:line="182" w:lineRule="exact"/>
        <w:rPr>
          <w:rFonts w:ascii="Arial" w:cs="Arial" w:eastAsia="Arial" w:hAnsi="Arial"/>
          <w:sz w:val="19"/>
          <w:szCs w:val="19"/>
          <w:color w:val="auto"/>
        </w:rPr>
      </w:pPr>
    </w:p>
    <w:p>
      <w:pPr>
        <w:jc w:val="both"/>
        <w:ind w:firstLine="656"/>
        <w:spacing w:after="0" w:line="255" w:lineRule="auto"/>
        <w:tabs>
          <w:tab w:leader="none" w:pos="912" w:val="left"/>
        </w:tabs>
        <w:numPr>
          <w:ilvl w:val="1"/>
          <w:numId w:val="12"/>
        </w:numPr>
        <w:rPr>
          <w:rFonts w:ascii="Arial" w:cs="Arial" w:eastAsia="Arial" w:hAnsi="Arial"/>
          <w:sz w:val="19"/>
          <w:szCs w:val="19"/>
          <w:color w:val="auto"/>
        </w:rPr>
      </w:pPr>
      <w:r>
        <w:rPr>
          <w:rFonts w:ascii="Arial" w:cs="Arial" w:eastAsia="Arial" w:hAnsi="Arial"/>
          <w:sz w:val="19"/>
          <w:szCs w:val="19"/>
          <w:color w:val="auto"/>
        </w:rPr>
        <w:t xml:space="preserve">The Company Action – On April 29, 2013, the Company and its wholly owned subsidiary, Monster Energy Company, filed a 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the City Attorney filed a renewed motion to dismiss the Company Action and on December 16, 2013, the Central District Court granted the City Attorney’s renewed motion, dismissing the Company Action. The Company filed a Notice of Appeal to the Ninth Circuit on December 18, 2013. The appeal is fully briefed and is set for argument on April 7, 2016.</w:t>
      </w:r>
    </w:p>
    <w:p>
      <w:pPr>
        <w:spacing w:after="0" w:line="198" w:lineRule="exact"/>
        <w:rPr>
          <w:rFonts w:ascii="Arial" w:cs="Arial" w:eastAsia="Arial" w:hAnsi="Arial"/>
          <w:sz w:val="19"/>
          <w:szCs w:val="19"/>
          <w:color w:val="auto"/>
        </w:rPr>
      </w:pPr>
    </w:p>
    <w:p>
      <w:pPr>
        <w:jc w:val="both"/>
        <w:ind w:firstLine="656"/>
        <w:spacing w:after="0" w:line="269" w:lineRule="auto"/>
        <w:tabs>
          <w:tab w:leader="none" w:pos="9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The San Francisco Action – On May 6, 2013, the San Francisco City Attorney filed a complaint for declaratory and injunctive relief, civil penalties and restitution for alleged violation of California’s Unfair Competition Law, Business &amp; Professions Code sections 17200, </w:t>
      </w:r>
      <w:r>
        <w:rPr>
          <w:rFonts w:ascii="Arial" w:cs="Arial" w:eastAsia="Arial" w:hAnsi="Arial"/>
          <w:sz w:val="18"/>
          <w:szCs w:val="18"/>
          <w:i w:val="1"/>
          <w:iCs w:val="1"/>
          <w:color w:val="auto"/>
        </w:rPr>
        <w:t>et seq., styled People Of The State Of California ex rel. Dennis Herrera, San Francisco City Attorney v. Monster Beverage Corporation</w:t>
      </w:r>
      <w:r>
        <w:rPr>
          <w:rFonts w:ascii="Arial" w:cs="Arial" w:eastAsia="Arial" w:hAnsi="Arial"/>
          <w:sz w:val="18"/>
          <w:szCs w:val="18"/>
          <w:color w:val="auto"/>
        </w:rPr>
        <w:t>, in San</w:t>
      </w:r>
      <w:r>
        <w:rPr>
          <w:rFonts w:ascii="Arial" w:cs="Arial" w:eastAsia="Arial" w:hAnsi="Arial"/>
          <w:sz w:val="18"/>
          <w:szCs w:val="18"/>
          <w:i w:val="1"/>
          <w:iCs w:val="1"/>
          <w:color w:val="auto"/>
        </w:rPr>
        <w:t xml:space="preserve"> </w:t>
      </w:r>
      <w:r>
        <w:rPr>
          <w:rFonts w:ascii="Arial" w:cs="Arial" w:eastAsia="Arial" w:hAnsi="Arial"/>
          <w:sz w:val="18"/>
          <w:szCs w:val="18"/>
          <w:color w:val="auto"/>
        </w:rPr>
        <w:t>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spacing w:after="0" w:line="3"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(2) is selling an “adulterated” product because caffeine is not generally recognized as safe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After a motion to strike filed by the Company was granted in part, on March 20, 2014, the City Attorney filed an amended complaint, adding allegations supporting the theory for relief as to which the Court had granted the motion to strike. On April 18, 2014, the Company filed a renewed motion to strike, as well as a motion asking the Court to bifurcate and/or stay claims relating to the safety of Monster Energy® brand energy drinks, pending resolution of the ongoing FDA investigation of the safety and labeling of food products to which caffeine is added. On May 22, 2014, the Court denied the Company’s motion to strike and motion to bifurcate and/or stay claims relating to safety.</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 Discovery is ongoing.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Court has set the case for a bench trial for April 10-17, 2017.</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actions or investigations described above have not progressed to a point where a reasonably possible range of losses associated with their ultimate outcome can be estimated at this time. If the final resolution of any such litigation or proceedings is unfavorable, the Company’s financial condition, operating results and cash flows could be materially affected.</w:t>
      </w:r>
    </w:p>
    <w:p>
      <w:pPr>
        <w:spacing w:after="0" w:line="200"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w:t>
      </w:r>
    </w:p>
    <w:p>
      <w:pPr>
        <w:sectPr>
          <w:pgSz w:w="11900" w:h="16913" w:orient="portrait"/>
          <w:cols w:equalWidth="0" w:num="1">
            <w:col w:w="11420"/>
          </w:cols>
          <w:pgMar w:left="240" w:top="121" w:right="239" w:bottom="0" w:gutter="0" w:footer="0" w:header="0"/>
        </w:sectPr>
      </w:pPr>
    </w:p>
    <w:bookmarkStart w:id="22" w:name="page23"/>
    <w:bookmarkEnd w:id="22"/>
    <w:p>
      <w:pPr>
        <w:jc w:val="both"/>
        <w:spacing w:after="0" w:line="245" w:lineRule="auto"/>
        <w:rPr>
          <w:sz w:val="20"/>
          <w:szCs w:val="20"/>
          <w:color w:val="auto"/>
        </w:rPr>
      </w:pPr>
      <w:r>
        <w:rPr>
          <w:rFonts w:ascii="Arial" w:cs="Arial" w:eastAsia="Arial" w:hAnsi="Arial"/>
          <w:sz w:val="20"/>
          <w:szCs w:val="20"/>
          <w:color w:val="auto"/>
        </w:rPr>
        <w:t>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2015, the Company’s consolidated balance sheet includes accrued loss contingencies of approximately $2.8 million.</w:t>
      </w:r>
    </w:p>
    <w:p>
      <w:pPr>
        <w:spacing w:after="0" w:line="159"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29"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Market</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On January 5, 2012, stockholders of the Company approved the Company’s name change from Hansen Natural Corporation to Monster Beverage Corporation. In addition, on January 9, 2012, the Company’s common stock began trading under the symbol “MNST”. As of February 4, 2016, there were 202,919,837 shares of the Company’s common stock outstanding held by approximately 236 holders of record. The holders of record do not include those stockholders whose shares are held of record by banks, brokers and other financial institutions.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and Dividend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high and low per share sales price of our common stock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 Ended December 31, 2015</w:t>
            </w:r>
          </w:p>
        </w:tc>
        <w:tc>
          <w:tcPr>
            <w:tcW w:w="20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High</w:t>
            </w: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Low</w:t>
            </w:r>
          </w:p>
        </w:tc>
      </w:tr>
      <w:tr>
        <w:trPr>
          <w:trHeight w:val="206"/>
        </w:trPr>
        <w:tc>
          <w:tcPr>
            <w:tcW w:w="4220" w:type="dxa"/>
            <w:vAlign w:val="bottom"/>
          </w:tcPr>
          <w:p>
            <w:pPr>
              <w:spacing w:after="0" w:line="207" w:lineRule="exact"/>
              <w:rPr>
                <w:sz w:val="20"/>
                <w:szCs w:val="20"/>
                <w:color w:val="auto"/>
              </w:rPr>
            </w:pPr>
            <w:r>
              <w:rPr>
                <w:rFonts w:ascii="Arial" w:cs="Arial" w:eastAsia="Arial" w:hAnsi="Arial"/>
                <w:sz w:val="20"/>
                <w:szCs w:val="20"/>
                <w:color w:val="auto"/>
              </w:rPr>
              <w:t>First Quarter</w:t>
            </w:r>
          </w:p>
        </w:tc>
        <w:tc>
          <w:tcPr>
            <w:tcW w:w="2020" w:type="dxa"/>
            <w:vAlign w:val="bottom"/>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143.90</w:t>
            </w:r>
          </w:p>
        </w:tc>
        <w:tc>
          <w:tcPr>
            <w:tcW w:w="50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106.77</w:t>
            </w: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Second Quarter</w:t>
            </w:r>
          </w:p>
        </w:tc>
        <w:tc>
          <w:tcPr>
            <w:tcW w:w="20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144.69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124.18</w:t>
            </w: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Third Quarter</w:t>
            </w:r>
          </w:p>
        </w:tc>
        <w:tc>
          <w:tcPr>
            <w:tcW w:w="20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155.83</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115.62</w:t>
            </w:r>
          </w:p>
        </w:tc>
      </w:tr>
      <w:tr>
        <w:trPr>
          <w:trHeight w:val="250"/>
        </w:trPr>
        <w:tc>
          <w:tcPr>
            <w:tcW w:w="4220" w:type="dxa"/>
            <w:vAlign w:val="bottom"/>
          </w:tcPr>
          <w:p>
            <w:pPr>
              <w:spacing w:after="0"/>
              <w:rPr>
                <w:sz w:val="20"/>
                <w:szCs w:val="20"/>
                <w:color w:val="auto"/>
              </w:rPr>
            </w:pPr>
            <w:r>
              <w:rPr>
                <w:rFonts w:ascii="Arial" w:cs="Arial" w:eastAsia="Arial" w:hAnsi="Arial"/>
                <w:sz w:val="20"/>
                <w:szCs w:val="20"/>
                <w:color w:val="auto"/>
              </w:rPr>
              <w:t>Fourth Quarter</w:t>
            </w:r>
          </w:p>
        </w:tc>
        <w:tc>
          <w:tcPr>
            <w:tcW w:w="20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160.50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127.34</w:t>
            </w:r>
          </w:p>
        </w:tc>
      </w:tr>
      <w:tr>
        <w:trPr>
          <w:trHeight w:val="442"/>
        </w:trPr>
        <w:tc>
          <w:tcPr>
            <w:tcW w:w="4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 Ended December 31, 2014</w:t>
            </w:r>
          </w:p>
        </w:tc>
        <w:tc>
          <w:tcPr>
            <w:tcW w:w="2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High</w:t>
            </w: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Low</w:t>
            </w:r>
          </w:p>
        </w:tc>
      </w:tr>
      <w:tr>
        <w:trPr>
          <w:trHeight w:val="206"/>
        </w:trPr>
        <w:tc>
          <w:tcPr>
            <w:tcW w:w="4220" w:type="dxa"/>
            <w:vAlign w:val="bottom"/>
          </w:tcPr>
          <w:p>
            <w:pPr>
              <w:spacing w:after="0" w:line="207" w:lineRule="exact"/>
              <w:rPr>
                <w:sz w:val="20"/>
                <w:szCs w:val="20"/>
                <w:color w:val="auto"/>
              </w:rPr>
            </w:pPr>
            <w:r>
              <w:rPr>
                <w:rFonts w:ascii="Arial" w:cs="Arial" w:eastAsia="Arial" w:hAnsi="Arial"/>
                <w:sz w:val="20"/>
                <w:szCs w:val="20"/>
                <w:color w:val="auto"/>
              </w:rPr>
              <w:t>First Quarter</w:t>
            </w:r>
          </w:p>
        </w:tc>
        <w:tc>
          <w:tcPr>
            <w:tcW w:w="2020" w:type="dxa"/>
            <w:vAlign w:val="bottom"/>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75.63</w:t>
            </w:r>
          </w:p>
        </w:tc>
        <w:tc>
          <w:tcPr>
            <w:tcW w:w="50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66.31</w:t>
            </w: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Second Quarter</w:t>
            </w:r>
          </w:p>
        </w:tc>
        <w:tc>
          <w:tcPr>
            <w:tcW w:w="20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73.38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63.00</w:t>
            </w: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Third Quarter</w:t>
            </w:r>
          </w:p>
        </w:tc>
        <w:tc>
          <w:tcPr>
            <w:tcW w:w="20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94.93</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63.82</w:t>
            </w:r>
          </w:p>
        </w:tc>
      </w:tr>
      <w:tr>
        <w:trPr>
          <w:trHeight w:val="250"/>
        </w:trPr>
        <w:tc>
          <w:tcPr>
            <w:tcW w:w="4220" w:type="dxa"/>
            <w:vAlign w:val="bottom"/>
          </w:tcPr>
          <w:p>
            <w:pPr>
              <w:spacing w:after="0"/>
              <w:rPr>
                <w:sz w:val="20"/>
                <w:szCs w:val="20"/>
                <w:color w:val="auto"/>
              </w:rPr>
            </w:pPr>
            <w:r>
              <w:rPr>
                <w:rFonts w:ascii="Arial" w:cs="Arial" w:eastAsia="Arial" w:hAnsi="Arial"/>
                <w:sz w:val="20"/>
                <w:szCs w:val="20"/>
                <w:color w:val="auto"/>
              </w:rPr>
              <w:t>Fourth Quarter</w:t>
            </w:r>
          </w:p>
        </w:tc>
        <w:tc>
          <w:tcPr>
            <w:tcW w:w="20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113.50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89.56</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per share sales prices of our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paid cash dividends to our stockholders since our inception and do not anticipate paying cash dividends in the foreseeable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future.</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June 12, 2015, as part of the TCCC Transaction, the Company cancelled 41.5 million shares of treasury stock owned by the Company. The cancelled stock had a carrying value of approximately $1,482.6 million. The Company’s accounting policy upon the formal retirement of treasury stock is to deduct its par value from common stock and to reflect any excess of cost over par as a deduction from retained earnings.</w:t>
      </w:r>
    </w:p>
    <w:p>
      <w:pPr>
        <w:sectPr>
          <w:pgSz w:w="11900" w:h="16838" w:orient="portrait"/>
          <w:cols w:equalWidth="0" w:num="1">
            <w:col w:w="11420"/>
          </w:cols>
          <w:pgMar w:left="240" w:top="121" w:right="239" w:bottom="41"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9"/>
          <w:szCs w:val="19"/>
          <w:color w:val="auto"/>
        </w:rPr>
        <w:t>On April 7, 2013, the Company’s Board of Directors authorized a new share repurchase program for the repurchase of up to $200.0 million of the Company’s outstanding common stock (the “April 2013 Repurchase Plan”). During the year ended December 31, 2015, the Company purchased 1.1 million shares of common stock at an average purchase price of $134.71 per share, for a total amount of $145.7 million (excluding broker commissions), which exhausted the availability under the April 2013 Repurchase Plan.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September 11, 2015, the Company’s Board of Directors authorized a new share repurchase program for the repurchase of up to $500.0 million of the Company’s outstanding common stock (the “September 2015 Repurchase Plan”). During the year ended December 31, 2015, the Company purchased 1.9 million shares of common stock at an average purchase price of $134.26 per share, for a total amount of $250.0 million (excluding broker commissions), under the September 2015 Repurchase Plan.</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During the year ended December 31, 2015, 3.3 million shares were purchased from employees in lieu of cash payments for options exercised or withholding taxes due for a total amount of $412.3 million. While such purchases are considered common stock repurchases, they are not counted as purchases against the Company’s authorized share repurchase programs, including the September 2015 Repurchase Plan or the April 2013 Repurchase Plan. Shares purchased subsequent to the TCCC Transaction are included in common stock in treasury in the accompanying condensed consolidated balance sheet at December 31, 2015.</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the Company’s repurchase activity during the quarter ended 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2"/>
          </w:tcPr>
          <w:p>
            <w:pPr>
              <w:jc w:val="center"/>
              <w:spacing w:after="0"/>
              <w:rPr>
                <w:sz w:val="20"/>
                <w:szCs w:val="20"/>
                <w:color w:val="auto"/>
              </w:rPr>
            </w:pPr>
            <w:r>
              <w:rPr>
                <w:rFonts w:ascii="Arial" w:cs="Arial" w:eastAsia="Arial" w:hAnsi="Arial"/>
                <w:sz w:val="20"/>
                <w:szCs w:val="20"/>
                <w:color w:val="auto"/>
                <w:w w:val="93"/>
              </w:rPr>
              <w:t>Maximum Number (or</w:t>
            </w: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2"/>
          </w:tcPr>
          <w:p>
            <w:pPr>
              <w:jc w:val="center"/>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Total Number of</w:t>
            </w:r>
          </w:p>
        </w:tc>
        <w:tc>
          <w:tcPr>
            <w:tcW w:w="2400" w:type="dxa"/>
            <w:vAlign w:val="bottom"/>
            <w:gridSpan w:val="2"/>
          </w:tcPr>
          <w:p>
            <w:pPr>
              <w:jc w:val="center"/>
              <w:spacing w:after="0"/>
              <w:rPr>
                <w:sz w:val="20"/>
                <w:szCs w:val="20"/>
                <w:color w:val="auto"/>
              </w:rPr>
            </w:pPr>
            <w:r>
              <w:rPr>
                <w:rFonts w:ascii="Arial" w:cs="Arial" w:eastAsia="Arial" w:hAnsi="Arial"/>
                <w:sz w:val="20"/>
                <w:szCs w:val="20"/>
                <w:color w:val="auto"/>
                <w:w w:val="88"/>
              </w:rPr>
              <w:t>Value) of Shares that</w:t>
            </w: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20"/>
                <w:szCs w:val="20"/>
                <w:color w:val="auto"/>
                <w:w w:val="83"/>
              </w:rPr>
              <w:t>Shares Purchased</w:t>
            </w:r>
          </w:p>
        </w:tc>
        <w:tc>
          <w:tcPr>
            <w:tcW w:w="2400" w:type="dxa"/>
            <w:vAlign w:val="bottom"/>
            <w:gridSpan w:val="2"/>
          </w:tcPr>
          <w:p>
            <w:pPr>
              <w:jc w:val="center"/>
              <w:spacing w:after="0"/>
              <w:rPr>
                <w:sz w:val="20"/>
                <w:szCs w:val="20"/>
                <w:color w:val="auto"/>
              </w:rPr>
            </w:pPr>
            <w:r>
              <w:rPr>
                <w:rFonts w:ascii="Arial" w:cs="Arial" w:eastAsia="Arial" w:hAnsi="Arial"/>
                <w:sz w:val="20"/>
                <w:szCs w:val="20"/>
                <w:color w:val="auto"/>
                <w:w w:val="87"/>
              </w:rPr>
              <w:t>May Yet Be Purchased</w:t>
            </w: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Total Number</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as Part of Publicly</w:t>
            </w:r>
          </w:p>
        </w:tc>
        <w:tc>
          <w:tcPr>
            <w:tcW w:w="2400" w:type="dxa"/>
            <w:vAlign w:val="bottom"/>
            <w:gridSpan w:val="2"/>
          </w:tcPr>
          <w:p>
            <w:pPr>
              <w:jc w:val="center"/>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of Shares</w:t>
            </w:r>
          </w:p>
        </w:tc>
        <w:tc>
          <w:tcPr>
            <w:tcW w:w="1980" w:type="dxa"/>
            <w:vAlign w:val="bottom"/>
            <w:gridSpan w:val="3"/>
          </w:tcPr>
          <w:p>
            <w:pPr>
              <w:jc w:val="center"/>
              <w:ind w:right="280"/>
              <w:spacing w:after="0"/>
              <w:rPr>
                <w:sz w:val="20"/>
                <w:szCs w:val="20"/>
                <w:color w:val="auto"/>
              </w:rPr>
            </w:pPr>
            <w:r>
              <w:rPr>
                <w:rFonts w:ascii="Arial" w:cs="Arial" w:eastAsia="Arial" w:hAnsi="Arial"/>
                <w:sz w:val="20"/>
                <w:szCs w:val="20"/>
                <w:color w:val="auto"/>
                <w:w w:val="87"/>
              </w:rPr>
              <w:t>Average Price</w:t>
            </w:r>
          </w:p>
        </w:tc>
        <w:tc>
          <w:tcPr>
            <w:tcW w:w="234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Announced Plans</w:t>
            </w:r>
          </w:p>
        </w:tc>
        <w:tc>
          <w:tcPr>
            <w:tcW w:w="2400" w:type="dxa"/>
            <w:vAlign w:val="bottom"/>
            <w:gridSpan w:val="2"/>
          </w:tcPr>
          <w:p>
            <w:pPr>
              <w:jc w:val="center"/>
              <w:spacing w:after="0"/>
              <w:rPr>
                <w:sz w:val="20"/>
                <w:szCs w:val="20"/>
                <w:color w:val="auto"/>
              </w:rPr>
            </w:pPr>
            <w:r>
              <w:rPr>
                <w:rFonts w:ascii="Arial" w:cs="Arial" w:eastAsia="Arial" w:hAnsi="Arial"/>
                <w:sz w:val="20"/>
                <w:szCs w:val="20"/>
                <w:color w:val="auto"/>
                <w:w w:val="89"/>
              </w:rPr>
              <w:t>Programs (In</w:t>
            </w:r>
          </w:p>
        </w:tc>
      </w:tr>
      <w:tr>
        <w:trPr>
          <w:trHeight w:val="246"/>
        </w:trPr>
        <w:tc>
          <w:tcPr>
            <w:tcW w:w="2600" w:type="dxa"/>
            <w:vAlign w:val="bottom"/>
            <w:gridSpan w:val="3"/>
          </w:tcPr>
          <w:p>
            <w:pPr>
              <w:spacing w:after="0"/>
              <w:rPr>
                <w:sz w:val="20"/>
                <w:szCs w:val="20"/>
                <w:color w:val="auto"/>
              </w:rPr>
            </w:pPr>
            <w:r>
              <w:rPr>
                <w:rFonts w:ascii="Arial" w:cs="Arial" w:eastAsia="Arial" w:hAnsi="Arial"/>
                <w:sz w:val="20"/>
                <w:szCs w:val="20"/>
                <w:color w:val="auto"/>
              </w:rPr>
              <w:t>Period</w:t>
            </w:r>
          </w:p>
        </w:tc>
        <w:tc>
          <w:tcPr>
            <w:tcW w:w="2000" w:type="dxa"/>
            <w:vAlign w:val="bottom"/>
            <w:gridSpan w:val="2"/>
          </w:tcPr>
          <w:p>
            <w:pPr>
              <w:jc w:val="center"/>
              <w:ind w:right="280"/>
              <w:spacing w:after="0"/>
              <w:rPr>
                <w:sz w:val="20"/>
                <w:szCs w:val="20"/>
                <w:color w:val="auto"/>
              </w:rPr>
            </w:pPr>
            <w:r>
              <w:rPr>
                <w:rFonts w:ascii="Arial" w:cs="Arial" w:eastAsia="Arial" w:hAnsi="Arial"/>
                <w:sz w:val="20"/>
                <w:szCs w:val="20"/>
                <w:color w:val="auto"/>
                <w:w w:val="83"/>
              </w:rPr>
              <w:t>Purchased</w:t>
            </w:r>
          </w:p>
        </w:tc>
        <w:tc>
          <w:tcPr>
            <w:tcW w:w="1980" w:type="dxa"/>
            <w:vAlign w:val="bottom"/>
            <w:gridSpan w:val="3"/>
          </w:tcPr>
          <w:p>
            <w:pPr>
              <w:jc w:val="center"/>
              <w:ind w:right="280"/>
              <w:spacing w:after="0"/>
              <w:rPr>
                <w:sz w:val="20"/>
                <w:szCs w:val="20"/>
                <w:color w:val="auto"/>
              </w:rPr>
            </w:pPr>
            <w:r>
              <w:rPr>
                <w:rFonts w:ascii="Arial" w:cs="Arial" w:eastAsia="Arial" w:hAnsi="Arial"/>
                <w:sz w:val="20"/>
                <w:szCs w:val="20"/>
                <w:color w:val="auto"/>
                <w:w w:val="86"/>
              </w:rPr>
              <w:t>per Share¹</w:t>
            </w:r>
          </w:p>
        </w:tc>
        <w:tc>
          <w:tcPr>
            <w:tcW w:w="23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or Programs</w:t>
            </w:r>
          </w:p>
        </w:tc>
        <w:tc>
          <w:tcPr>
            <w:tcW w:w="720" w:type="dxa"/>
            <w:vAlign w:val="bottom"/>
          </w:tcPr>
          <w:p>
            <w:pPr>
              <w:spacing w:after="0"/>
              <w:rPr>
                <w:sz w:val="21"/>
                <w:szCs w:val="21"/>
                <w:color w:val="auto"/>
              </w:rPr>
            </w:pPr>
          </w:p>
        </w:tc>
        <w:tc>
          <w:tcPr>
            <w:tcW w:w="1680" w:type="dxa"/>
            <w:vAlign w:val="bottom"/>
          </w:tcPr>
          <w:p>
            <w:pPr>
              <w:jc w:val="center"/>
              <w:ind w:right="621"/>
              <w:spacing w:after="0"/>
              <w:rPr>
                <w:sz w:val="20"/>
                <w:szCs w:val="20"/>
                <w:color w:val="auto"/>
              </w:rPr>
            </w:pPr>
            <w:r>
              <w:rPr>
                <w:rFonts w:ascii="Arial" w:cs="Arial" w:eastAsia="Arial" w:hAnsi="Arial"/>
                <w:sz w:val="20"/>
                <w:szCs w:val="20"/>
                <w:color w:val="auto"/>
                <w:w w:val="87"/>
              </w:rPr>
              <w:t>thousands)²</w:t>
            </w:r>
          </w:p>
        </w:tc>
      </w:tr>
      <w:tr>
        <w:trPr>
          <w:trHeight w:val="244"/>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Oct 1 - Oct 31</w:t>
            </w:r>
          </w:p>
        </w:tc>
        <w:tc>
          <w:tcPr>
            <w:tcW w:w="300" w:type="dxa"/>
            <w:vAlign w:val="bottom"/>
          </w:tcPr>
          <w:p>
            <w:pPr>
              <w:spacing w:after="0"/>
              <w:rPr>
                <w:sz w:val="21"/>
                <w:szCs w:val="21"/>
                <w:color w:val="auto"/>
              </w:rPr>
            </w:pPr>
          </w:p>
        </w:tc>
        <w:tc>
          <w:tcPr>
            <w:tcW w:w="17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61,100</w:t>
            </w:r>
          </w:p>
        </w:tc>
        <w:tc>
          <w:tcPr>
            <w:tcW w:w="280" w:type="dxa"/>
            <w:vAlign w:val="bottom"/>
          </w:tcPr>
          <w:p>
            <w:pPr>
              <w:spacing w:after="0"/>
              <w:rPr>
                <w:sz w:val="21"/>
                <w:szCs w:val="21"/>
                <w:color w:val="auto"/>
              </w:rPr>
            </w:pPr>
          </w:p>
        </w:tc>
        <w:tc>
          <w:tcPr>
            <w:tcW w:w="7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134.12</w:t>
            </w:r>
          </w:p>
        </w:tc>
        <w:tc>
          <w:tcPr>
            <w:tcW w:w="280" w:type="dxa"/>
            <w:vAlign w:val="bottom"/>
          </w:tcPr>
          <w:p>
            <w:pPr>
              <w:spacing w:after="0"/>
              <w:rPr>
                <w:sz w:val="21"/>
                <w:szCs w:val="21"/>
                <w:color w:val="auto"/>
              </w:rPr>
            </w:pPr>
          </w:p>
        </w:tc>
        <w:tc>
          <w:tcPr>
            <w:tcW w:w="20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61,100</w:t>
            </w:r>
          </w:p>
        </w:tc>
        <w:tc>
          <w:tcPr>
            <w:tcW w:w="280" w:type="dxa"/>
            <w:vAlign w:val="bottom"/>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250,007</w:t>
            </w:r>
          </w:p>
        </w:tc>
      </w:tr>
    </w:tbl>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¹Excluding broker commissions paid.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²Net of broker commissions paid.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5"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The following table sets forth information as of December 31, 2015 with respect to shares of our common stock that may be issued under our equity compensation plans.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0" w:type="dxa"/>
            <w:vAlign w:val="bottom"/>
          </w:tcPr>
          <w:p>
            <w:pPr>
              <w:jc w:val="center"/>
              <w:ind w:right="50"/>
              <w:spacing w:after="0"/>
              <w:rPr>
                <w:sz w:val="20"/>
                <w:szCs w:val="20"/>
                <w:color w:val="auto"/>
              </w:rPr>
            </w:pPr>
            <w:r>
              <w:rPr>
                <w:rFonts w:ascii="Arial" w:cs="Arial" w:eastAsia="Arial" w:hAnsi="Arial"/>
                <w:sz w:val="18"/>
                <w:szCs w:val="18"/>
                <w:color w:val="auto"/>
                <w:w w:val="91"/>
              </w:rPr>
              <w:t>Number of securities to</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Weighted-average</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remaining available for future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0" w:type="dxa"/>
            <w:vAlign w:val="bottom"/>
          </w:tcPr>
          <w:p>
            <w:pPr>
              <w:jc w:val="center"/>
              <w:ind w:right="50"/>
              <w:spacing w:after="0"/>
              <w:rPr>
                <w:sz w:val="20"/>
                <w:szCs w:val="20"/>
                <w:color w:val="auto"/>
              </w:rPr>
            </w:pPr>
            <w:r>
              <w:rPr>
                <w:rFonts w:ascii="Arial" w:cs="Arial" w:eastAsia="Arial" w:hAnsi="Arial"/>
                <w:sz w:val="18"/>
                <w:szCs w:val="18"/>
                <w:color w:val="auto"/>
                <w:w w:val="87"/>
              </w:rPr>
              <w:t>be issued upon exercise</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exercise price of</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issuance under equity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0" w:type="dxa"/>
            <w:vAlign w:val="bottom"/>
          </w:tcPr>
          <w:p>
            <w:pPr>
              <w:jc w:val="center"/>
              <w:ind w:right="50"/>
              <w:spacing w:after="0"/>
              <w:rPr>
                <w:sz w:val="20"/>
                <w:szCs w:val="20"/>
                <w:color w:val="auto"/>
              </w:rPr>
            </w:pPr>
            <w:r>
              <w:rPr>
                <w:rFonts w:ascii="Arial" w:cs="Arial" w:eastAsia="Arial" w:hAnsi="Arial"/>
                <w:sz w:val="18"/>
                <w:szCs w:val="18"/>
                <w:color w:val="auto"/>
                <w:w w:val="91"/>
              </w:rPr>
              <w:t>of outstanding options,</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compensation plans (excluding</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0" w:type="dxa"/>
            <w:vAlign w:val="bottom"/>
          </w:tcPr>
          <w:p>
            <w:pPr>
              <w:jc w:val="center"/>
              <w:ind w:right="50"/>
              <w:spacing w:after="0"/>
              <w:rPr>
                <w:sz w:val="20"/>
                <w:szCs w:val="20"/>
                <w:color w:val="auto"/>
              </w:rPr>
            </w:pPr>
            <w:r>
              <w:rPr>
                <w:rFonts w:ascii="Arial" w:cs="Arial" w:eastAsia="Arial" w:hAnsi="Arial"/>
                <w:sz w:val="18"/>
                <w:szCs w:val="18"/>
                <w:color w:val="auto"/>
                <w:w w:val="90"/>
              </w:rPr>
              <w:t>warrants and rights</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securities reflected in column (a))</w:t>
            </w:r>
          </w:p>
        </w:tc>
        <w:tc>
          <w:tcPr>
            <w:tcW w:w="0" w:type="dxa"/>
            <w:vAlign w:val="bottom"/>
          </w:tcPr>
          <w:p>
            <w:pPr>
              <w:spacing w:after="0"/>
              <w:rPr>
                <w:sz w:val="1"/>
                <w:szCs w:val="1"/>
                <w:color w:val="auto"/>
              </w:rPr>
            </w:pPr>
          </w:p>
        </w:tc>
      </w:tr>
      <w:tr>
        <w:trPr>
          <w:trHeight w:val="190"/>
        </w:trPr>
        <w:tc>
          <w:tcPr>
            <w:tcW w:w="10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Plan category</w:t>
            </w:r>
          </w:p>
        </w:tc>
        <w:tc>
          <w:tcPr>
            <w:tcW w:w="3020" w:type="dxa"/>
            <w:vAlign w:val="bottom"/>
          </w:tcPr>
          <w:p>
            <w:pPr>
              <w:spacing w:after="0"/>
              <w:rPr>
                <w:sz w:val="16"/>
                <w:szCs w:val="16"/>
                <w:color w:val="auto"/>
              </w:rPr>
            </w:pPr>
          </w:p>
        </w:tc>
        <w:tc>
          <w:tcPr>
            <w:tcW w:w="2200" w:type="dxa"/>
            <w:vAlign w:val="bottom"/>
          </w:tcPr>
          <w:p>
            <w:pPr>
              <w:jc w:val="center"/>
              <w:ind w:right="70"/>
              <w:spacing w:after="0" w:line="190" w:lineRule="exact"/>
              <w:rPr>
                <w:sz w:val="20"/>
                <w:szCs w:val="20"/>
                <w:color w:val="auto"/>
              </w:rPr>
            </w:pPr>
            <w:r>
              <w:rPr>
                <w:rFonts w:ascii="Arial" w:cs="Arial" w:eastAsia="Arial" w:hAnsi="Arial"/>
                <w:sz w:val="18"/>
                <w:szCs w:val="18"/>
                <w:color w:val="auto"/>
                <w:w w:val="90"/>
              </w:rPr>
              <w:t>(a)</w:t>
            </w:r>
          </w:p>
        </w:tc>
        <w:tc>
          <w:tcPr>
            <w:tcW w:w="2120" w:type="dxa"/>
            <w:vAlign w:val="bottom"/>
          </w:tcPr>
          <w:p>
            <w:pPr>
              <w:jc w:val="center"/>
              <w:spacing w:after="0" w:line="190" w:lineRule="exact"/>
              <w:rPr>
                <w:sz w:val="20"/>
                <w:szCs w:val="20"/>
                <w:color w:val="auto"/>
              </w:rPr>
            </w:pPr>
            <w:r>
              <w:rPr>
                <w:rFonts w:ascii="Arial" w:cs="Arial" w:eastAsia="Arial" w:hAnsi="Arial"/>
                <w:sz w:val="18"/>
                <w:szCs w:val="18"/>
                <w:color w:val="auto"/>
                <w:w w:val="99"/>
              </w:rPr>
              <w:t>(b)</w:t>
            </w:r>
          </w:p>
        </w:tc>
        <w:tc>
          <w:tcPr>
            <w:tcW w:w="3080" w:type="dxa"/>
            <w:vAlign w:val="bottom"/>
          </w:tcPr>
          <w:p>
            <w:pPr>
              <w:jc w:val="center"/>
              <w:spacing w:after="0" w:line="190" w:lineRule="exact"/>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Equity compensation plans approved by</w:t>
            </w:r>
          </w:p>
        </w:tc>
        <w:tc>
          <w:tcPr>
            <w:tcW w:w="2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020" w:type="dxa"/>
            <w:vAlign w:val="bottom"/>
            <w:gridSpan w:val="2"/>
            <w:vMerge w:val="continue"/>
          </w:tcPr>
          <w:p>
            <w:pPr>
              <w:spacing w:after="0"/>
              <w:rPr>
                <w:sz w:val="24"/>
                <w:szCs w:val="24"/>
                <w:color w:val="auto"/>
              </w:rPr>
            </w:pPr>
          </w:p>
        </w:tc>
        <w:tc>
          <w:tcPr>
            <w:tcW w:w="2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2200" w:type="dxa"/>
            <w:vAlign w:val="bottom"/>
          </w:tcPr>
          <w:p>
            <w:pPr>
              <w:jc w:val="center"/>
              <w:ind w:right="70"/>
              <w:spacing w:after="0"/>
              <w:rPr>
                <w:sz w:val="20"/>
                <w:szCs w:val="20"/>
                <w:color w:val="auto"/>
              </w:rPr>
            </w:pPr>
            <w:r>
              <w:rPr>
                <w:rFonts w:ascii="Arial" w:cs="Arial" w:eastAsia="Arial" w:hAnsi="Arial"/>
                <w:sz w:val="18"/>
                <w:szCs w:val="18"/>
                <w:color w:val="auto"/>
                <w:w w:val="89"/>
              </w:rPr>
              <w:t>6,768,423</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$50.87</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10,321,921</w:t>
            </w:r>
          </w:p>
        </w:tc>
        <w:tc>
          <w:tcPr>
            <w:tcW w:w="0" w:type="dxa"/>
            <w:vAlign w:val="bottom"/>
          </w:tcPr>
          <w:p>
            <w:pPr>
              <w:spacing w:after="0"/>
              <w:rPr>
                <w:sz w:val="1"/>
                <w:szCs w:val="1"/>
                <w:color w:val="auto"/>
              </w:rPr>
            </w:pPr>
          </w:p>
        </w:tc>
      </w:tr>
      <w:tr>
        <w:trPr>
          <w:trHeight w:val="418"/>
        </w:trPr>
        <w:tc>
          <w:tcPr>
            <w:tcW w:w="40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2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26"/>
        </w:trPr>
        <w:tc>
          <w:tcPr>
            <w:tcW w:w="402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6,768,423</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$50.87</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10,321,921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graph shows a five-year comparison of cumulative total returns:</w:t>
      </w:r>
      <w:r>
        <w:rPr>
          <w:rFonts w:ascii="Arial" w:cs="Arial" w:eastAsia="Arial" w:hAnsi="Arial"/>
          <w:sz w:val="12"/>
          <w:szCs w:val="12"/>
          <w:color w:val="auto"/>
        </w:rPr>
        <w:t>1</w:t>
      </w:r>
    </w:p>
    <w:p>
      <w:pPr>
        <w:sectPr>
          <w:pgSz w:w="11900" w:h="16838" w:orient="portrait"/>
          <w:cols w:equalWidth="0" w:num="1">
            <w:col w:w="11420"/>
          </w:cols>
          <w:pgMar w:left="240" w:top="121"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3978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20"/>
        <w:spacing w:after="0" w:line="23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Annual return assumes reinvestment of dividends. Cumulative total return assumes an initial investment of $100 on December 31, 2010. The Company’s current self-selected peer group is comprised of TCCC, DPS Group, National Beverage Corporation, Jones Soda Company and Cott Corporation.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SELECTED FINANCIAL DATA</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consolidated statements of operations data set forth below with respect to each of the fiscal years ended December 31, 2013 through 2015 and the balance sheet data as of December 31, 2015 and 2014,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2012 and 2011 and the balance sheet data as of December 31, 2013, 2012 and 2011 are derived from the Company’s audited consolidated financial statements not included 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20"/>
                <w:szCs w:val="20"/>
                <w:b w:val="1"/>
                <w:bCs w:val="1"/>
                <w:color w:val="auto"/>
              </w:rPr>
              <w:t>(in thousands, except</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20"/>
                <w:szCs w:val="20"/>
                <w:b w:val="1"/>
                <w:bCs w:val="1"/>
                <w:color w:val="auto"/>
              </w:rPr>
              <w:t>per share</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2"/>
        </w:trPr>
        <w:tc>
          <w:tcPr>
            <w:tcW w:w="30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information)</w:t>
            </w: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2015</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2014</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2013</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2012</w:t>
            </w: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2011</w:t>
            </w:r>
          </w:p>
        </w:tc>
      </w:tr>
      <w:tr>
        <w:trPr>
          <w:trHeight w:val="244"/>
        </w:trPr>
        <w:tc>
          <w:tcPr>
            <w:tcW w:w="3020" w:type="dxa"/>
            <w:vAlign w:val="bottom"/>
          </w:tcPr>
          <w:p>
            <w:pPr>
              <w:spacing w:after="0"/>
              <w:rPr>
                <w:sz w:val="20"/>
                <w:szCs w:val="20"/>
                <w:color w:val="auto"/>
              </w:rPr>
            </w:pPr>
            <w:r>
              <w:rPr>
                <w:rFonts w:ascii="Arial" w:cs="Arial" w:eastAsia="Arial" w:hAnsi="Arial"/>
                <w:sz w:val="20"/>
                <w:szCs w:val="20"/>
                <w:color w:val="auto"/>
              </w:rPr>
              <w:t>Net sales¹</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2,722,564</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2,464,867</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2,246,428</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2,060,702</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1,703,230</w:t>
            </w:r>
          </w:p>
        </w:tc>
      </w:tr>
      <w:tr>
        <w:trPr>
          <w:trHeight w:val="307"/>
        </w:trPr>
        <w:tc>
          <w:tcPr>
            <w:tcW w:w="3020" w:type="dxa"/>
            <w:vAlign w:val="bottom"/>
          </w:tcPr>
          <w:p>
            <w:pPr>
              <w:spacing w:after="0"/>
              <w:rPr>
                <w:sz w:val="20"/>
                <w:szCs w:val="20"/>
                <w:color w:val="auto"/>
              </w:rPr>
            </w:pPr>
            <w:r>
              <w:rPr>
                <w:rFonts w:ascii="Arial" w:cs="Arial" w:eastAsia="Arial" w:hAnsi="Arial"/>
                <w:sz w:val="20"/>
                <w:szCs w:val="20"/>
                <w:color w:val="auto"/>
              </w:rPr>
              <w:t>Gross profit¹</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1,632,301</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1,339,810</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1,172,931</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1,065,656</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894,309</w:t>
            </w:r>
          </w:p>
        </w:tc>
      </w:tr>
      <w:tr>
        <w:trPr>
          <w:trHeight w:val="303"/>
        </w:trPr>
        <w:tc>
          <w:tcPr>
            <w:tcW w:w="3020" w:type="dxa"/>
            <w:vAlign w:val="bottom"/>
          </w:tcPr>
          <w:p>
            <w:pPr>
              <w:spacing w:after="0"/>
              <w:rPr>
                <w:sz w:val="20"/>
                <w:szCs w:val="20"/>
                <w:color w:val="auto"/>
              </w:rPr>
            </w:pPr>
            <w:r>
              <w:rPr>
                <w:rFonts w:ascii="Arial" w:cs="Arial" w:eastAsia="Arial" w:hAnsi="Arial"/>
                <w:sz w:val="20"/>
                <w:szCs w:val="20"/>
                <w:color w:val="auto"/>
                <w:w w:val="97"/>
              </w:rPr>
              <w:t>Gross profit as a percentage to net</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20"/>
                <w:szCs w:val="20"/>
                <w:color w:val="auto"/>
              </w:rPr>
              <w:t>sales</w:t>
            </w:r>
          </w:p>
        </w:tc>
        <w:tc>
          <w:tcPr>
            <w:tcW w:w="60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60.0%</w:t>
            </w:r>
          </w:p>
        </w:tc>
        <w:tc>
          <w:tcPr>
            <w:tcW w:w="44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54.4%</w:t>
            </w:r>
          </w:p>
        </w:tc>
        <w:tc>
          <w:tcPr>
            <w:tcW w:w="44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52.2%</w:t>
            </w:r>
          </w:p>
        </w:tc>
        <w:tc>
          <w:tcPr>
            <w:tcW w:w="44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51.7%</w:t>
            </w:r>
          </w:p>
        </w:tc>
        <w:tc>
          <w:tcPr>
            <w:tcW w:w="4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52.5%</w:t>
            </w:r>
          </w:p>
        </w:tc>
      </w:tr>
      <w:tr>
        <w:trPr>
          <w:trHeight w:val="250"/>
        </w:trPr>
        <w:tc>
          <w:tcPr>
            <w:tcW w:w="3020" w:type="dxa"/>
            <w:vAlign w:val="bottom"/>
          </w:tcPr>
          <w:p>
            <w:pPr>
              <w:spacing w:after="0"/>
              <w:rPr>
                <w:sz w:val="20"/>
                <w:szCs w:val="20"/>
                <w:color w:val="auto"/>
              </w:rPr>
            </w:pPr>
            <w:r>
              <w:rPr>
                <w:rFonts w:ascii="Arial" w:cs="Arial" w:eastAsia="Arial" w:hAnsi="Arial"/>
                <w:sz w:val="20"/>
                <w:szCs w:val="20"/>
                <w:color w:val="auto"/>
              </w:rPr>
              <w:t>Operating income²</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893,653</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747,505</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572,916</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550,623</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456,423</w:t>
            </w:r>
          </w:p>
        </w:tc>
      </w:tr>
      <w:tr>
        <w:trPr>
          <w:trHeight w:val="324"/>
        </w:trPr>
        <w:tc>
          <w:tcPr>
            <w:tcW w:w="3020" w:type="dxa"/>
            <w:vAlign w:val="bottom"/>
          </w:tcPr>
          <w:p>
            <w:pPr>
              <w:spacing w:after="0"/>
              <w:rPr>
                <w:sz w:val="20"/>
                <w:szCs w:val="20"/>
                <w:color w:val="auto"/>
              </w:rPr>
            </w:pPr>
            <w:r>
              <w:rPr>
                <w:rFonts w:ascii="Arial" w:cs="Arial" w:eastAsia="Arial" w:hAnsi="Arial"/>
                <w:sz w:val="20"/>
                <w:szCs w:val="20"/>
                <w:color w:val="auto"/>
              </w:rPr>
              <w:t>Net income</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546,733</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483,185</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338,661</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340,020</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286,219</w:t>
            </w:r>
          </w:p>
        </w:tc>
      </w:tr>
      <w:tr>
        <w:trPr>
          <w:trHeight w:val="425"/>
        </w:trPr>
        <w:tc>
          <w:tcPr>
            <w:tcW w:w="3020" w:type="dxa"/>
            <w:vAlign w:val="bottom"/>
          </w:tcPr>
          <w:p>
            <w:pPr>
              <w:spacing w:after="0"/>
              <w:rPr>
                <w:sz w:val="20"/>
                <w:szCs w:val="20"/>
                <w:color w:val="auto"/>
              </w:rPr>
            </w:pPr>
            <w:r>
              <w:rPr>
                <w:rFonts w:ascii="Arial" w:cs="Arial" w:eastAsia="Arial" w:hAnsi="Arial"/>
                <w:sz w:val="20"/>
                <w:szCs w:val="20"/>
                <w:color w:val="auto"/>
              </w:rPr>
              <w:t>Net income per common share:</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3020" w:type="dxa"/>
            <w:vAlign w:val="bottom"/>
          </w:tcPr>
          <w:p>
            <w:pPr>
              <w:ind w:left="220"/>
              <w:spacing w:after="0"/>
              <w:rPr>
                <w:sz w:val="20"/>
                <w:szCs w:val="20"/>
                <w:color w:val="auto"/>
              </w:rPr>
            </w:pPr>
            <w:r>
              <w:rPr>
                <w:rFonts w:ascii="Arial" w:cs="Arial" w:eastAsia="Arial" w:hAnsi="Arial"/>
                <w:sz w:val="20"/>
                <w:szCs w:val="20"/>
                <w:color w:val="auto"/>
              </w:rPr>
              <w:t>Basic</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2.90</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2.89</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2.03</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1.96</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1.62</w:t>
            </w:r>
          </w:p>
        </w:tc>
      </w:tr>
      <w:tr>
        <w:trPr>
          <w:trHeight w:val="250"/>
        </w:trPr>
        <w:tc>
          <w:tcPr>
            <w:tcW w:w="3020" w:type="dxa"/>
            <w:vAlign w:val="bottom"/>
          </w:tcPr>
          <w:p>
            <w:pPr>
              <w:ind w:left="220"/>
              <w:spacing w:after="0"/>
              <w:rPr>
                <w:sz w:val="20"/>
                <w:szCs w:val="20"/>
                <w:color w:val="auto"/>
              </w:rPr>
            </w:pPr>
            <w:r>
              <w:rPr>
                <w:rFonts w:ascii="Arial" w:cs="Arial" w:eastAsia="Arial" w:hAnsi="Arial"/>
                <w:sz w:val="20"/>
                <w:szCs w:val="20"/>
                <w:color w:val="auto"/>
              </w:rPr>
              <w:t>Diluted</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2.84</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2.77</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1.95</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1.86</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1.53</w:t>
            </w:r>
          </w:p>
        </w:tc>
      </w:tr>
      <w:tr>
        <w:trPr>
          <w:trHeight w:val="303"/>
        </w:trPr>
        <w:tc>
          <w:tcPr>
            <w:tcW w:w="3020" w:type="dxa"/>
            <w:vAlign w:val="bottom"/>
          </w:tcPr>
          <w:p>
            <w:pPr>
              <w:spacing w:after="0"/>
              <w:rPr>
                <w:sz w:val="20"/>
                <w:szCs w:val="20"/>
                <w:color w:val="auto"/>
              </w:rPr>
            </w:pPr>
            <w:r>
              <w:rPr>
                <w:rFonts w:ascii="Arial" w:cs="Arial" w:eastAsia="Arial" w:hAnsi="Arial"/>
                <w:sz w:val="20"/>
                <w:szCs w:val="20"/>
                <w:color w:val="auto"/>
              </w:rPr>
              <w:t>Cash, cash equivalents and</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020" w:type="dxa"/>
            <w:vAlign w:val="bottom"/>
          </w:tcPr>
          <w:p>
            <w:pPr>
              <w:ind w:left="180"/>
              <w:spacing w:after="0"/>
              <w:rPr>
                <w:sz w:val="20"/>
                <w:szCs w:val="20"/>
                <w:color w:val="auto"/>
              </w:rPr>
            </w:pPr>
            <w:r>
              <w:rPr>
                <w:rFonts w:ascii="Arial" w:cs="Arial" w:eastAsia="Arial" w:hAnsi="Arial"/>
                <w:sz w:val="20"/>
                <w:szCs w:val="20"/>
                <w:color w:val="auto"/>
              </w:rPr>
              <w:t>investments</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2,175,417</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1,194,397</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623,388</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340,949</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793,807</w:t>
            </w:r>
          </w:p>
        </w:tc>
      </w:tr>
      <w:tr>
        <w:trPr>
          <w:trHeight w:val="324"/>
        </w:trPr>
        <w:tc>
          <w:tcPr>
            <w:tcW w:w="3020" w:type="dxa"/>
            <w:vAlign w:val="bottom"/>
          </w:tcPr>
          <w:p>
            <w:pPr>
              <w:spacing w:after="0"/>
              <w:rPr>
                <w:sz w:val="20"/>
                <w:szCs w:val="20"/>
                <w:color w:val="auto"/>
              </w:rPr>
            </w:pPr>
            <w:r>
              <w:rPr>
                <w:rFonts w:ascii="Arial" w:cs="Arial" w:eastAsia="Arial" w:hAnsi="Arial"/>
                <w:sz w:val="20"/>
                <w:szCs w:val="20"/>
                <w:color w:val="auto"/>
              </w:rPr>
              <w:t>Total assets</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5,675,189</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1,938,875</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1,420,509</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1,043,325</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1,362,399</w:t>
            </w:r>
          </w:p>
        </w:tc>
      </w:tr>
      <w:tr>
        <w:trPr>
          <w:trHeight w:val="324"/>
        </w:trPr>
        <w:tc>
          <w:tcPr>
            <w:tcW w:w="3020" w:type="dxa"/>
            <w:vAlign w:val="bottom"/>
          </w:tcPr>
          <w:p>
            <w:pPr>
              <w:spacing w:after="0"/>
              <w:rPr>
                <w:sz w:val="20"/>
                <w:szCs w:val="20"/>
                <w:color w:val="auto"/>
              </w:rPr>
            </w:pPr>
            <w:r>
              <w:rPr>
                <w:rFonts w:ascii="Arial" w:cs="Arial" w:eastAsia="Arial" w:hAnsi="Arial"/>
                <w:sz w:val="20"/>
                <w:szCs w:val="20"/>
                <w:color w:val="auto"/>
              </w:rPr>
              <w:t>Stockholders’ equity</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4,809,410</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1,515,150</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992,279</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644,397</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979,158</w:t>
            </w:r>
          </w:p>
        </w:tc>
      </w:tr>
    </w:tbl>
    <w:p>
      <w:pPr>
        <w:spacing w:after="0" w:line="216" w:lineRule="exact"/>
        <w:rPr>
          <w:sz w:val="20"/>
          <w:szCs w:val="20"/>
          <w:color w:val="auto"/>
        </w:rPr>
      </w:pPr>
    </w:p>
    <w:p>
      <w:pPr>
        <w:jc w:val="both"/>
        <w:ind w:left="340"/>
        <w:spacing w:after="0" w:line="273" w:lineRule="auto"/>
        <w:rPr>
          <w:sz w:val="20"/>
          <w:szCs w:val="20"/>
          <w:color w:val="auto"/>
        </w:rPr>
      </w:pPr>
      <w:r>
        <w:rPr>
          <w:rFonts w:ascii="Arial" w:cs="Arial" w:eastAsia="Arial" w:hAnsi="Arial"/>
          <w:sz w:val="16"/>
          <w:szCs w:val="16"/>
          <w:i w:val="1"/>
          <w:iCs w:val="1"/>
          <w:color w:val="auto"/>
        </w:rPr>
        <w:t>¹Includes $62.8 million, $15.0 million, $14.8 million, $13.2 million and $13.0 million for the years ended December 31, 2015, 2014, 2013, 2012 and 2011, respectively, related to the recognition of deferred revenue. Included in the $62.8 million recognition of deferred revenue for the year ended December 31, 2015, is $39.8 million related to the accelerated amortization of the deferred revenue balances associated with certain of the Company’s prior distributors who were sent notices of termination during the first quarter of 2015.</w:t>
      </w:r>
    </w:p>
    <w:p>
      <w:pPr>
        <w:spacing w:after="0" w:line="176" w:lineRule="exact"/>
        <w:rPr>
          <w:sz w:val="20"/>
          <w:szCs w:val="20"/>
          <w:color w:val="auto"/>
        </w:rPr>
      </w:pPr>
    </w:p>
    <w:p>
      <w:pPr>
        <w:jc w:val="both"/>
        <w:ind w:left="340" w:right="20"/>
        <w:spacing w:after="0" w:line="293" w:lineRule="auto"/>
        <w:rPr>
          <w:sz w:val="20"/>
          <w:szCs w:val="20"/>
          <w:color w:val="auto"/>
        </w:rPr>
      </w:pPr>
      <w:r>
        <w:rPr>
          <w:rFonts w:ascii="Arial" w:cs="Arial" w:eastAsia="Arial" w:hAnsi="Arial"/>
          <w:sz w:val="16"/>
          <w:szCs w:val="16"/>
          <w:i w:val="1"/>
          <w:iCs w:val="1"/>
          <w:color w:val="auto"/>
        </w:rPr>
        <w:t>²Includes $224.0 million, ($0.2) million, $10.8 million, $1.5 million and $1.1 million for the years ended December 31, 2015, 2014, 2013, 2012 and 2011, respectively, related to expenditures attributable to the costs associated with terminating existing distributors.</w:t>
      </w:r>
    </w:p>
    <w:p>
      <w:pPr>
        <w:sectPr>
          <w:pgSz w:w="11900" w:h="16838" w:orient="portrait"/>
          <w:cols w:equalWidth="0" w:num="1">
            <w:col w:w="11420"/>
          </w:cols>
          <w:pgMar w:left="240" w:top="1440" w:right="239" w:bottom="0" w:gutter="0" w:footer="0" w:header="0"/>
        </w:sectPr>
      </w:pPr>
    </w:p>
    <w:bookmarkStart w:id="25" w:name="page26"/>
    <w:bookmarkEnd w:id="25"/>
    <w:p>
      <w:pPr>
        <w:spacing w:after="0" w:line="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right="1300"/>
        <w:spacing w:after="0" w:line="267"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overview provides our perspective on the individual sections of MD&amp;A. MD&amp;A includes the following sections:</w:t>
      </w:r>
    </w:p>
    <w:p>
      <w:pPr>
        <w:spacing w:after="0" w:line="229" w:lineRule="exact"/>
        <w:rPr>
          <w:sz w:val="20"/>
          <w:szCs w:val="20"/>
          <w:color w:val="auto"/>
        </w:rPr>
      </w:pPr>
    </w:p>
    <w:p>
      <w:pPr>
        <w:ind w:left="980" w:hanging="324"/>
        <w:spacing w:after="0" w:line="247" w:lineRule="auto"/>
        <w:tabs>
          <w:tab w:leader="none" w:pos="1178"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Our Business </w:t>
      </w:r>
      <w:r>
        <w:rPr>
          <w:rFonts w:ascii="Arial" w:cs="Arial" w:eastAsia="Arial" w:hAnsi="Arial"/>
          <w:sz w:val="20"/>
          <w:szCs w:val="20"/>
          <w:color w:val="auto"/>
        </w:rPr>
        <w:t>– a general description of our business; the value drivers of our business; and opportunities and risks facing our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w:t>
      </w:r>
    </w:p>
    <w:p>
      <w:pPr>
        <w:spacing w:after="0" w:line="1" w:lineRule="exact"/>
        <w:rPr>
          <w:rFonts w:ascii="Arial" w:cs="Arial" w:eastAsia="Arial" w:hAnsi="Arial"/>
          <w:sz w:val="20"/>
          <w:szCs w:val="20"/>
          <w:color w:val="auto"/>
        </w:rPr>
      </w:pPr>
    </w:p>
    <w:p>
      <w:pPr>
        <w:ind w:left="980" w:hanging="324"/>
        <w:spacing w:after="0" w:line="239" w:lineRule="auto"/>
        <w:tabs>
          <w:tab w:leader="none" w:pos="1354"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Results of Operations </w:t>
      </w:r>
      <w:r>
        <w:rPr>
          <w:rFonts w:ascii="Arial" w:cs="Arial" w:eastAsia="Arial" w:hAnsi="Arial"/>
          <w:sz w:val="20"/>
          <w:szCs w:val="20"/>
          <w:color w:val="auto"/>
        </w:rPr>
        <w:t>– an analysis of our consolidated results of operations for the three years presented in our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Sales </w:t>
      </w:r>
      <w:r>
        <w:rPr>
          <w:rFonts w:ascii="Arial" w:cs="Arial" w:eastAsia="Arial" w:hAnsi="Arial"/>
          <w:sz w:val="20"/>
          <w:szCs w:val="20"/>
          <w:color w:val="auto"/>
        </w:rPr>
        <w:t>– details of our sales measured on a quarterly basis in both dollars and cases;</w:t>
      </w:r>
    </w:p>
    <w:p>
      <w:pPr>
        <w:ind w:left="940" w:hanging="284"/>
        <w:spacing w:after="0"/>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Inflation </w:t>
      </w:r>
      <w:r>
        <w:rPr>
          <w:rFonts w:ascii="Arial" w:cs="Arial" w:eastAsia="Arial" w:hAnsi="Arial"/>
          <w:sz w:val="20"/>
          <w:szCs w:val="20"/>
          <w:color w:val="auto"/>
        </w:rPr>
        <w:t>– information about the impact that inflation may or may not have on our results;</w:t>
      </w:r>
    </w:p>
    <w:p>
      <w:pPr>
        <w:ind w:left="940" w:hanging="284"/>
        <w:spacing w:after="0"/>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Liquidity and Capital Resources </w:t>
      </w:r>
      <w:r>
        <w:rPr>
          <w:rFonts w:ascii="Arial" w:cs="Arial" w:eastAsia="Arial" w:hAnsi="Arial"/>
          <w:sz w:val="20"/>
          <w:szCs w:val="20"/>
          <w:color w:val="auto"/>
        </w:rPr>
        <w:t>– an analysis of our cash flows, sources and uses of cash and contractual obligations;</w:t>
      </w:r>
    </w:p>
    <w:p>
      <w:pPr>
        <w:ind w:left="980" w:hanging="324"/>
        <w:spacing w:after="0" w:line="239" w:lineRule="auto"/>
        <w:tabs>
          <w:tab w:leader="none" w:pos="1286"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Accounting Policies and Pronouncements </w:t>
      </w:r>
      <w:r>
        <w:rPr>
          <w:rFonts w:ascii="Arial" w:cs="Arial" w:eastAsia="Arial" w:hAnsi="Arial"/>
          <w:sz w:val="20"/>
          <w:szCs w:val="20"/>
          <w:color w:val="auto"/>
        </w:rPr>
        <w:t>– a discussion of accounting policies that require critical judgments and estimates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newly issued accounting pronouncements;</w:t>
      </w:r>
    </w:p>
    <w:p>
      <w:pPr>
        <w:spacing w:after="0" w:line="1" w:lineRule="exact"/>
        <w:rPr>
          <w:rFonts w:ascii="Arial" w:cs="Arial" w:eastAsia="Arial" w:hAnsi="Arial"/>
          <w:sz w:val="20"/>
          <w:szCs w:val="20"/>
          <w:color w:val="auto"/>
        </w:rPr>
      </w:pPr>
    </w:p>
    <w:p>
      <w:pPr>
        <w:jc w:val="both"/>
        <w:ind w:left="980" w:hanging="324"/>
        <w:spacing w:after="0" w:line="239" w:lineRule="auto"/>
        <w:tabs>
          <w:tab w:leader="none" w:pos="1178"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Statements </w:t>
      </w:r>
      <w:r>
        <w:rPr>
          <w:rFonts w:ascii="Arial" w:cs="Arial" w:eastAsia="Arial" w:hAnsi="Arial"/>
          <w:sz w:val="20"/>
          <w:szCs w:val="20"/>
          <w:color w:val="auto"/>
        </w:rPr>
        <w:t>– cautionary information about forward-looking statements and a description of certain risks and</w:t>
      </w:r>
      <w:r>
        <w:rPr>
          <w:rFonts w:ascii="Arial" w:cs="Arial" w:eastAsia="Arial" w:hAnsi="Arial"/>
          <w:sz w:val="20"/>
          <w:szCs w:val="20"/>
          <w:i w:val="1"/>
          <w:iCs w:val="1"/>
          <w:color w:val="auto"/>
        </w:rPr>
        <w:t xml:space="preserve"> </w:t>
      </w:r>
      <w:r>
        <w:rPr>
          <w:rFonts w:ascii="Arial" w:cs="Arial" w:eastAsia="Arial" w:hAnsi="Arial"/>
          <w:sz w:val="20"/>
          <w:szCs w:val="20"/>
          <w:color w:val="auto"/>
        </w:rPr>
        <w:t>uncertainties that could cause our actual results to differ materially from the Company’s historical results or our current expectations or projections; and</w:t>
      </w:r>
    </w:p>
    <w:p>
      <w:pPr>
        <w:spacing w:after="0" w:line="1" w:lineRule="exact"/>
        <w:rPr>
          <w:rFonts w:ascii="Arial" w:cs="Arial" w:eastAsia="Arial" w:hAnsi="Arial"/>
          <w:sz w:val="20"/>
          <w:szCs w:val="20"/>
          <w:color w:val="auto"/>
        </w:rPr>
      </w:pPr>
    </w:p>
    <w:p>
      <w:pPr>
        <w:ind w:left="980" w:right="20" w:hanging="324"/>
        <w:spacing w:after="0" w:line="244" w:lineRule="auto"/>
        <w:tabs>
          <w:tab w:leader="none" w:pos="989"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Market Risks </w:t>
      </w:r>
      <w:r>
        <w:rPr>
          <w:rFonts w:ascii="Arial" w:cs="Arial" w:eastAsia="Arial" w:hAnsi="Arial"/>
          <w:sz w:val="20"/>
          <w:szCs w:val="20"/>
          <w:color w:val="auto"/>
        </w:rPr>
        <w:t>– information about market risks and risk management. (See “Forward-Looking Statements” and “Part II, Item 7A –</w:t>
      </w:r>
      <w:r>
        <w:rPr>
          <w:rFonts w:ascii="Arial" w:cs="Arial" w:eastAsia="Arial" w:hAnsi="Arial"/>
          <w:sz w:val="20"/>
          <w:szCs w:val="20"/>
          <w:i w:val="1"/>
          <w:iCs w:val="1"/>
          <w:color w:val="auto"/>
        </w:rPr>
        <w:t xml:space="preserve"> </w:t>
      </w:r>
      <w:r>
        <w:rPr>
          <w:rFonts w:ascii="Arial" w:cs="Arial" w:eastAsia="Arial" w:hAnsi="Arial"/>
          <w:sz w:val="20"/>
          <w:szCs w:val="20"/>
          <w:color w:val="auto"/>
        </w:rPr>
        <w:t>Qualitative and Quantitative Disclosures About Market Risks”).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 June 12, 2015, Old Monster, now a wholly owned subsidiary of the Company, completed the transactions contemplated by the definitive agreements entered into with TCCC on August 14, 2014, which provided for the TCCC Transaction.</w:t>
      </w:r>
    </w:p>
    <w:p>
      <w:pPr>
        <w:spacing w:after="0" w:line="16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Also, on June 12, 2015, Old Monster effected the Holding Company Reorganization, and the Company changed its name from New Laser Corporation to “Monster Beverage Corporation.”</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In the Holding Company Reorganization, each Old Monster common share, par value $0.005 per share, outstanding immediately prior to consummation of the Holding Company Reorganization (other than any Old Monster common shares owned by Old Monster immediately prior to the closing of the TCCC Transaction, which were cancelled) was converted automatically into the right to receive one Company common share, par value $0.005 per share. In addition, upon consummation of the Holding Company Reorganization:</w:t>
      </w:r>
    </w:p>
    <w:p>
      <w:pPr>
        <w:spacing w:after="0" w:line="175" w:lineRule="exact"/>
        <w:rPr>
          <w:sz w:val="20"/>
          <w:szCs w:val="20"/>
          <w:color w:val="auto"/>
        </w:rPr>
      </w:pPr>
    </w:p>
    <w:p>
      <w:pPr>
        <w:jc w:val="both"/>
        <w:ind w:left="660" w:hanging="328"/>
        <w:spacing w:after="0" w:line="246" w:lineRule="auto"/>
        <w:tabs>
          <w:tab w:leader="none" w:pos="642" w:val="left"/>
        </w:tabs>
        <w:numPr>
          <w:ilvl w:val="0"/>
          <w:numId w:val="14"/>
        </w:numPr>
        <w:rPr>
          <w:rFonts w:ascii="Arial" w:cs="Arial" w:eastAsia="Arial" w:hAnsi="Arial"/>
          <w:sz w:val="20"/>
          <w:szCs w:val="20"/>
          <w:color w:val="auto"/>
        </w:rPr>
      </w:pPr>
      <w:r>
        <w:rPr>
          <w:rFonts w:ascii="Arial" w:cs="Arial" w:eastAsia="Arial" w:hAnsi="Arial"/>
          <w:sz w:val="20"/>
          <w:szCs w:val="20"/>
          <w:color w:val="auto"/>
        </w:rPr>
        <w:t>each unexercised and unexpired stock option then outstanding under any equity compensation plan of Old Monster, whether or not then exercisable, ceased to represent a right to acquire Old Monster common shares and was converted automatically into a right to acquire the same number of Company common shares, on the same terms and conditions as were applicable under such Old Monster stock option;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left="660" w:hanging="328"/>
        <w:spacing w:after="0" w:line="244" w:lineRule="auto"/>
        <w:tabs>
          <w:tab w:leader="none" w:pos="777" w:val="left"/>
        </w:tabs>
        <w:numPr>
          <w:ilvl w:val="0"/>
          <w:numId w:val="15"/>
        </w:numPr>
        <w:rPr>
          <w:rFonts w:ascii="Arial" w:cs="Arial" w:eastAsia="Arial" w:hAnsi="Arial"/>
          <w:sz w:val="20"/>
          <w:szCs w:val="20"/>
          <w:color w:val="auto"/>
        </w:rPr>
      </w:pPr>
      <w:r>
        <w:rPr>
          <w:rFonts w:ascii="Arial" w:cs="Arial" w:eastAsia="Arial" w:hAnsi="Arial"/>
          <w:sz w:val="20"/>
          <w:szCs w:val="20"/>
          <w:color w:val="auto"/>
        </w:rPr>
        <w:t>each share of restricted stock and each restricted stock unit of Old Monster granted under all outstanding equity compensation plans ceased to represent or relate to Old Monster common shares and was converted automatically to represent or relate to Company common shares, on the same terms and conditions as were applicable to such Old Monster restricted stock and restricted stock units (including the vesting or other lapse restrictions (without acceleration thereof by virtue of the Holding Company Reorganization and the TCCC Transaction)).</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Promptly following the effective time of the Holding Company Reorganization, Old Monster assigned to the Company all obligations of Old Monster under Old Monster’s equity compensation plans and each stock option agreement, restricted stock award agreement, restricted stock unit award agreement and any similar agreement entered into pursuant to such equity compensation plans. In addition, all obligations of Old Monster under any employment agreements and indemnification agreements were assigned to the Company.</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Immediately after the effective time of the Holding Company Reorganization, (1) the Company issued to TCCC the New Issuance and TCCC appointed two individuals to the Company’s Board of Directors, (2) TCCC transferred all of its rights in and to KO Energy to the Company, (3) Old Monster transferred all of its rights in and to Monster Non-Energy to TCCC, (4) the Company and TCCC amended the distribution coordination agreements previously existing between them to govern the transition of third parties’ rights to distribute the</w:t>
      </w:r>
    </w:p>
    <w:p>
      <w:pPr>
        <w:sectPr>
          <w:pgSz w:w="11900" w:h="16908" w:orient="portrait"/>
          <w:cols w:equalWidth="0" w:num="1">
            <w:col w:w="11420"/>
          </w:cols>
          <w:pgMar w:left="240" w:top="359" w:right="239" w:bottom="0" w:gutter="0" w:footer="0" w:header="0"/>
        </w:sectPr>
      </w:pPr>
    </w:p>
    <w:bookmarkStart w:id="26" w:name="page27"/>
    <w:bookmarkEnd w:id="26"/>
    <w:p>
      <w:pPr>
        <w:spacing w:after="0" w:line="49" w:lineRule="exact"/>
        <w:rPr>
          <w:sz w:val="20"/>
          <w:szCs w:val="20"/>
          <w:color w:val="auto"/>
        </w:rPr>
      </w:pPr>
    </w:p>
    <w:p>
      <w:pPr>
        <w:jc w:val="both"/>
        <w:ind w:right="40"/>
        <w:spacing w:after="0" w:line="283" w:lineRule="auto"/>
        <w:rPr>
          <w:sz w:val="20"/>
          <w:szCs w:val="20"/>
          <w:color w:val="auto"/>
        </w:rPr>
      </w:pPr>
      <w:r>
        <w:rPr>
          <w:rFonts w:ascii="Arial" w:cs="Arial" w:eastAsia="Arial" w:hAnsi="Arial"/>
          <w:sz w:val="18"/>
          <w:szCs w:val="18"/>
          <w:color w:val="auto"/>
        </w:rPr>
        <w:t>Company’s energy products in most territories in the U.S. to members of TCCC’s distribution network, which consists of owned or controlled bottlers/distributors and independent bottlers/distributors, and (5) TCCC and one of its subsidiaries made an aggregate net cash payment to the Company of $2.15 billion, $125.0 million of which is currently held in escrow as described below pursuant to the Escrow Agreement, subject to release upon the achievement of milestones relating to the transition of distribution rights to TCCC’s distribution network.</w:t>
      </w:r>
    </w:p>
    <w:p>
      <w:pPr>
        <w:spacing w:after="0" w:line="17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On the one-year anniversary of the closing of the TCCC Transaction, the then-remaining escrow amount, less an amount sufficient to cover any unresolved claims, will be released to TCCC. Any amount described above that becomes payable following the one-year anniversary will be paid directly from TCCC to the Company. As of February 29, 2016, distribution rights in the U.S. representing approximately 89% of the target case sales have been transitioned to TCCC’s distribution network. As a result, $125 million is currently held in escrow. The Company expects to transition sufficient additional distribution rights to result in the release of all remaining amounts held in escrow. Therefore, the Company believes that achievement of the milestones is probable.</w:t>
      </w:r>
    </w:p>
    <w:p>
      <w:pPr>
        <w:spacing w:after="0" w:line="192"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As a result, the Company incurred termination amounts of $224.0 million, ($0.2) million and $10.8 million for the year ended December 31, 2015, 2014 and 2013, respectively, related to distribution rights transferred. Such termination amounts have been expensed in full and are included in operating expenses for the years ended December 31, 2015, 2014 and 2013. In addition, the Company recognized as income $39.8 million in the first quarter of 2015, related to the accelerated amortization of the deferred revenue balances associated with certain of the Company’s prior distributors who were sent notices of termination during the first quarter of 2015.</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summarizes the selected items discussed above for the years ended December 31, 2015, 2014 and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20"/>
                <w:szCs w:val="20"/>
                <w:b w:val="1"/>
                <w:bCs w:val="1"/>
                <w:color w:val="auto"/>
              </w:rPr>
              <w:t>Income Statement Items (in thousands):</w:t>
            </w:r>
          </w:p>
        </w:tc>
        <w:tc>
          <w:tcPr>
            <w:tcW w:w="400" w:type="dxa"/>
            <w:vAlign w:val="bottom"/>
          </w:tcPr>
          <w:p>
            <w:pPr>
              <w:spacing w:after="0"/>
              <w:rPr>
                <w:sz w:val="19"/>
                <w:szCs w:val="19"/>
                <w:color w:val="auto"/>
              </w:rPr>
            </w:pPr>
          </w:p>
        </w:tc>
        <w:tc>
          <w:tcPr>
            <w:tcW w:w="1000" w:type="dxa"/>
            <w:vAlign w:val="bottom"/>
          </w:tcPr>
          <w:p>
            <w:pPr>
              <w:jc w:val="right"/>
              <w:ind w:right="401"/>
              <w:spacing w:after="0"/>
              <w:rPr>
                <w:sz w:val="20"/>
                <w:szCs w:val="20"/>
                <w:color w:val="auto"/>
              </w:rPr>
            </w:pPr>
            <w:r>
              <w:rPr>
                <w:rFonts w:ascii="Arial" w:cs="Arial" w:eastAsia="Arial" w:hAnsi="Arial"/>
                <w:sz w:val="20"/>
                <w:szCs w:val="20"/>
                <w:color w:val="auto"/>
              </w:rPr>
              <w:t>2015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61"/>
              <w:spacing w:after="0"/>
              <w:rPr>
                <w:sz w:val="20"/>
                <w:szCs w:val="20"/>
                <w:color w:val="auto"/>
              </w:rPr>
            </w:pPr>
            <w:r>
              <w:rPr>
                <w:rFonts w:ascii="Arial" w:cs="Arial" w:eastAsia="Arial" w:hAnsi="Arial"/>
                <w:sz w:val="20"/>
                <w:szCs w:val="20"/>
                <w:color w:val="auto"/>
              </w:rPr>
              <w:t>2014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81"/>
              <w:spacing w:after="0"/>
              <w:rPr>
                <w:sz w:val="20"/>
                <w:szCs w:val="20"/>
                <w:color w:val="auto"/>
              </w:rPr>
            </w:pPr>
            <w:r>
              <w:rPr>
                <w:rFonts w:ascii="Arial" w:cs="Arial" w:eastAsia="Arial" w:hAnsi="Arial"/>
                <w:sz w:val="20"/>
                <w:szCs w:val="20"/>
                <w:color w:val="auto"/>
              </w:rPr>
              <w:t>2013</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Included in Net Sales:</w:t>
            </w:r>
          </w:p>
        </w:tc>
        <w:tc>
          <w:tcPr>
            <w:tcW w:w="21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33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gridSpan w:val="2"/>
          </w:tcPr>
          <w:p>
            <w:pPr>
              <w:ind w:left="360"/>
              <w:spacing w:after="0"/>
              <w:rPr>
                <w:sz w:val="20"/>
                <w:szCs w:val="20"/>
                <w:color w:val="auto"/>
              </w:rPr>
            </w:pPr>
            <w:r>
              <w:rPr>
                <w:rFonts w:ascii="Arial" w:cs="Arial" w:eastAsia="Arial" w:hAnsi="Arial"/>
                <w:sz w:val="20"/>
                <w:szCs w:val="20"/>
                <w:color w:val="auto"/>
              </w:rPr>
              <w:t>Accelerated recognition of deferred revenue</w:t>
            </w:r>
          </w:p>
        </w:tc>
        <w:tc>
          <w:tcPr>
            <w:tcW w:w="40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39,761</w:t>
            </w:r>
          </w:p>
        </w:tc>
        <w:tc>
          <w:tcPr>
            <w:tcW w:w="280" w:type="dxa"/>
            <w:vAlign w:val="bottom"/>
          </w:tcPr>
          <w:p>
            <w:pPr>
              <w:spacing w:after="0"/>
              <w:rPr>
                <w:sz w:val="21"/>
                <w:szCs w:val="21"/>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5500" w:type="dxa"/>
            <w:vAlign w:val="bottom"/>
            <w:gridSpan w:val="2"/>
          </w:tcPr>
          <w:p>
            <w:pPr>
              <w:spacing w:after="0"/>
              <w:rPr>
                <w:sz w:val="20"/>
                <w:szCs w:val="20"/>
                <w:color w:val="auto"/>
              </w:rPr>
            </w:pPr>
            <w:r>
              <w:rPr>
                <w:rFonts w:ascii="Arial" w:cs="Arial" w:eastAsia="Arial" w:hAnsi="Arial"/>
                <w:sz w:val="20"/>
                <w:szCs w:val="20"/>
                <w:color w:val="auto"/>
              </w:rPr>
              <w:t>Included in Operating Expenses: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360"/>
              <w:spacing w:after="0"/>
              <w:rPr>
                <w:sz w:val="20"/>
                <w:szCs w:val="20"/>
                <w:color w:val="auto"/>
              </w:rPr>
            </w:pPr>
            <w:r>
              <w:rPr>
                <w:rFonts w:ascii="Arial" w:cs="Arial" w:eastAsia="Arial" w:hAnsi="Arial"/>
                <w:sz w:val="20"/>
                <w:szCs w:val="20"/>
                <w:color w:val="auto"/>
              </w:rPr>
              <w:t>Distributor termination costs</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224,000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18"/>
                <w:szCs w:val="18"/>
                <w:color w:val="auto"/>
              </w:rPr>
              <w:t>157</w:t>
            </w: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10,754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00" w:type="dxa"/>
            <w:vAlign w:val="bottom"/>
            <w:gridSpan w:val="2"/>
          </w:tcPr>
          <w:p>
            <w:pPr>
              <w:ind w:left="360"/>
              <w:spacing w:after="0"/>
              <w:rPr>
                <w:sz w:val="20"/>
                <w:szCs w:val="20"/>
                <w:color w:val="auto"/>
              </w:rPr>
            </w:pPr>
            <w:r>
              <w:rPr>
                <w:rFonts w:ascii="Arial" w:cs="Arial" w:eastAsia="Arial" w:hAnsi="Arial"/>
                <w:sz w:val="20"/>
                <w:szCs w:val="20"/>
                <w:color w:val="auto"/>
              </w:rPr>
              <w:t>TCCC Transaction expenses</w:t>
            </w:r>
          </w:p>
        </w:tc>
        <w:tc>
          <w:tcPr>
            <w:tcW w:w="4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15,496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4,824</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5500" w:type="dxa"/>
            <w:vAlign w:val="bottom"/>
            <w:gridSpan w:val="2"/>
          </w:tcPr>
          <w:p>
            <w:pPr>
              <w:spacing w:after="0"/>
              <w:rPr>
                <w:sz w:val="20"/>
                <w:szCs w:val="20"/>
                <w:color w:val="auto"/>
              </w:rPr>
            </w:pPr>
            <w:r>
              <w:rPr>
                <w:rFonts w:ascii="Arial" w:cs="Arial" w:eastAsia="Arial" w:hAnsi="Arial"/>
                <w:sz w:val="20"/>
                <w:szCs w:val="20"/>
                <w:color w:val="auto"/>
              </w:rPr>
              <w:t>Gain on sale of Monster Non-Energy</w:t>
            </w:r>
          </w:p>
        </w:tc>
        <w:tc>
          <w:tcPr>
            <w:tcW w:w="4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161,470</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00" w:type="dxa"/>
            <w:vAlign w:val="bottom"/>
            <w:gridSpan w:val="2"/>
            <w:vMerge w:val="restart"/>
          </w:tcPr>
          <w:p>
            <w:pPr>
              <w:spacing w:after="0"/>
              <w:rPr>
                <w:sz w:val="20"/>
                <w:szCs w:val="20"/>
                <w:color w:val="auto"/>
              </w:rPr>
            </w:pPr>
            <w:r>
              <w:rPr>
                <w:rFonts w:ascii="Arial" w:cs="Arial" w:eastAsia="Arial" w:hAnsi="Arial"/>
                <w:sz w:val="20"/>
                <w:szCs w:val="20"/>
                <w:color w:val="auto"/>
              </w:rPr>
              <w:t>Net Impact on Operating Income</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40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(38,265)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(4,667)</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(10,754)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38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and/or concentrates for energy drink beverages, primarily under the following brand names: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5500" w:type="dxa"/>
            <w:vAlign w:val="bottom"/>
            <w:gridSpan w:val="2"/>
          </w:tcPr>
          <w:p>
            <w:pPr>
              <w:spacing w:after="0"/>
              <w:rPr>
                <w:sz w:val="20"/>
                <w:szCs w:val="20"/>
                <w:color w:val="auto"/>
              </w:rPr>
            </w:pPr>
            <w:r>
              <w:rPr>
                <w:rFonts w:ascii="Arial" w:cs="Arial" w:eastAsia="Arial" w:hAnsi="Arial"/>
                <w:sz w:val="20"/>
                <w:szCs w:val="20"/>
                <w:color w:val="auto"/>
              </w:rPr>
              <w:t>·   Monster Energy Extra Strength Nitrous Technology®</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Mega Monster Energy®</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Ultra®</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3200" w:type="dxa"/>
            <w:vAlign w:val="bottom"/>
            <w:gridSpan w:val="2"/>
          </w:tcPr>
          <w:p>
            <w:pPr>
              <w:ind w:left="980"/>
              <w:spacing w:after="0"/>
              <w:rPr>
                <w:sz w:val="20"/>
                <w:szCs w:val="20"/>
                <w:color w:val="auto"/>
              </w:rPr>
            </w:pPr>
            <w:r>
              <w:rPr>
                <w:rFonts w:ascii="Arial" w:cs="Arial" w:eastAsia="Arial" w:hAnsi="Arial"/>
                <w:sz w:val="20"/>
                <w:szCs w:val="20"/>
                <w:color w:val="auto"/>
                <w:w w:val="92"/>
              </w:rPr>
              <w:t>·   Play® and Power Play®</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M3®</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Übermonster®</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5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340" w:type="dxa"/>
            <w:vAlign w:val="bottom"/>
          </w:tcPr>
          <w:p>
            <w:pPr>
              <w:ind w:left="120"/>
              <w:spacing w:after="0"/>
              <w:rPr>
                <w:sz w:val="20"/>
                <w:szCs w:val="20"/>
                <w:color w:val="auto"/>
              </w:rPr>
            </w:pPr>
            <w:r>
              <w:rPr>
                <w:rFonts w:ascii="Arial" w:cs="Arial" w:eastAsia="Arial" w:hAnsi="Arial"/>
                <w:sz w:val="20"/>
                <w:szCs w:val="20"/>
                <w:color w:val="auto"/>
              </w:rPr>
              <w:t>BU®</w:t>
            </w:r>
          </w:p>
        </w:tc>
        <w:tc>
          <w:tcPr>
            <w:tcW w:w="1140" w:type="dxa"/>
            <w:vAlign w:val="bottom"/>
          </w:tcPr>
          <w:p>
            <w:pPr>
              <w:ind w:left="98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BPM®</w:t>
            </w: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Monster Energy® brand energy drinks, which represented 92.5%, 93.9% and 93.2% of our net sales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2015, 2014 and 2013, respectively, primarily include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Kona Blend</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Lo-Carb Monster Energy®</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Loca Moca®</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Monster Assault®</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Mean Bean®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Juice Monster® Khaos®</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Vanilla Light</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Juice Monster® Ripper®</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Java Monster® Irish Blend®</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Juice Monster® Pipeline Punch™</w:t>
            </w:r>
          </w:p>
        </w:tc>
        <w:tc>
          <w:tcPr>
            <w:tcW w:w="940" w:type="dxa"/>
            <w:vAlign w:val="bottom"/>
          </w:tcPr>
          <w:p>
            <w:pPr>
              <w:ind w:left="780"/>
              <w:spacing w:after="0"/>
              <w:rPr>
                <w:sz w:val="20"/>
                <w:szCs w:val="20"/>
                <w:color w:val="auto"/>
              </w:rPr>
            </w:pPr>
            <w:r>
              <w:rPr>
                <w:rFonts w:ascii="Arial" w:cs="Arial" w:eastAsia="Arial" w:hAnsi="Arial"/>
                <w:sz w:val="20"/>
                <w:szCs w:val="20"/>
                <w:color w:val="auto"/>
              </w:rPr>
              <w:t>·</w:t>
            </w:r>
          </w:p>
        </w:tc>
        <w:tc>
          <w:tcPr>
            <w:tcW w:w="4380" w:type="dxa"/>
            <w:vAlign w:val="bottom"/>
          </w:tcPr>
          <w:p>
            <w:pPr>
              <w:ind w:left="120"/>
              <w:spacing w:after="0"/>
              <w:rPr>
                <w:sz w:val="20"/>
                <w:szCs w:val="20"/>
                <w:color w:val="auto"/>
              </w:rPr>
            </w:pPr>
            <w:r>
              <w:rPr>
                <w:rFonts w:ascii="Arial" w:cs="Arial" w:eastAsia="Arial" w:hAnsi="Arial"/>
                <w:sz w:val="20"/>
                <w:szCs w:val="20"/>
                <w:color w:val="auto"/>
              </w:rPr>
              <w:t>Java Monster® Cappuccino</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Energy® Absolutely Zero</w:t>
            </w:r>
          </w:p>
        </w:tc>
        <w:tc>
          <w:tcPr>
            <w:tcW w:w="940" w:type="dxa"/>
            <w:vAlign w:val="bottom"/>
          </w:tcPr>
          <w:p>
            <w:pPr>
              <w:ind w:left="780"/>
              <w:spacing w:after="0"/>
              <w:rPr>
                <w:sz w:val="20"/>
                <w:szCs w:val="20"/>
                <w:color w:val="auto"/>
              </w:rPr>
            </w:pPr>
            <w:r>
              <w:rPr>
                <w:rFonts w:ascii="Arial" w:cs="Arial" w:eastAsia="Arial" w:hAnsi="Arial"/>
                <w:sz w:val="20"/>
                <w:szCs w:val="20"/>
                <w:color w:val="auto"/>
              </w:rPr>
              <w:t>·</w:t>
            </w:r>
          </w:p>
        </w:tc>
        <w:tc>
          <w:tcPr>
            <w:tcW w:w="4380" w:type="dxa"/>
            <w:vAlign w:val="bottom"/>
          </w:tcPr>
          <w:p>
            <w:pPr>
              <w:ind w:left="120"/>
              <w:spacing w:after="0"/>
              <w:rPr>
                <w:sz w:val="20"/>
                <w:szCs w:val="20"/>
                <w:color w:val="auto"/>
              </w:rPr>
            </w:pPr>
            <w:r>
              <w:rPr>
                <w:rFonts w:ascii="Arial" w:cs="Arial" w:eastAsia="Arial" w:hAnsi="Arial"/>
                <w:sz w:val="20"/>
                <w:szCs w:val="20"/>
                <w:color w:val="auto"/>
              </w:rPr>
              <w:t>Mega Monster Energy®</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560" w:type="dxa"/>
            <w:vAlign w:val="bottom"/>
          </w:tcPr>
          <w:p>
            <w:pPr>
              <w:ind w:left="120"/>
              <w:spacing w:after="0"/>
              <w:rPr>
                <w:sz w:val="20"/>
                <w:szCs w:val="20"/>
                <w:color w:val="auto"/>
              </w:rPr>
            </w:pPr>
            <w:r>
              <w:rPr>
                <w:rFonts w:ascii="Arial" w:cs="Arial" w:eastAsia="Arial" w:hAnsi="Arial"/>
                <w:sz w:val="20"/>
                <w:szCs w:val="20"/>
                <w:color w:val="auto"/>
              </w:rPr>
              <w:t>Monster Energy® Import</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w w:val="92"/>
              </w:rPr>
              <w:t>·   Monster Energy Extra Strength Nitrous Technology®</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Punch Monster® Baller’s Blend® (formerly Dub Edition)</w:t>
            </w:r>
          </w:p>
        </w:tc>
        <w:tc>
          <w:tcPr>
            <w:tcW w:w="94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20"/>
                <w:szCs w:val="20"/>
                <w:color w:val="auto"/>
              </w:rPr>
              <w:t>Super Dry™</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Punch Monster® Mad Dog (formerly Dub Edition)</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w w:val="92"/>
              </w:rPr>
              <w:t>·   Monster Energy Extra Strength Nitrous Technology®</w:t>
            </w:r>
          </w:p>
        </w:tc>
      </w:tr>
      <w:tr>
        <w:trPr>
          <w:trHeight w:val="23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Rehab® Tea + Lemonade + Energy</w:t>
            </w:r>
          </w:p>
        </w:tc>
        <w:tc>
          <w:tcPr>
            <w:tcW w:w="94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20"/>
                <w:szCs w:val="20"/>
                <w:color w:val="auto"/>
              </w:rPr>
              <w:t>Anti-Gravity®</w:t>
            </w:r>
          </w:p>
        </w:tc>
      </w:tr>
      <w:tr>
        <w:trPr>
          <w:trHeight w:val="250"/>
        </w:trPr>
        <w:tc>
          <w:tcPr>
            <w:tcW w:w="5720" w:type="dxa"/>
            <w:vAlign w:val="bottom"/>
            <w:gridSpan w:val="2"/>
          </w:tcPr>
          <w:p>
            <w:pPr>
              <w:spacing w:after="0"/>
              <w:rPr>
                <w:sz w:val="20"/>
                <w:szCs w:val="20"/>
                <w:color w:val="auto"/>
              </w:rPr>
            </w:pPr>
            <w:r>
              <w:rPr>
                <w:rFonts w:ascii="Arial" w:cs="Arial" w:eastAsia="Arial" w:hAnsi="Arial"/>
                <w:sz w:val="20"/>
                <w:szCs w:val="20"/>
                <w:color w:val="auto"/>
              </w:rPr>
              <w:t>·   Monster Rehab® Raspberry Tea + Energy (formerly Rojo)</w:t>
            </w:r>
          </w:p>
        </w:tc>
        <w:tc>
          <w:tcPr>
            <w:tcW w:w="5320" w:type="dxa"/>
            <w:vAlign w:val="bottom"/>
            <w:gridSpan w:val="2"/>
          </w:tcPr>
          <w:p>
            <w:pPr>
              <w:ind w:left="780"/>
              <w:spacing w:after="0"/>
              <w:rPr>
                <w:sz w:val="20"/>
                <w:szCs w:val="20"/>
                <w:color w:val="auto"/>
              </w:rPr>
            </w:pPr>
            <w:r>
              <w:rPr>
                <w:rFonts w:ascii="Arial" w:cs="Arial" w:eastAsia="Arial" w:hAnsi="Arial"/>
                <w:sz w:val="20"/>
                <w:szCs w:val="20"/>
                <w:color w:val="auto"/>
              </w:rPr>
              <w:t>·   M3® Monster Energy® Super Concentrate</w:t>
            </w:r>
          </w:p>
        </w:tc>
      </w:tr>
    </w:tbl>
    <w:p>
      <w:pPr>
        <w:sectPr>
          <w:pgSz w:w="11900" w:h="16888" w:orient="portrait"/>
          <w:cols w:equalWidth="0" w:num="1">
            <w:col w:w="11460"/>
          </w:cols>
          <w:pgMar w:left="240" w:top="121" w:right="19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60" w:type="dxa"/>
            <w:vAlign w:val="bottom"/>
            <w:gridSpan w:val="2"/>
          </w:tcPr>
          <w:p>
            <w:pPr>
              <w:spacing w:after="0"/>
              <w:rPr>
                <w:sz w:val="20"/>
                <w:szCs w:val="20"/>
                <w:color w:val="auto"/>
              </w:rPr>
            </w:pPr>
            <w:r>
              <w:rPr>
                <w:rFonts w:ascii="Arial" w:cs="Arial" w:eastAsia="Arial" w:hAnsi="Arial"/>
                <w:sz w:val="20"/>
                <w:szCs w:val="20"/>
                <w:color w:val="auto"/>
              </w:rPr>
              <w:t>·   Monster Rehab® Green Tea + Energy</w:t>
            </w:r>
          </w:p>
        </w:tc>
        <w:tc>
          <w:tcPr>
            <w:tcW w:w="4140" w:type="dxa"/>
            <w:vAlign w:val="bottom"/>
            <w:gridSpan w:val="2"/>
          </w:tcPr>
          <w:p>
            <w:pPr>
              <w:ind w:left="1140"/>
              <w:spacing w:after="0"/>
              <w:rPr>
                <w:sz w:val="20"/>
                <w:szCs w:val="20"/>
                <w:color w:val="auto"/>
              </w:rPr>
            </w:pPr>
            <w:r>
              <w:rPr>
                <w:rFonts w:ascii="Arial" w:cs="Arial" w:eastAsia="Arial" w:hAnsi="Arial"/>
                <w:sz w:val="20"/>
                <w:szCs w:val="20"/>
                <w:color w:val="auto"/>
              </w:rPr>
              <w:t>·   Monster Energy® Zero Ultra</w:t>
            </w:r>
          </w:p>
        </w:tc>
      </w:tr>
      <w:tr>
        <w:trPr>
          <w:trHeight w:val="230"/>
        </w:trPr>
        <w:tc>
          <w:tcPr>
            <w:tcW w:w="5360" w:type="dxa"/>
            <w:vAlign w:val="bottom"/>
            <w:gridSpan w:val="2"/>
          </w:tcPr>
          <w:p>
            <w:pPr>
              <w:spacing w:after="0"/>
              <w:rPr>
                <w:sz w:val="20"/>
                <w:szCs w:val="20"/>
                <w:color w:val="auto"/>
              </w:rPr>
            </w:pPr>
            <w:r>
              <w:rPr>
                <w:rFonts w:ascii="Arial" w:cs="Arial" w:eastAsia="Arial" w:hAnsi="Arial"/>
                <w:sz w:val="20"/>
                <w:szCs w:val="20"/>
                <w:color w:val="auto"/>
              </w:rPr>
              <w:t>·   Monster Rehab® Tea + Orangeade + Energy</w:t>
            </w:r>
          </w:p>
        </w:tc>
        <w:tc>
          <w:tcPr>
            <w:tcW w:w="4140" w:type="dxa"/>
            <w:vAlign w:val="bottom"/>
            <w:gridSpan w:val="2"/>
          </w:tcPr>
          <w:p>
            <w:pPr>
              <w:ind w:left="1140"/>
              <w:spacing w:after="0"/>
              <w:rPr>
                <w:sz w:val="20"/>
                <w:szCs w:val="20"/>
                <w:color w:val="auto"/>
              </w:rPr>
            </w:pPr>
            <w:r>
              <w:rPr>
                <w:rFonts w:ascii="Arial" w:cs="Arial" w:eastAsia="Arial" w:hAnsi="Arial"/>
                <w:sz w:val="20"/>
                <w:szCs w:val="20"/>
                <w:color w:val="auto"/>
              </w:rPr>
              <w:t>·   Monster Energy® Ultra Blue™</w:t>
            </w:r>
          </w:p>
        </w:tc>
      </w:tr>
      <w:tr>
        <w:trPr>
          <w:trHeight w:val="230"/>
        </w:trPr>
        <w:tc>
          <w:tcPr>
            <w:tcW w:w="5360" w:type="dxa"/>
            <w:vAlign w:val="bottom"/>
            <w:gridSpan w:val="2"/>
          </w:tcPr>
          <w:p>
            <w:pPr>
              <w:spacing w:after="0"/>
              <w:rPr>
                <w:sz w:val="20"/>
                <w:szCs w:val="20"/>
                <w:color w:val="auto"/>
              </w:rPr>
            </w:pPr>
            <w:r>
              <w:rPr>
                <w:rFonts w:ascii="Arial" w:cs="Arial" w:eastAsia="Arial" w:hAnsi="Arial"/>
                <w:sz w:val="20"/>
                <w:szCs w:val="20"/>
                <w:color w:val="auto"/>
              </w:rPr>
              <w:t>·   Monster Rehab® Tea + Pink Lemonade + Energy</w:t>
            </w:r>
          </w:p>
        </w:tc>
        <w:tc>
          <w:tcPr>
            <w:tcW w:w="4140" w:type="dxa"/>
            <w:vAlign w:val="bottom"/>
            <w:gridSpan w:val="2"/>
          </w:tcPr>
          <w:p>
            <w:pPr>
              <w:ind w:left="1140"/>
              <w:spacing w:after="0"/>
              <w:rPr>
                <w:sz w:val="20"/>
                <w:szCs w:val="20"/>
                <w:color w:val="auto"/>
              </w:rPr>
            </w:pPr>
            <w:r>
              <w:rPr>
                <w:rFonts w:ascii="Arial" w:cs="Arial" w:eastAsia="Arial" w:hAnsi="Arial"/>
                <w:sz w:val="20"/>
                <w:szCs w:val="20"/>
                <w:color w:val="auto"/>
              </w:rPr>
              <w:t>·   Monster Energy® Ultra Red™</w:t>
            </w:r>
          </w:p>
        </w:tc>
      </w:tr>
      <w:tr>
        <w:trPr>
          <w:trHeight w:val="230"/>
        </w:trPr>
        <w:tc>
          <w:tcPr>
            <w:tcW w:w="5360" w:type="dxa"/>
            <w:vAlign w:val="bottom"/>
            <w:gridSpan w:val="2"/>
          </w:tcPr>
          <w:p>
            <w:pPr>
              <w:spacing w:after="0"/>
              <w:rPr>
                <w:sz w:val="20"/>
                <w:szCs w:val="20"/>
                <w:color w:val="auto"/>
              </w:rPr>
            </w:pPr>
            <w:r>
              <w:rPr>
                <w:rFonts w:ascii="Arial" w:cs="Arial" w:eastAsia="Arial" w:hAnsi="Arial"/>
                <w:sz w:val="20"/>
                <w:szCs w:val="20"/>
                <w:color w:val="auto"/>
              </w:rPr>
              <w:t>·   Monster Rehab® Peach Tea + Energy</w:t>
            </w:r>
          </w:p>
        </w:tc>
        <w:tc>
          <w:tcPr>
            <w:tcW w:w="4140" w:type="dxa"/>
            <w:vAlign w:val="bottom"/>
            <w:gridSpan w:val="2"/>
          </w:tcPr>
          <w:p>
            <w:pPr>
              <w:ind w:left="1140"/>
              <w:spacing w:after="0"/>
              <w:rPr>
                <w:sz w:val="20"/>
                <w:szCs w:val="20"/>
                <w:color w:val="auto"/>
              </w:rPr>
            </w:pPr>
            <w:r>
              <w:rPr>
                <w:rFonts w:ascii="Arial" w:cs="Arial" w:eastAsia="Arial" w:hAnsi="Arial"/>
                <w:sz w:val="20"/>
                <w:szCs w:val="20"/>
                <w:color w:val="auto"/>
                <w:w w:val="98"/>
              </w:rPr>
              <w:t>·   Monster Energy® Ultra Black™</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200" w:type="dxa"/>
            <w:vAlign w:val="bottom"/>
          </w:tcPr>
          <w:p>
            <w:pPr>
              <w:ind w:left="120"/>
              <w:spacing w:after="0"/>
              <w:rPr>
                <w:sz w:val="20"/>
                <w:szCs w:val="20"/>
                <w:color w:val="auto"/>
              </w:rPr>
            </w:pPr>
            <w:r>
              <w:rPr>
                <w:rFonts w:ascii="Arial" w:cs="Arial" w:eastAsia="Arial" w:hAnsi="Arial"/>
                <w:sz w:val="20"/>
                <w:szCs w:val="20"/>
                <w:color w:val="auto"/>
              </w:rPr>
              <w:t>Muscle Monster® Vanilla</w:t>
            </w:r>
          </w:p>
        </w:tc>
        <w:tc>
          <w:tcPr>
            <w:tcW w:w="4140" w:type="dxa"/>
            <w:vAlign w:val="bottom"/>
            <w:gridSpan w:val="2"/>
          </w:tcPr>
          <w:p>
            <w:pPr>
              <w:ind w:left="1140"/>
              <w:spacing w:after="0"/>
              <w:rPr>
                <w:sz w:val="20"/>
                <w:szCs w:val="20"/>
                <w:color w:val="auto"/>
              </w:rPr>
            </w:pPr>
            <w:r>
              <w:rPr>
                <w:rFonts w:ascii="Arial" w:cs="Arial" w:eastAsia="Arial" w:hAnsi="Arial"/>
                <w:sz w:val="20"/>
                <w:szCs w:val="20"/>
                <w:color w:val="auto"/>
                <w:w w:val="94"/>
              </w:rPr>
              <w:t>·   Monster Energy® Ultra Sunrise®</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200" w:type="dxa"/>
            <w:vAlign w:val="bottom"/>
          </w:tcPr>
          <w:p>
            <w:pPr>
              <w:ind w:left="120"/>
              <w:spacing w:after="0"/>
              <w:rPr>
                <w:sz w:val="20"/>
                <w:szCs w:val="20"/>
                <w:color w:val="auto"/>
              </w:rPr>
            </w:pPr>
            <w:r>
              <w:rPr>
                <w:rFonts w:ascii="Arial" w:cs="Arial" w:eastAsia="Arial" w:hAnsi="Arial"/>
                <w:sz w:val="20"/>
                <w:szCs w:val="20"/>
                <w:color w:val="auto"/>
              </w:rPr>
              <w:t>Muscle Monster® Chocolate</w:t>
            </w:r>
          </w:p>
        </w:tc>
        <w:tc>
          <w:tcPr>
            <w:tcW w:w="4140" w:type="dxa"/>
            <w:vAlign w:val="bottom"/>
            <w:gridSpan w:val="2"/>
          </w:tcPr>
          <w:p>
            <w:pPr>
              <w:ind w:left="1140"/>
              <w:spacing w:after="0"/>
              <w:rPr>
                <w:sz w:val="20"/>
                <w:szCs w:val="20"/>
                <w:color w:val="auto"/>
              </w:rPr>
            </w:pPr>
            <w:r>
              <w:rPr>
                <w:rFonts w:ascii="Arial" w:cs="Arial" w:eastAsia="Arial" w:hAnsi="Arial"/>
                <w:sz w:val="20"/>
                <w:szCs w:val="20"/>
                <w:color w:val="auto"/>
                <w:w w:val="97"/>
              </w:rPr>
              <w:t>·   Monster Energy® Ultra Citron™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200" w:type="dxa"/>
            <w:vAlign w:val="bottom"/>
          </w:tcPr>
          <w:p>
            <w:pPr>
              <w:ind w:left="120"/>
              <w:spacing w:after="0"/>
              <w:rPr>
                <w:sz w:val="20"/>
                <w:szCs w:val="20"/>
                <w:color w:val="auto"/>
              </w:rPr>
            </w:pPr>
            <w:r>
              <w:rPr>
                <w:rFonts w:ascii="Arial" w:cs="Arial" w:eastAsia="Arial" w:hAnsi="Arial"/>
                <w:sz w:val="20"/>
                <w:szCs w:val="20"/>
                <w:color w:val="auto"/>
              </w:rPr>
              <w:t>Muscle Monster® Strawberry</w:t>
            </w:r>
          </w:p>
        </w:tc>
        <w:tc>
          <w:tcPr>
            <w:tcW w:w="1300" w:type="dxa"/>
            <w:vAlign w:val="bottom"/>
          </w:tcPr>
          <w:p>
            <w:pPr>
              <w:ind w:left="1140"/>
              <w:spacing w:after="0"/>
              <w:rPr>
                <w:sz w:val="20"/>
                <w:szCs w:val="20"/>
                <w:color w:val="auto"/>
              </w:rPr>
            </w:pPr>
            <w:r>
              <w:rPr>
                <w:rFonts w:ascii="Arial" w:cs="Arial" w:eastAsia="Arial" w:hAnsi="Arial"/>
                <w:sz w:val="20"/>
                <w:szCs w:val="20"/>
                <w:color w:val="auto"/>
              </w:rPr>
              <w:t>·</w:t>
            </w:r>
          </w:p>
        </w:tc>
        <w:tc>
          <w:tcPr>
            <w:tcW w:w="2840" w:type="dxa"/>
            <w:vAlign w:val="bottom"/>
          </w:tcPr>
          <w:p>
            <w:pPr>
              <w:ind w:left="120"/>
              <w:spacing w:after="0"/>
              <w:rPr>
                <w:sz w:val="20"/>
                <w:szCs w:val="20"/>
                <w:color w:val="auto"/>
              </w:rPr>
            </w:pPr>
            <w:r>
              <w:rPr>
                <w:rFonts w:ascii="Arial" w:cs="Arial" w:eastAsia="Arial" w:hAnsi="Arial"/>
                <w:sz w:val="20"/>
                <w:szCs w:val="20"/>
                <w:color w:val="auto"/>
              </w:rPr>
              <w:t>Monster Energy® Unleaded®</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200" w:type="dxa"/>
            <w:vAlign w:val="bottom"/>
          </w:tcPr>
          <w:p>
            <w:pPr>
              <w:ind w:left="120"/>
              <w:spacing w:after="0"/>
              <w:rPr>
                <w:sz w:val="20"/>
                <w:szCs w:val="20"/>
                <w:color w:val="auto"/>
              </w:rPr>
            </w:pPr>
            <w:r>
              <w:rPr>
                <w:rFonts w:ascii="Arial" w:cs="Arial" w:eastAsia="Arial" w:hAnsi="Arial"/>
                <w:sz w:val="20"/>
                <w:szCs w:val="20"/>
                <w:color w:val="auto"/>
              </w:rPr>
              <w:t>Muscle Monster® Banana</w:t>
            </w:r>
          </w:p>
        </w:tc>
        <w:tc>
          <w:tcPr>
            <w:tcW w:w="1300" w:type="dxa"/>
            <w:vAlign w:val="bottom"/>
          </w:tcPr>
          <w:p>
            <w:pPr>
              <w:ind w:left="1140"/>
              <w:spacing w:after="0"/>
              <w:rPr>
                <w:sz w:val="20"/>
                <w:szCs w:val="20"/>
                <w:color w:val="auto"/>
              </w:rPr>
            </w:pPr>
            <w:r>
              <w:rPr>
                <w:rFonts w:ascii="Arial" w:cs="Arial" w:eastAsia="Arial" w:hAnsi="Arial"/>
                <w:sz w:val="20"/>
                <w:szCs w:val="20"/>
                <w:color w:val="auto"/>
              </w:rPr>
              <w:t>·</w:t>
            </w:r>
          </w:p>
        </w:tc>
        <w:tc>
          <w:tcPr>
            <w:tcW w:w="2840" w:type="dxa"/>
            <w:vAlign w:val="bottom"/>
          </w:tcPr>
          <w:p>
            <w:pPr>
              <w:ind w:left="120"/>
              <w:spacing w:after="0"/>
              <w:rPr>
                <w:sz w:val="20"/>
                <w:szCs w:val="20"/>
                <w:color w:val="auto"/>
              </w:rPr>
            </w:pPr>
            <w:r>
              <w:rPr>
                <w:rFonts w:ascii="Arial" w:cs="Arial" w:eastAsia="Arial" w:hAnsi="Arial"/>
                <w:sz w:val="20"/>
                <w:szCs w:val="20"/>
                <w:color w:val="auto"/>
                <w:w w:val="99"/>
              </w:rPr>
              <w:t>Übermonster® Energy Brew™</w:t>
            </w:r>
          </w:p>
        </w:tc>
      </w:tr>
      <w:tr>
        <w:trPr>
          <w:trHeight w:val="246"/>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200" w:type="dxa"/>
            <w:vAlign w:val="bottom"/>
          </w:tcPr>
          <w:p>
            <w:pPr>
              <w:ind w:left="120"/>
              <w:spacing w:after="0"/>
              <w:rPr>
                <w:sz w:val="20"/>
                <w:szCs w:val="20"/>
                <w:color w:val="auto"/>
              </w:rPr>
            </w:pPr>
            <w:r>
              <w:rPr>
                <w:rFonts w:ascii="Arial" w:cs="Arial" w:eastAsia="Arial" w:hAnsi="Arial"/>
                <w:sz w:val="20"/>
                <w:szCs w:val="20"/>
                <w:color w:val="auto"/>
              </w:rPr>
              <w:t>Monster Ghost™ M-100™</w:t>
            </w:r>
          </w:p>
        </w:tc>
        <w:tc>
          <w:tcPr>
            <w:tcW w:w="4140" w:type="dxa"/>
            <w:vAlign w:val="bottom"/>
            <w:gridSpan w:val="2"/>
          </w:tcPr>
          <w:p>
            <w:pPr>
              <w:ind w:left="1140"/>
              <w:spacing w:after="0"/>
              <w:rPr>
                <w:sz w:val="20"/>
                <w:szCs w:val="20"/>
                <w:color w:val="auto"/>
              </w:rPr>
            </w:pPr>
            <w:r>
              <w:rPr>
                <w:rFonts w:ascii="Arial" w:cs="Arial" w:eastAsia="Arial" w:hAnsi="Arial"/>
                <w:sz w:val="20"/>
                <w:szCs w:val="20"/>
                <w:color w:val="auto"/>
                <w:w w:val="92"/>
              </w:rPr>
              <w:t>·   Monster Energy® Valentino Rossi</w:t>
            </w:r>
          </w:p>
        </w:tc>
      </w:tr>
    </w:tbl>
    <w:p>
      <w:pPr>
        <w:ind w:left="280" w:hanging="272"/>
        <w:spacing w:after="0"/>
        <w:tabs>
          <w:tab w:leader="none" w:pos="2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Monster Phantom™ M-100™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three operating and reportable segments, (i) Finished Products, (ii) Concentrate and (iii) Other, the principal products of which include the brands disposed of as a result of the TCCC Transaction (previously comprising the majority of the former Warehouse segment and the Peace Tea® brand).</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2015, we continued to expand our existing energy drink portfolio and further develop our distribution markets. During 2015, we introduced the following Monster Energy® brand energy drink products, in addition to the Strategic Brands acquired as part of the TCCC Transaction:</w:t>
      </w:r>
    </w:p>
    <w:p>
      <w:pPr>
        <w:spacing w:after="0" w:line="200" w:lineRule="exact"/>
        <w:rPr>
          <w:sz w:val="20"/>
          <w:szCs w:val="20"/>
          <w:color w:val="auto"/>
        </w:rPr>
      </w:pPr>
    </w:p>
    <w:p>
      <w:pPr>
        <w:ind w:left="600" w:hanging="365"/>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Monster Energy® Ultra Citron™, a carbonated energy drink which contains zero calories and zero sugar (January 2015).</w:t>
      </w:r>
    </w:p>
    <w:p>
      <w:pPr>
        <w:spacing w:after="0" w:line="15" w:lineRule="exact"/>
        <w:rPr>
          <w:rFonts w:ascii="Arial" w:cs="Arial" w:eastAsia="Arial" w:hAnsi="Arial"/>
          <w:sz w:val="20"/>
          <w:szCs w:val="20"/>
          <w:color w:val="auto"/>
        </w:rPr>
      </w:pPr>
    </w:p>
    <w:p>
      <w:pPr>
        <w:ind w:left="600" w:hanging="365"/>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Monster Rehab® Peach Tea + Energy (January 2015).</w:t>
      </w:r>
    </w:p>
    <w:p>
      <w:pPr>
        <w:ind w:left="600" w:hanging="365"/>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Juice Monster® Pipeline Punch™ (July 2015).</w:t>
      </w:r>
    </w:p>
    <w:p>
      <w:pPr>
        <w:ind w:left="600" w:hanging="365"/>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Muscle Monster® Banana (July 2015).</w:t>
      </w:r>
    </w:p>
    <w:p>
      <w:pPr>
        <w:ind w:left="600" w:hanging="365"/>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Monster Ghost™ M-100™, an exclusive limited time listing with a convenience customer (July 2015).</w:t>
      </w:r>
    </w:p>
    <w:p>
      <w:pPr>
        <w:ind w:left="600" w:hanging="365"/>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Monster Phantom™ M-100™, an exclusive limited time listing with certain convenience customers (July 2015).</w:t>
      </w:r>
    </w:p>
    <w:p>
      <w:pPr>
        <w:ind w:left="600" w:hanging="365"/>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Monster Rehab® Raspberry Tea + Energy (August 2015).</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during the year ended December 31, 2015 (other than those disposed of as part of the TCCC Transaction),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net sales of $2,722.6 million for the year ended December 31, 2015 represented record annual net sales. The vast majority of our net sales are derived from our Monster Energy® brand energy drinks. Net sales of our Monster Energy® brand energy drinks were $2,518.5 million for the year ended December 31, 2015, an increase of $204.0 million, or 79.2% of our overall increase in net sales for the year ended December 31, 2015. Any decrease in net sales of our Monster Energy® brand energy drinks could have a significant adverse effect on our future revenues and net income. Competitive pressure in the energy drink category could also adversely affect our operating results. Net sales of our Strategic Brands acquired as part of the TCCC Transaction were $143.3 million for the year ended December 31, 2015.</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Changes in foreign currency exchange rates had an unfavorable impact on net sales in the Finished Products segment of approximately $74.1 million for the year ended December 31, 2015, which was primarily due to a stronger U.S. dollar compared to certain local currencies in which we conduct certain of our international business. Changes in foreign currency exchange rates had an unfavorable impact on net sales in the Concentrate segment of approximately $10.2 million for the year ended December 31, 2015, which was primarily due to a stronger U.S. dollar compared to certain local currencies in which we conduct certain of our international business.</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sampling and sponsorship of selected causes, events, athletes and teams. In-store posters, outdoor posters, print, radio and television advertising (directly and through our sponsorships and endorsements) and coupons may also be used to promote our brands. We are currently evaluating our future strategy for the positioning of our Strategic Brands.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ectPr>
          <w:pgSz w:w="11900" w:h="16838" w:orient="portrait"/>
          <w:cols w:equalWidth="0" w:num="1">
            <w:col w:w="11420"/>
          </w:cols>
          <w:pgMar w:left="240" w:top="121" w:right="239" w:bottom="0" w:gutter="0" w:footer="0" w:header="0"/>
        </w:sectPr>
      </w:pPr>
    </w:p>
    <w:bookmarkStart w:id="28" w:name="page29"/>
    <w:bookmarkEnd w:id="28"/>
    <w:p>
      <w:pPr>
        <w:jc w:val="both"/>
        <w:ind w:firstLine="648"/>
        <w:spacing w:after="0" w:line="244" w:lineRule="auto"/>
        <w:rPr>
          <w:sz w:val="20"/>
          <w:szCs w:val="20"/>
          <w:color w:val="auto"/>
        </w:rPr>
      </w:pPr>
      <w:r>
        <w:rPr>
          <w:rFonts w:ascii="Arial" w:cs="Arial" w:eastAsia="Arial" w:hAnsi="Arial"/>
          <w:sz w:val="20"/>
          <w:szCs w:val="20"/>
          <w:color w:val="auto"/>
        </w:rPr>
        <w:t>Our growth strategy includes expanding our international business. Gross sales to customers outside the United States amounted to $713.2 million, $657.9 million and $580.6 million for the years ended December 31, 2015, 2014 and 2013, respectively. Such sales were approximately 23% of gross sales for the years ended December 31, 2015, 2014 and 2013. Changes in foreign currency exchange rates had an unfavorable impact on gross sales to customers outside the United States of approximately 14%, 1% and 2% for the years ended December 31, 2015, 2014, and 2013, respectively, which was primarily due to a stronger U.S. dollar compared to certain local currencies in which we conduct certain of our international business.</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drug chains, mass merchandisers, convenience chains, health food distributors, food service customers and the military. Gross sales to our various customer types for the years ended December 31, 2015, 2014 and 2013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distributors’ sales to their own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4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152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5"/>
              </w:rPr>
              <w:t>2015</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2014</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2013</w:t>
            </w:r>
          </w:p>
        </w:tc>
        <w:tc>
          <w:tcPr>
            <w:tcW w:w="0" w:type="dxa"/>
            <w:vAlign w:val="bottom"/>
          </w:tcPr>
          <w:p>
            <w:pPr>
              <w:spacing w:after="0"/>
              <w:rPr>
                <w:sz w:val="1"/>
                <w:szCs w:val="1"/>
                <w:color w:val="auto"/>
              </w:rPr>
            </w:pPr>
          </w:p>
        </w:tc>
      </w:tr>
      <w:tr>
        <w:trPr>
          <w:trHeight w:val="206"/>
        </w:trPr>
        <w:tc>
          <w:tcPr>
            <w:tcW w:w="6640" w:type="dxa"/>
            <w:vAlign w:val="bottom"/>
            <w:vMerge w:val="continue"/>
          </w:tcPr>
          <w:p>
            <w:pPr>
              <w:spacing w:after="0"/>
              <w:rPr>
                <w:sz w:val="17"/>
                <w:szCs w:val="17"/>
                <w:color w:val="auto"/>
              </w:rPr>
            </w:pPr>
          </w:p>
        </w:tc>
        <w:tc>
          <w:tcPr>
            <w:tcW w:w="1520" w:type="dxa"/>
            <w:vAlign w:val="bottom"/>
          </w:tcPr>
          <w:p>
            <w:pPr>
              <w:jc w:val="center"/>
              <w:ind w:right="61"/>
              <w:spacing w:after="0" w:line="207" w:lineRule="exact"/>
              <w:rPr>
                <w:sz w:val="20"/>
                <w:szCs w:val="20"/>
                <w:color w:val="auto"/>
              </w:rPr>
            </w:pPr>
            <w:r>
              <w:rPr>
                <w:rFonts w:ascii="Arial" w:cs="Arial" w:eastAsia="Arial" w:hAnsi="Arial"/>
                <w:sz w:val="20"/>
                <w:szCs w:val="20"/>
                <w:color w:val="auto"/>
                <w:w w:val="89"/>
              </w:rPr>
              <w:t>65%</w:t>
            </w:r>
          </w:p>
        </w:tc>
        <w:tc>
          <w:tcPr>
            <w:tcW w:w="1640" w:type="dxa"/>
            <w:vAlign w:val="bottom"/>
          </w:tcPr>
          <w:p>
            <w:pPr>
              <w:jc w:val="center"/>
              <w:spacing w:after="0" w:line="207" w:lineRule="exact"/>
              <w:rPr>
                <w:sz w:val="20"/>
                <w:szCs w:val="20"/>
                <w:color w:val="auto"/>
              </w:rPr>
            </w:pPr>
            <w:r>
              <w:rPr>
                <w:rFonts w:ascii="Arial" w:cs="Arial" w:eastAsia="Arial" w:hAnsi="Arial"/>
                <w:sz w:val="20"/>
                <w:szCs w:val="20"/>
                <w:color w:val="auto"/>
                <w:w w:val="89"/>
              </w:rPr>
              <w:t>62%</w:t>
            </w:r>
          </w:p>
        </w:tc>
        <w:tc>
          <w:tcPr>
            <w:tcW w:w="1620" w:type="dxa"/>
            <w:vAlign w:val="bottom"/>
          </w:tcPr>
          <w:p>
            <w:pPr>
              <w:jc w:val="center"/>
              <w:spacing w:after="0" w:line="207" w:lineRule="exact"/>
              <w:rPr>
                <w:sz w:val="20"/>
                <w:szCs w:val="20"/>
                <w:color w:val="auto"/>
              </w:rPr>
            </w:pPr>
            <w:r>
              <w:rPr>
                <w:rFonts w:ascii="Arial" w:cs="Arial" w:eastAsia="Arial" w:hAnsi="Arial"/>
                <w:sz w:val="20"/>
                <w:szCs w:val="20"/>
                <w:color w:val="auto"/>
                <w:w w:val="94"/>
              </w:rPr>
              <w:t>63%</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89"/>
              </w:rPr>
              <w:t>9%</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162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1520" w:type="dxa"/>
            <w:vAlign w:val="bottom"/>
          </w:tcPr>
          <w:p>
            <w:pPr>
              <w:jc w:val="center"/>
              <w:ind w:right="61"/>
              <w:spacing w:after="0"/>
              <w:rPr>
                <w:sz w:val="20"/>
                <w:szCs w:val="20"/>
                <w:color w:val="auto"/>
              </w:rPr>
            </w:pPr>
            <w:r>
              <w:rPr>
                <w:rFonts w:ascii="Arial" w:cs="Arial" w:eastAsia="Arial" w:hAnsi="Arial"/>
                <w:sz w:val="20"/>
                <w:szCs w:val="20"/>
                <w:color w:val="auto"/>
                <w:w w:val="89"/>
              </w:rPr>
              <w:t>23%</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23%</w:t>
            </w:r>
          </w:p>
        </w:tc>
        <w:tc>
          <w:tcPr>
            <w:tcW w:w="1620" w:type="dxa"/>
            <w:vAlign w:val="bottom"/>
          </w:tcPr>
          <w:p>
            <w:pPr>
              <w:jc w:val="center"/>
              <w:spacing w:after="0"/>
              <w:rPr>
                <w:sz w:val="20"/>
                <w:szCs w:val="20"/>
                <w:color w:val="auto"/>
              </w:rPr>
            </w:pPr>
            <w:r>
              <w:rPr>
                <w:rFonts w:ascii="Arial" w:cs="Arial" w:eastAsia="Arial" w:hAnsi="Arial"/>
                <w:sz w:val="20"/>
                <w:szCs w:val="20"/>
                <w:color w:val="auto"/>
                <w:w w:val="94"/>
              </w:rPr>
              <w:t>23%</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89"/>
              </w:rPr>
              <w:t>2%</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4%</w:t>
            </w:r>
          </w:p>
        </w:tc>
        <w:tc>
          <w:tcPr>
            <w:tcW w:w="16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20"/>
                <w:szCs w:val="20"/>
                <w:color w:val="auto"/>
              </w:rPr>
              <w:t>Other</w:t>
            </w:r>
          </w:p>
        </w:tc>
        <w:tc>
          <w:tcPr>
            <w:tcW w:w="1520" w:type="dxa"/>
            <w:vAlign w:val="bottom"/>
          </w:tcPr>
          <w:p>
            <w:pPr>
              <w:jc w:val="center"/>
              <w:ind w:right="41"/>
              <w:spacing w:after="0"/>
              <w:rPr>
                <w:sz w:val="20"/>
                <w:szCs w:val="20"/>
                <w:color w:val="auto"/>
              </w:rPr>
            </w:pPr>
            <w:r>
              <w:rPr>
                <w:rFonts w:ascii="Arial" w:cs="Arial" w:eastAsia="Arial" w:hAnsi="Arial"/>
                <w:sz w:val="20"/>
                <w:szCs w:val="20"/>
                <w:color w:val="auto"/>
                <w:w w:val="89"/>
              </w:rPr>
              <w:t>1%</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6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customers include the TCCC North American Bottlers, CCE, Coca-Cola Hellenic, Swire Coca-Cola, USA and certain other Coca-Cola independent bottlers, Asahi, Kalil Bottling Group, Wal-Mart, Inc. (including Sam’s Club), Costco and AB Distributors. In February 2015, in accordance with its existing agreements with the applicable AB Distributors, the Company sent notices of termination to the majority of the AB Distributors in the United States for the termination of their respective distribution agreements, to be effective at various dates beginning in March 2015. The associated distribution rights have been transitioned to TCCC’s network of owned or controlled bottlers/distributors and independent bottlers/distributors as of the effective date of termination of the AB Distributors’ rights in the applicable territories (see Note 9 “Distribution Agreements” in the notes to consolidated financial statements). The TCCC Subsidiaries accounted for approximately 42%, 29% and 29% of our net sales for the years ended December 31, 2015, 2014 and 2013,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continue to incur expenditures in connection with the development and introduction of new products and flavors.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Value Drivers of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key value drivers of our business include the following:</w:t>
      </w:r>
    </w:p>
    <w:p>
      <w:pPr>
        <w:spacing w:after="0" w:line="229" w:lineRule="exact"/>
        <w:rPr>
          <w:sz w:val="20"/>
          <w:szCs w:val="20"/>
          <w:color w:val="auto"/>
        </w:rPr>
      </w:pPr>
    </w:p>
    <w:p>
      <w:pPr>
        <w:jc w:val="both"/>
        <w:ind w:left="980" w:hanging="324"/>
        <w:spacing w:after="0" w:line="243" w:lineRule="auto"/>
        <w:tabs>
          <w:tab w:leader="none" w:pos="111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International Growth </w:t>
      </w:r>
      <w:r>
        <w:rPr>
          <w:rFonts w:ascii="Arial" w:cs="Arial" w:eastAsia="Arial" w:hAnsi="Arial"/>
          <w:sz w:val="20"/>
          <w:szCs w:val="20"/>
          <w:color w:val="auto"/>
        </w:rPr>
        <w:t>– The introduction, development and sustained profitability of our Monster Energy® brand internationally</w:t>
      </w:r>
      <w:r>
        <w:rPr>
          <w:rFonts w:ascii="Arial" w:cs="Arial" w:eastAsia="Arial" w:hAnsi="Arial"/>
          <w:sz w:val="20"/>
          <w:szCs w:val="20"/>
          <w:i w:val="1"/>
          <w:iCs w:val="1"/>
          <w:color w:val="auto"/>
        </w:rPr>
        <w:t xml:space="preserve"> </w:t>
      </w:r>
      <w:r>
        <w:rPr>
          <w:rFonts w:ascii="Arial" w:cs="Arial" w:eastAsia="Arial" w:hAnsi="Arial"/>
          <w:sz w:val="20"/>
          <w:szCs w:val="20"/>
          <w:color w:val="auto"/>
        </w:rPr>
        <w:t>remains a key value driver for our corporate growth. The TCCC Transaction is expected to secure fully aligned access to TCCC’s leading global distribution system, which we anticipate will accelerate our international performance. In addition, we anticipate that the TCCC Transaction will provide scale and platform synergies in a range of international geographies where we currently have limited presence, which is expected to increase our energy business in a number of international markets and establish a strong presence in additional countries.</w:t>
      </w:r>
    </w:p>
    <w:p>
      <w:pPr>
        <w:spacing w:after="0" w:line="210" w:lineRule="exact"/>
        <w:rPr>
          <w:rFonts w:ascii="Arial" w:cs="Arial" w:eastAsia="Arial" w:hAnsi="Arial"/>
          <w:sz w:val="20"/>
          <w:szCs w:val="20"/>
          <w:color w:val="auto"/>
        </w:rPr>
      </w:pPr>
    </w:p>
    <w:p>
      <w:pPr>
        <w:jc w:val="both"/>
        <w:ind w:left="980" w:hanging="324"/>
        <w:spacing w:after="0" w:line="276" w:lineRule="auto"/>
        <w:tabs>
          <w:tab w:leader="none" w:pos="1137"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Profitable Growth </w:t>
      </w:r>
      <w:r>
        <w:rPr>
          <w:rFonts w:ascii="Arial" w:cs="Arial" w:eastAsia="Arial" w:hAnsi="Arial"/>
          <w:sz w:val="18"/>
          <w:szCs w:val="18"/>
          <w:color w:val="auto"/>
        </w:rPr>
        <w:t>– We believe “functional” value added brands properly supported by marketing and innovation, targeted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diverse consumer base, drive profitable growth. We continue to broaden our family of brands. In particular, we have expanded our energy drinks, including through the addition of TCCC’s existing energy product lines in connection with the TCCC Transaction, to provide more alternatives to consumers. We are focused on building upon the respective profit margins for both the Finished Products segment and the Concentrate segment, and believe that tailored branding, packaging, pricing and distribution channel strategies help achieve profitable growth. We are implementing these strategies with a view to continuing profitable growth.</w:t>
      </w:r>
    </w:p>
    <w:p>
      <w:pPr>
        <w:spacing w:after="0" w:line="178" w:lineRule="exact"/>
        <w:rPr>
          <w:rFonts w:ascii="Arial" w:cs="Arial" w:eastAsia="Arial" w:hAnsi="Arial"/>
          <w:sz w:val="18"/>
          <w:szCs w:val="18"/>
          <w:color w:val="auto"/>
        </w:rPr>
      </w:pPr>
    </w:p>
    <w:p>
      <w:pPr>
        <w:jc w:val="both"/>
        <w:ind w:left="980" w:hanging="324"/>
        <w:spacing w:after="0" w:line="328" w:lineRule="auto"/>
        <w:tabs>
          <w:tab w:leader="none" w:pos="94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Cost Management </w:t>
      </w:r>
      <w:r>
        <w:rPr>
          <w:rFonts w:ascii="Arial" w:cs="Arial" w:eastAsia="Arial" w:hAnsi="Arial"/>
          <w:sz w:val="16"/>
          <w:szCs w:val="16"/>
          <w:color w:val="auto"/>
        </w:rPr>
        <w:t>– The principal focus of cost management will continue to be on reducing input supply and production costs on a</w:t>
      </w:r>
      <w:r>
        <w:rPr>
          <w:rFonts w:ascii="Arial" w:cs="Arial" w:eastAsia="Arial" w:hAnsi="Arial"/>
          <w:sz w:val="16"/>
          <w:szCs w:val="16"/>
          <w:i w:val="1"/>
          <w:iCs w:val="1"/>
          <w:color w:val="auto"/>
        </w:rPr>
        <w:t xml:space="preserve"> </w:t>
      </w:r>
      <w:r>
        <w:rPr>
          <w:rFonts w:ascii="Arial" w:cs="Arial" w:eastAsia="Arial" w:hAnsi="Arial"/>
          <w:sz w:val="16"/>
          <w:szCs w:val="16"/>
          <w:color w:val="auto"/>
        </w:rPr>
        <w:t>per-case basis, including raw material costs and co-packing fees. Another key area of focus is to decrease promotional allowances, selling and general and administrative costs, including sponsorships, sampling, promotional and marketing expenses, as a percentage of net sales. The reduction of accounts receivable and inventory days on hand also remains a further key area of focus.</w:t>
      </w:r>
    </w:p>
    <w:p>
      <w:pPr>
        <w:spacing w:after="0" w:line="142" w:lineRule="exact"/>
        <w:rPr>
          <w:rFonts w:ascii="Arial" w:cs="Arial" w:eastAsia="Arial" w:hAnsi="Arial"/>
          <w:sz w:val="16"/>
          <w:szCs w:val="16"/>
          <w:color w:val="auto"/>
        </w:rPr>
      </w:pPr>
    </w:p>
    <w:p>
      <w:pPr>
        <w:jc w:val="both"/>
        <w:ind w:left="980" w:hanging="324"/>
        <w:spacing w:after="0" w:line="274" w:lineRule="auto"/>
        <w:tabs>
          <w:tab w:leader="none" w:pos="140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Efficient Capital Structure </w:t>
      </w:r>
      <w:r>
        <w:rPr>
          <w:rFonts w:ascii="Arial" w:cs="Arial" w:eastAsia="Arial" w:hAnsi="Arial"/>
          <w:sz w:val="18"/>
          <w:szCs w:val="18"/>
          <w:color w:val="auto"/>
        </w:rPr>
        <w:t>– Our capital structure is intended to optimize our working capital to finance expansion, both</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domestically and internationally. We believe our strong capital position, our ability to raise funds, if necessary, at a relatively low effective cost of borrowings, provides a competitive advantage. Furthermore, following the TCCC Transaction, we have a substantial amount of cash and cash equivalents, and we expect that a substantial portion of our cash and cash equivalents will be used to return capital to our shareholders pursuant to share repurchases, which may be effected pursuant to open market transactions, a “modified Dutch auction” tender offer, accelerated share repurchase, privately negotiated transactions or otherwise. The timing, terms and amount of any such share repurchase will be determined by the Company’s board of directors.</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We believe that, subject to increases in the costs of certain raw materials being contained, these value drivers, when properly implemented in the U.S. and internationally, will result in: (1) improving or maintaining our product gross profit margins; (2) providing</w:t>
      </w:r>
    </w:p>
    <w:p>
      <w:pPr>
        <w:sectPr>
          <w:pgSz w:w="11900" w:h="16838" w:orient="portrait"/>
          <w:cols w:equalWidth="0" w:num="1">
            <w:col w:w="11420"/>
          </w:cols>
          <w:pgMar w:left="240" w:top="121" w:right="239" w:bottom="0" w:gutter="0" w:footer="0" w:header="0"/>
        </w:sectPr>
      </w:pPr>
    </w:p>
    <w:bookmarkStart w:id="29" w:name="page30"/>
    <w:bookmarkEnd w:id="29"/>
    <w:p>
      <w:pPr>
        <w:spacing w:after="0" w:line="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additional leverage over time through reduced expenses as a percentage of net operating revenues; and (3) optimizing our cost of capital. The ultimate measure of success is and will be reflected in our current and future results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Gross and net sales, gross profit, operating income, net income and net income per share represent key measurements of the above value drivers. These measurements will continue to be a key management focus in 2016 and beyond </w:t>
      </w:r>
      <w:r>
        <w:rPr>
          <w:rFonts w:ascii="Arial" w:cs="Arial" w:eastAsia="Arial" w:hAnsi="Arial"/>
          <w:sz w:val="18"/>
          <w:szCs w:val="18"/>
          <w:b w:val="1"/>
          <w:bCs w:val="1"/>
          <w:color w:val="auto"/>
        </w:rPr>
        <w:t>(</w:t>
      </w:r>
      <w:r>
        <w:rPr>
          <w:rFonts w:ascii="Arial" w:cs="Arial" w:eastAsia="Arial" w:hAnsi="Arial"/>
          <w:sz w:val="18"/>
          <w:szCs w:val="18"/>
          <w:color w:val="auto"/>
        </w:rPr>
        <w:t>See “Part II, Item 7 – Results of Operations – Results of Operations for the Year Ended December 31, 2015 Compared to the Year Ended December 31, 2014”).</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As of December 31, 2015, the Company had working capital of $3,068.4 million compared to $1,297.4 million as of December 31, 2014. The increase in working capital was primarily the result of cash received in the TCCC Transaction. For the year ended December 31, 2015, our net cash provided by operating activities was approximately $208.0 million as compared to $585.6 million for the year ended December 31, 2014. Principal uses of cash flows in 2015 were purchases of investments, share repurchases, purchases of inventory, development of our Monster Energy® brand internationally, acquisition of property and equipment and acquisition of trademarks. These principal uses of cash flows are expected to be and remain our principal recurring use of cash and working capital funds in the future (See “Part II, Item 7 – Liquidity and Capital Resources”).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Opportunities, Challenges and Risks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Looking forward, our management has identified certain challenges and risks for the beverage industry and our Company, including our significant commercial relationships with TCCC and TCCC’s status as a significant shareholder of the Company, in each case as described above under “Part I, Item 1A – Risk Factors.”</w:t>
      </w:r>
    </w:p>
    <w:p>
      <w:pPr>
        <w:spacing w:after="0" w:line="2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In addition, legislation has been proposed and/or adopted at the U.S. state and/or county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been published. The proposal and/or adoption of such legislation and the publication of such articles, or the future proposal and/or adoption of similar legislation or publication of similar articles, may adversely affect our Company. 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Consumer discretionary spending also represents a challenge to the successful marketing and sale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calorie beverages within our energy drink product line. We continuously strive to meet changing consumer needs through beverage innovation, choice and variety. (See “Part I, Item 1A – Risk Factors”).</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quality, method of distribution, brand image and intellectual property protection. The beverage industry is subject to changing consumer preferences that may adversely affect us if we misjudge such preferences.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pacing w:after="0" w:line="252" w:lineRule="exact"/>
        <w:rPr>
          <w:sz w:val="20"/>
          <w:szCs w:val="20"/>
          <w:color w:val="auto"/>
        </w:rPr>
      </w:pPr>
    </w:p>
    <w:p>
      <w:pPr>
        <w:ind w:left="980" w:hanging="324"/>
        <w:spacing w:after="0" w:line="247" w:lineRule="auto"/>
        <w:tabs>
          <w:tab w:leader="none" w:pos="107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risks associated with the realization of benefits from the TCCC Transaction, including the transition of the distribution of our products to TCCC’s distribution network;</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changes in consumer preferences and demand for our products;</w:t>
      </w: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economic uncertainty in the United States, Europe and other countries in which we operate;</w:t>
      </w: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risks associated with foreign currency exchange rate fluctuations;</w:t>
      </w: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maintenance of our brand image and product quality;</w:t>
      </w:r>
    </w:p>
    <w:p>
      <w:pPr>
        <w:ind w:left="980" w:right="20" w:hanging="324"/>
        <w:spacing w:after="0" w:line="239" w:lineRule="auto"/>
        <w:tabs>
          <w:tab w:leader="none" w:pos="935"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increasing concern over various health matters, including obesity, caffeine consumption and energy drinks generally, and changes in regulation and consumer preferences in response to those concerns;</w:t>
      </w:r>
    </w:p>
    <w:p>
      <w:pPr>
        <w:spacing w:after="0" w:line="1" w:lineRule="exact"/>
        <w:rPr>
          <w:rFonts w:ascii="Arial" w:cs="Arial" w:eastAsia="Arial" w:hAnsi="Arial"/>
          <w:sz w:val="20"/>
          <w:szCs w:val="20"/>
          <w:color w:val="auto"/>
        </w:rPr>
      </w:pPr>
    </w:p>
    <w:p>
      <w:pPr>
        <w:ind w:left="980" w:hanging="324"/>
        <w:spacing w:after="0" w:line="239" w:lineRule="auto"/>
        <w:tabs>
          <w:tab w:leader="none" w:pos="1313"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profitable expansion and growth of our family of brands in the competitive market place (See “Part I, Item 1 – Business – Competition” and “Part I, Item 1 – Business – Sales and Marketing”);</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costs of establishing and promoting our brands internationally;</w:t>
      </w:r>
    </w:p>
    <w:p>
      <w:pPr>
        <w:ind w:left="980" w:hanging="324"/>
        <w:spacing w:after="0" w:line="252" w:lineRule="auto"/>
        <w:tabs>
          <w:tab w:leader="none" w:pos="1097" w:val="left"/>
        </w:tabs>
        <w:numPr>
          <w:ilvl w:val="0"/>
          <w:numId w:val="19"/>
        </w:numPr>
        <w:rPr>
          <w:rFonts w:ascii="Arial" w:cs="Arial" w:eastAsia="Arial" w:hAnsi="Arial"/>
          <w:sz w:val="19"/>
          <w:szCs w:val="19"/>
          <w:color w:val="auto"/>
        </w:rPr>
      </w:pPr>
      <w:r>
        <w:rPr>
          <w:rFonts w:ascii="Arial" w:cs="Arial" w:eastAsia="Arial" w:hAnsi="Arial"/>
          <w:sz w:val="19"/>
          <w:szCs w:val="19"/>
          <w:color w:val="auto"/>
        </w:rPr>
        <w:t>restrictions on imports and sources of supply; duties or tariffs; changes in related government regulations; and disruptions in the timely import or export of our products and/or ingredients due to port strikes and related labor issues;</w:t>
      </w:r>
    </w:p>
    <w:p>
      <w:pPr>
        <w:ind w:left="980" w:hanging="324"/>
        <w:spacing w:after="0" w:line="239" w:lineRule="auto"/>
        <w:tabs>
          <w:tab w:leader="none" w:pos="111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available quantities of certain package containers such as the 24-ounce cap-can and co-packing availability; and</w:t>
      </w:r>
    </w:p>
    <w:p>
      <w:pPr>
        <w:sectPr>
          <w:pgSz w:w="11900" w:h="16847" w:orient="portrait"/>
          <w:cols w:equalWidth="0" w:num="1">
            <w:col w:w="11420"/>
          </w:cols>
          <w:pgMar w:left="240" w:top="121" w:right="239" w:bottom="0" w:gutter="0" w:footer="0" w:header="0"/>
        </w:sectPr>
      </w:pPr>
    </w:p>
    <w:bookmarkStart w:id="30" w:name="page31"/>
    <w:bookmarkEnd w:id="30"/>
    <w:p>
      <w:pPr>
        <w:jc w:val="both"/>
        <w:ind w:left="980" w:hanging="324"/>
        <w:spacing w:after="0" w:line="250" w:lineRule="auto"/>
        <w:tabs>
          <w:tab w:leader="none" w:pos="1259"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imposition of additional regulation, including regulation restricting the sale of energy drinks, limiting caffeine content in beverages, requiring product labeling and/or warnings, imposing excise taxes and/or sales taxes, and/or limiting product size and/or age restrictions.</w:t>
      </w:r>
    </w:p>
    <w:p>
      <w:pPr>
        <w:spacing w:after="0" w:line="20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See “Part I, Item 1A – Risk Factors” for additional information about risks and uncertainties facing 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following opportunities exist for us:</w:t>
      </w:r>
    </w:p>
    <w:p>
      <w:pPr>
        <w:spacing w:after="0" w:line="229" w:lineRule="exact"/>
        <w:rPr>
          <w:sz w:val="20"/>
          <w:szCs w:val="20"/>
          <w:color w:val="auto"/>
        </w:rPr>
      </w:pPr>
    </w:p>
    <w:p>
      <w:pPr>
        <w:ind w:left="980" w:hanging="324"/>
        <w:spacing w:after="0" w:line="247" w:lineRule="auto"/>
        <w:tabs>
          <w:tab w:leader="none" w:pos="1083" w:val="left"/>
        </w:tabs>
        <w:numPr>
          <w:ilvl w:val="0"/>
          <w:numId w:val="21"/>
        </w:numPr>
        <w:rPr>
          <w:rFonts w:ascii="Arial" w:cs="Arial" w:eastAsia="Arial" w:hAnsi="Arial"/>
          <w:sz w:val="20"/>
          <w:szCs w:val="20"/>
          <w:color w:val="auto"/>
        </w:rPr>
      </w:pPr>
      <w:r>
        <w:rPr>
          <w:rFonts w:ascii="Arial" w:cs="Arial" w:eastAsia="Arial" w:hAnsi="Arial"/>
          <w:sz w:val="20"/>
          <w:szCs w:val="20"/>
          <w:color w:val="auto"/>
        </w:rPr>
        <w:t>domestic and international growth potential of our products due to our transition to a leading global distribution network and the scale and platform synergies expected in connection with the TCCC Transaction;</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growth potential of the energy drink category, both domestically and internationally;</w:t>
      </w:r>
    </w:p>
    <w:p>
      <w:pPr>
        <w:ind w:left="980" w:right="20" w:hanging="324"/>
        <w:spacing w:after="0" w:line="239" w:lineRule="auto"/>
        <w:tabs>
          <w:tab w:leader="none" w:pos="1043" w:val="left"/>
        </w:tabs>
        <w:numPr>
          <w:ilvl w:val="0"/>
          <w:numId w:val="21"/>
        </w:numPr>
        <w:rPr>
          <w:rFonts w:ascii="Arial" w:cs="Arial" w:eastAsia="Arial" w:hAnsi="Arial"/>
          <w:sz w:val="20"/>
          <w:szCs w:val="20"/>
          <w:color w:val="auto"/>
        </w:rPr>
      </w:pPr>
      <w:r>
        <w:rPr>
          <w:rFonts w:ascii="Arial" w:cs="Arial" w:eastAsia="Arial" w:hAnsi="Arial"/>
          <w:sz w:val="20"/>
          <w:szCs w:val="20"/>
          <w:color w:val="auto"/>
        </w:rPr>
        <w:t>planned and future new product and product line introductions with the objective of increasing sales and/or contributing to higher profitability;</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introduction of premium and/or new packages designed to generate strong revenue growth;</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redesign, repackaging and repositioning of our Strategic Brands;</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significant package, pricing and channel opportunities to increase profitable growth;</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effective strategic positioning to capitalize on industry growth;</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broadening distribution/expansion opportunities in both domestic and international markets;</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launching our products into new geographic markets such as China; and</w:t>
      </w:r>
    </w:p>
    <w:p>
      <w:pPr>
        <w:ind w:left="940" w:hanging="284"/>
        <w:spacing w:after="0"/>
        <w:tabs>
          <w:tab w:leader="none" w:pos="9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continued focus on reducing our cost base.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years ended December 31, 2015, 2014 and 2013,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 thousands, except per share</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color w:val="auto"/>
              </w:rPr>
              <w:t>amounts)</w:t>
            </w:r>
          </w:p>
        </w:tc>
        <w:tc>
          <w:tcPr>
            <w:tcW w:w="360" w:type="dxa"/>
            <w:vAlign w:val="bottom"/>
          </w:tcPr>
          <w:p>
            <w:pPr>
              <w:spacing w:after="0"/>
              <w:rPr>
                <w:sz w:val="20"/>
                <w:szCs w:val="20"/>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0"/>
        </w:trPr>
        <w:tc>
          <w:tcPr>
            <w:tcW w:w="4580" w:type="dxa"/>
            <w:vAlign w:val="bottom"/>
            <w:vMerge w:val="restart"/>
          </w:tcPr>
          <w:p>
            <w:pPr>
              <w:spacing w:after="0"/>
              <w:rPr>
                <w:sz w:val="20"/>
                <w:szCs w:val="20"/>
                <w:color w:val="auto"/>
              </w:rPr>
            </w:pPr>
            <w:r>
              <w:rPr>
                <w:rFonts w:ascii="Arial" w:cs="Arial" w:eastAsia="Arial" w:hAnsi="Arial"/>
                <w:sz w:val="18"/>
                <w:szCs w:val="18"/>
                <w:color w:val="auto"/>
              </w:rPr>
              <w:t>Net sales¹</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15 vs. 14</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 vs. 13</w:t>
            </w:r>
          </w:p>
        </w:tc>
        <w:tc>
          <w:tcPr>
            <w:tcW w:w="0" w:type="dxa"/>
            <w:vAlign w:val="bottom"/>
          </w:tcPr>
          <w:p>
            <w:pPr>
              <w:spacing w:after="0"/>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2,722,564</w:t>
            </w:r>
          </w:p>
        </w:tc>
        <w:tc>
          <w:tcPr>
            <w:tcW w:w="18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2,464,867</w:t>
            </w:r>
          </w:p>
        </w:tc>
        <w:tc>
          <w:tcPr>
            <w:tcW w:w="16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2,246,428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21"/>
        </w:trPr>
        <w:tc>
          <w:tcPr>
            <w:tcW w:w="4580" w:type="dxa"/>
            <w:vAlign w:val="bottom"/>
            <w:vMerge w:val="restart"/>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60" w:type="dxa"/>
            <w:vAlign w:val="bottom"/>
            <w:vMerge w:val="restart"/>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1,090,263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1,125,057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1,073,497</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color w:val="auto"/>
              </w:rPr>
              <w:t>Gross profit*¹</w:t>
            </w:r>
          </w:p>
        </w:tc>
        <w:tc>
          <w:tcPr>
            <w:tcW w:w="36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1,632,301</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1,339,810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1,172,931</w:t>
            </w:r>
          </w:p>
        </w:tc>
        <w:tc>
          <w:tcPr>
            <w:tcW w:w="16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21.8%</w:t>
            </w:r>
          </w:p>
        </w:tc>
        <w:tc>
          <w:tcPr>
            <w:tcW w:w="16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Gross profit as a percentage of net sales¹</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Operating expenses²</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900,118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592,305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600,015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Gain on sale of Monster Non-Energy</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Operating income¹‚²</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893,653</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747,505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572,916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Income before provision for income taxes¹‚²</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891,548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745,788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563,894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344,815</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262,603</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225,233</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80" w:type="dxa"/>
            <w:vAlign w:val="bottom"/>
          </w:tcPr>
          <w:p>
            <w:pPr>
              <w:spacing w:after="0"/>
              <w:rPr>
                <w:sz w:val="20"/>
                <w:szCs w:val="20"/>
                <w:color w:val="auto"/>
              </w:rPr>
            </w:pPr>
            <w:r>
              <w:rPr>
                <w:rFonts w:ascii="Arial" w:cs="Arial" w:eastAsia="Arial" w:hAnsi="Arial"/>
                <w:sz w:val="18"/>
                <w:szCs w:val="18"/>
                <w:color w:val="auto"/>
              </w:rPr>
              <w:t>Net income¹‚²</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546,733</w:t>
            </w:r>
          </w:p>
        </w:tc>
        <w:tc>
          <w:tcPr>
            <w:tcW w:w="180" w:type="dxa"/>
            <w:vAlign w:val="bottom"/>
          </w:tcPr>
          <w:p>
            <w:pPr>
              <w:spacing w:after="0"/>
              <w:rPr>
                <w:sz w:val="24"/>
                <w:szCs w:val="24"/>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483,185</w:t>
            </w: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338,661</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(in 192-ounce case equivalents)</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274,621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238,280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221,348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¹Includes $62.8 million, $15.0 million and $14.8 million for the years ended December 31, 2015, 2014 and 2013, respectively, related to the recognition of deferred revenue. Included in the $62.8 million recognition of deferred revenue for the year ended December 31, 2015, is $39.8 million related to the accelerated amortization of the deferred revenue balances associated with certain of the Company’s prior distributors who were sent notices of termination during the first quarter of 2015.</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²Includes $224.0 million, ($0.2) million and $10.8 million for the years ended December 31, 2015, 2014 and 2013, respectively, related to distributor termination costs.</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ectPr>
          <w:pgSz w:w="11900" w:h="16838" w:orient="portrait"/>
          <w:cols w:equalWidth="0" w:num="1">
            <w:col w:w="11420"/>
          </w:cols>
          <w:pgMar w:left="240" w:top="121" w:right="239" w:bottom="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1" w:name="page32"/>
    <w:bookmarkEnd w:id="3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2015 Compared to the Year Ended December 31, 2014.</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$2,722.6 million for the year ended December 31, 2015, an increase of approximately $257.7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10.5% higher than net sales of $2,464.9 million for the year ended December 31, 2014. The increase in net sales of our Monster Energy® brand energy drinks represented approximately $204.0 million of the overall increase in net sales. Net sales of our Monster Energy® brand energy drinks increased partially due to increased sales by volume as a result of increased domestic and international consumer demand. Net sales of our Strategic Brands were $143.3 million for the year ended December 31, 2015. Net sales for the Other segment, the principal products of which include the brands disposed of as a result of the TCCC Transaction on June 12, 2015 (previously comprising the majority of the former Warehouse segment and the Peace Tea® brand), decreased $89.6 million for the year ended December 31, 2015. Net sales for the year ended December 31, 2015 included $39.8 million related to the accelerated amortization of the deferred revenue balances associated with certain of the Company’s prior distributors. No other individual product line contributed either a material increase or decrease to net sales for the year ended December 31, 2015.</w:t>
      </w:r>
    </w:p>
    <w:p>
      <w:pPr>
        <w:spacing w:after="0" w:line="1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Changes in foreign currency exchange rates had an unfavorable impact on net sales in the Finished Products segment of approximately $74.1 million for the year ended December 31, 2015, which was primarily due to a stronger U.S. dollar compared to certain local currencies in which we conduct certain of our international business. Changes in foreign currency exchange rates had an unfavorable impact on net sales in the Concentrate segment of approximately $10.2 million for the year ended December 31, 2015, which was primarily due to a stronger U.S. dollar compared to certain local currencies in which we conduct certain of our international business.</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Case sales, in 192-ounce case equivalents, were 274.6 million cases for the year ended December 31, 2015, an increase of approximately 36.3 million cases or 15.3% higher than case sales of 238.3 million cases for the year ended December 31, 2014. The overall average net sales per case decreased to $9.91 for the year ended December 31, 2015, which was 4.2% lower than the average net sales per case of $10.34 for the year ended December 31, 2014. The lower average net sales per case was primarily attributable to sales of concentrates and/or beverage bases in the Concentrate segment, which generally generate lower net operating revenues than those products within the Finished Products segment.</w:t>
      </w:r>
    </w:p>
    <w:p>
      <w:pPr>
        <w:spacing w:after="0" w:line="21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Net sales for the Finished Products segment were $2,518.5 million for the year ended December 31, 2015, an increase of approximately $204.0 million, or 8.8% higher than net sales of $2,314.5 million for the year ended December 31, 2014.</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Net sales for the Concentrate segment were $143.3 million for the year ended December 31, 2015 (effectively from June 13, 2015 to December 31, 2015). There were no net sales for the Concentrate segment for the year ended December 31, 2014.</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Other segment, the principal products of which include the brands disposed of as a result of the TCCC Transaction (previously comprising the majority of the former Warehouse segment and the Peace Tea® brand), were $60.8 million for the year ended December 31, 2015 (effectively from January 1, 2015 to June 12, 2015), a decrease of approximately $89.6 million, or 59.6% lower than net sales of $150.3 million for the year ended December 31, 2014.</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$1,632.3 million for the year ended December 31, 2015, an increase of approximately $292.5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21.8% higher than the gross profit of $1,339.8 million for the years ended December 31, 2014. Gross profit as a percentage of net sales increased to 60.0% for the year ended December 31, 2015 from 54.4% for the year ended December 31, 2014. The increase in gross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profit dollars was primarily the result of the $204.0 million increase in net sales of our Monster Energy® brand energy drinks, the $143.3 million of net sales for the Concentrate segment as well as the $39.8 million accelerated amortization of the deferred revenue balances associated with certain of the Company’s prior distributors. The increase in gross profit as a percentage of net sales was primarily attributable to the Concentrate segment, which generally has higher gross margins than the Finished Products segment, the decrease in the net sales of the Other segment, which generally has lower gross margins than the Finished Products segment, and the $39.8 million accelerated amortization of the deferred revenue balances associated with certain of the Company’s prior distributors, as well as due to changes in product sales mix and lower costs of certain sweeteners and other raw materials.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$900.1 million for the year ended December 31, 2015,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$307.8 million, or 52.0% higher than total operating expenses of $592.3 million for the year ended December 31, 2014. The increase in operating expenses was primarily due to increased costs of $224.2 million associated with terminating certain existing distributors. To a lesser extent, the increase in operating expenses was attributable to increased payroll expenses of $30.0 million (of which $11.9 million was related to payroll taxes in connection with the exercise of certain stock options), increased expenditures of $16.4 million for sponsorships and endorsements and increased expenditures of $10.7 million for transaction expenses related to the TCCC Transaction.</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Finished Products segment was $836.1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a decrease of approximately $68.1 million, or 7.5% lower than contribution margin of $904.2 million for the year ended December 31, 2014. The decrease in the contribution margin for the Finished Products segment was primarily the result of the increased expenditures of $224.2 million relating to the costs associated with terminating certain existing distributors. Contribution margin for the Concentrate segment was $89.8 million for the year ended December 31, 2015. There was no contribution margin for the Concentrate segment for the year ended December 31, 2014. Contribution margin for the Other segment was $165.2 million for the year ended December 31, 2015 (effectively from January 1 to June 12), as compared to $7.6 million for the year ended December 31, 2014. The increase in contribution margin for the Other segment was primarily the result of the $161.5 million gain on the sale of Monster Non-Energy.</w:t>
      </w:r>
    </w:p>
    <w:p>
      <w:pPr>
        <w:sectPr>
          <w:pgSz w:w="11900" w:h="16900" w:orient="portrait"/>
          <w:cols w:equalWidth="0" w:num="1">
            <w:col w:w="11420"/>
          </w:cols>
          <w:pgMar w:left="240" w:top="368" w:right="239" w:bottom="0" w:gutter="0" w:footer="0" w:header="0"/>
        </w:sectPr>
      </w:pPr>
    </w:p>
    <w:bookmarkStart w:id="32" w:name="page33"/>
    <w:bookmarkEnd w:id="32"/>
    <w:p>
      <w:pPr>
        <w:spacing w:after="0" w:line="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$893.7 million for the year ended December 31, 2015, an increase of approximately $146.1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19.6% higher than operating income of $747.5 million for the year ended December 31, 2014. Operating income as a percentage of net sales increased to 32.8% for the year ended December 31, 2015 from 30.3% for the year ended December 31, 2014, primarily due to the $292.5 million increase in gross profit as well as the $161.5 million gain on the sale of Monster Non-Energy. The increase in operating income in dollars was offset by increased costs of $224.2 million associated with terminating certain existing distributors as well as the increase in other operating expenses. Operating income was $51.5 million and $37.8 million for the year ended December 31, 2015 and 2014,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Other Expense, net</w:t>
      </w:r>
      <w:r>
        <w:rPr>
          <w:rFonts w:ascii="Arial" w:cs="Arial" w:eastAsia="Arial" w:hAnsi="Arial"/>
          <w:sz w:val="20"/>
          <w:szCs w:val="20"/>
          <w:color w:val="auto"/>
        </w:rPr>
        <w:t>. Other expense, net was $2.1 million for the year ended December 31, 2015, as compared to other expense, net of</w:t>
      </w:r>
      <w:r>
        <w:rPr>
          <w:rFonts w:ascii="Arial" w:cs="Arial" w:eastAsia="Arial" w:hAnsi="Arial"/>
          <w:sz w:val="20"/>
          <w:szCs w:val="20"/>
          <w:i w:val="1"/>
          <w:iCs w:val="1"/>
          <w:color w:val="auto"/>
        </w:rPr>
        <w:t xml:space="preserve"> </w:t>
      </w:r>
      <w:r>
        <w:rPr>
          <w:rFonts w:ascii="Arial" w:cs="Arial" w:eastAsia="Arial" w:hAnsi="Arial"/>
          <w:sz w:val="20"/>
          <w:szCs w:val="20"/>
          <w:color w:val="auto"/>
        </w:rPr>
        <w:t>$1.7 million for the year ended December 31, 2014. Foreign currency transaction losses were $5.5 million and $3.4 million for the year ended December 31, 2015 and 2014, respectively. Interest income was $3.1 million and $1.1 million for the year ended December 31, 2015 and 2014, respectively.</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$344.8 million for the year ended December 31, 2015,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$82.2 million or 31.3% higher than the provision for income taxes of $262.6 million for the year ended December 31, 2014. The effective combined federal, state and foreign tax rate increased to 38.7% from 35.2% for the year ended December 31, 2015 and 2014, respectively. The increase in the effective tax rate was primarily due to the disallowance for tax purposes of 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costs related to the TCCC Transaction, the decrease in tax benefits relating to the domestic production deduction and the establishment of valuation allowances against the deferred tax assets in certain foreign jurisdictions. In addition, the profits, or a portion thereof, earned in certain foreign subsidiaries during the year ended December 31, 2014 had no related tax expense as a result of the prior establishment of valuation allowances on their deferred tax assets. The increase in the effective tax rate for the year ended December 31, 2015 was partially offset by the release of the valuation allowances against the deferred tax assets of certain foreign jurisdictions.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$546.7 million for the year ended December 31, 2015, an increase of $63.5 million or 13.2% higher than</w:t>
      </w:r>
      <w:r>
        <w:rPr>
          <w:rFonts w:ascii="Arial" w:cs="Arial" w:eastAsia="Arial" w:hAnsi="Arial"/>
          <w:sz w:val="20"/>
          <w:szCs w:val="20"/>
          <w:i w:val="1"/>
          <w:iCs w:val="1"/>
          <w:color w:val="auto"/>
        </w:rPr>
        <w:t xml:space="preserve"> </w:t>
      </w:r>
      <w:r>
        <w:rPr>
          <w:rFonts w:ascii="Arial" w:cs="Arial" w:eastAsia="Arial" w:hAnsi="Arial"/>
          <w:sz w:val="20"/>
          <w:szCs w:val="20"/>
          <w:color w:val="auto"/>
        </w:rPr>
        <w:t>net income of $483.2 million for the year ended December 31, 2014.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2014 Compared to the Year Ended December 31, 2013.</w:t>
      </w:r>
    </w:p>
    <w:p>
      <w:pPr>
        <w:spacing w:after="0" w:line="229" w:lineRule="exact"/>
        <w:rPr>
          <w:sz w:val="20"/>
          <w:szCs w:val="20"/>
          <w:color w:val="auto"/>
        </w:rPr>
      </w:pPr>
    </w:p>
    <w:p>
      <w:pPr>
        <w:jc w:val="both"/>
        <w:ind w:firstLine="687"/>
        <w:spacing w:after="0" w:line="258"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$2,464.9 million for the year ended December 31, 2014, an increase of approximately $218.4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9.7% higher than net sales of $2,246.4 million for the year ended December 31, 2013. The increase in net sales of our Monster Energy® brand energy drinks represented approximately $220.1 million, or 100.9%, of the overall increase in net sales. Net sales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former Peace Tea® line represented approximately 7% of the overall increase in net sales. No other individual product line contributed either a material increase or decrease to net sales for the year ended December 31, 2014.</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Collective changes in foreign currency exchange rates did not have a material impact on net sales for the year ended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2014.</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Case sales, in 192-ounce case equivalents, were 238.3 million cases for the year ended December 31, 2014, an increase of approximately 16.9 million cases or 7.6% higher than case sales of 221.3 million cases for the year ended December 31, 2013. The overall average net sales per case increased to $10.34 for the year ended December 31, 2014, which was 1.9% higher than the average net sales per case of $10.15 for the year ended December 31, 2013.</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Net sales for the Finished Products segment were $2,314.5 million for the year ended December 31, 2014, an increase of approximately $220.1 million, or 10.5% higher than net sales of $2,094.4 million for the year ended December 31, 2013.</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were no net sales for the Concentrate segment for the years ended December 31, 2014 and 2013.</w:t>
      </w:r>
    </w:p>
    <w:p>
      <w:pPr>
        <w:spacing w:after="0" w:line="229" w:lineRule="exact"/>
        <w:rPr>
          <w:sz w:val="20"/>
          <w:szCs w:val="20"/>
          <w:color w:val="auto"/>
        </w:rPr>
      </w:pPr>
    </w:p>
    <w:p>
      <w:pPr>
        <w:jc w:val="both"/>
        <w:ind w:firstLine="687"/>
        <w:spacing w:after="0" w:line="246" w:lineRule="auto"/>
        <w:rPr>
          <w:sz w:val="20"/>
          <w:szCs w:val="20"/>
          <w:color w:val="auto"/>
        </w:rPr>
      </w:pPr>
      <w:r>
        <w:rPr>
          <w:rFonts w:ascii="Arial" w:cs="Arial" w:eastAsia="Arial" w:hAnsi="Arial"/>
          <w:sz w:val="20"/>
          <w:szCs w:val="20"/>
          <w:color w:val="auto"/>
        </w:rPr>
        <w:t>Net sales for the Other segment, the principal products of which include the brands disposed of as a result of the TCCC Transaction (previously comprising the majority of the former Warehouse segment and the Peace Tea® brand), were $150.4 million for the year ended December 31, 2014, a decrease of approximately $1.7 million, or 1.1% lower than net sales of $152.0 million for the year ended December 31, 2013.</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$1,339.8 million for the year ended December 31, 2014, an increase of approximately $166.9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14.2% higher than the gross profit of $1,172.9 million for the year ended December 31, 2013. Gross profit as a percentage of net sales increased to 54.4% for the year ended December 31, 2014 from 52.2% for the year ended December 31, 2013. The increase in gross profit dollars was primarily the result of the $220.1 million increase in net sales of our Monster Energy® brand energy drinks. The increase in gross profit as a percentage of net sales was largely attributable to lower promotional and other allowances as a percentage of gross sales, price increases on our 24-ounce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47" w:orient="portrait"/>
          <w:cols w:equalWidth="0" w:num="1">
            <w:col w:w="11420"/>
          </w:cols>
          <w:pgMar w:left="240" w:top="352" w:right="239" w:bottom="0" w:gutter="0" w:footer="0" w:header="0"/>
        </w:sectPr>
      </w:pPr>
    </w:p>
    <w:bookmarkStart w:id="33" w:name="page34"/>
    <w:bookmarkEnd w:id="33"/>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Monster Energy® brand energy drinks and our former Peace Tea® line, changes in product sales mix, lower costs of certain sweeteners and other raw materials as well as an increase in production efficiencies.</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$592.3 million for the year ended December 31, 2014,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$7.7 million, or 1.3% lower than total operating expenses of $600.0 million for the year ended December 31, 2013. The decrease in operating expenses was partially attributable to decreased expenditures of $10.9 million relating to the costs associated with terminating existing distributors, decreased expenditures of $9.9 million for premiums, decreased expenditures of $8.6 million for allocated trade development, a $2.5 million non-routine indirect tax related provision recorded in the third quarter of 2013, subsequently reversed in the second quarter of 2014 for non-realization, and decreased expenditures of $4.0 million for point-of-sale materials. The decrease in operating expenses was partially offset by increased out-bound freight and warehouse costs of $7.2 million, increased expenditures of $6.3 million for sponsorships and endorsements, increased payroll expenses of $6.4 million (inclusive of decreased stock-based compensation of $0.2 million), increased expenditures of $2.7 million related to regulatory matters and litigation concerning our Monster Energy® brand energy drinks and expenditures of $4.8 million for professional service costs related to the TCCC Transaction.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Finished Products segment was $904.2 million for the year ended December 31,</w:t>
      </w:r>
      <w:r>
        <w:rPr>
          <w:rFonts w:ascii="Arial" w:cs="Arial" w:eastAsia="Arial" w:hAnsi="Arial"/>
          <w:sz w:val="19"/>
          <w:szCs w:val="19"/>
          <w:i w:val="1"/>
          <w:iCs w:val="1"/>
          <w:color w:val="auto"/>
        </w:rPr>
        <w:t xml:space="preserve"> </w:t>
      </w:r>
      <w:r>
        <w:rPr>
          <w:rFonts w:ascii="Arial" w:cs="Arial" w:eastAsia="Arial" w:hAnsi="Arial"/>
          <w:sz w:val="19"/>
          <w:szCs w:val="19"/>
          <w:color w:val="auto"/>
        </w:rPr>
        <w:t>2014, an increase of approximately $175.9 million, or 24.2% higher than contribution margin of $728.3 million for the year ended December 31, 2013. The increase in the contribution margin for the Finished Products segment was primarily the result of the $241.1 million increase in gross sales of our Monster Energy® brand energy drinks. Contribution margin for the Other segment was $7.6 million for the year ended December 31, 2014, approximately $10.7 million higher than contribution loss of ($3.1) million for the year ended December 31, 2013. There was no contribution margin for the Concentrate segment for the years ended December 31, 2014 and 2013.</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$747.5 million for the year ended December 31, 2014, an increase of approximately $174.6</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or 30.5% higher than operating income of $572.9 million for the year ended December 31, 2013. Operating income as a percentage of net sales increased to 30.3% for the year ended December 31, 2014 from 25.5% for the year ended December 31, 2013, primarily due to the increase in gross profit as a percentage of net sales as well as the decrease in operating expenses as a percentage of net sales. The increase in operating income in dollars was primarily due to an increase of $166.9 million in gross profit. Operating income (loss) was $37.8 million and ($12.9) million for the years ended December 31, 2014 and 2013, respectively, in relation to our operations in Africa, Asia, Australia, Europe, the Middle East and South America.</w:t>
      </w:r>
    </w:p>
    <w:p>
      <w:pPr>
        <w:spacing w:after="0" w:line="2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Other Expense, net</w:t>
      </w:r>
      <w:r>
        <w:rPr>
          <w:rFonts w:ascii="Arial" w:cs="Arial" w:eastAsia="Arial" w:hAnsi="Arial"/>
          <w:sz w:val="20"/>
          <w:szCs w:val="20"/>
          <w:color w:val="auto"/>
        </w:rPr>
        <w:t>. Other expense, net was $1.7 million for the year ended December 31, 2014, as compared to other expense, net of</w:t>
      </w:r>
      <w:r>
        <w:rPr>
          <w:rFonts w:ascii="Arial" w:cs="Arial" w:eastAsia="Arial" w:hAnsi="Arial"/>
          <w:sz w:val="20"/>
          <w:szCs w:val="20"/>
          <w:i w:val="1"/>
          <w:iCs w:val="1"/>
          <w:color w:val="auto"/>
        </w:rPr>
        <w:t xml:space="preserve"> </w:t>
      </w:r>
      <w:r>
        <w:rPr>
          <w:rFonts w:ascii="Arial" w:cs="Arial" w:eastAsia="Arial" w:hAnsi="Arial"/>
          <w:sz w:val="20"/>
          <w:szCs w:val="20"/>
          <w:color w:val="auto"/>
        </w:rPr>
        <w:t>$9.0 million for the year ended December 31, 2013. Foreign currency transaction losses were $3.4 million and $12.9 million for the years ended December 31, 2014 and 2013, respectively. The decrease in foreign currency losses during the year ended December 31, 2014 was primarily related to our foreign currency transactions in Australia, Japan, Ireland and South Africa. Interest income was $1.1 million and $0.4 million for the years ended December 31, 2014 and 2013, respectively.</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$262.6 million for the year ended December 31, 2014,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$37.4 million or 16.6% higher than the provision for income taxes of $225.2 million for the year ended December 31, 2013. The effective combined federal, state and foreign tax rate decreased to 35.2% from 39.9% for the years ended December 31, 2014 and 2013, respectively. The decrease in the effective tax rate was primarily the result of profits earned in certain foreign subsidiaries that have no related income tax expense, as a result of the prior establishment of valuation allowances on their deferred tax assets.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$483.2 million for the year ended December 31, 2014, an increase of $144.5 million or 42.7%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$338.7 million for the year ended December 31, 2013. The increase in net income was primarily attributable to an increase in gross profit of $166.9 million. The increase in net income was partially offset by an increase in the provision for income taxes of $37.4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$3,105.7 million for the year ended December 31, 2015, an increase of approximately $278.6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9.9% higher than gross sales of $2,827.1 million for the year ended December 31, 2014. The increase in the gross sales of our Monster Energy® brand energy drinks represented approximately $222.1 million, or 79.7%, of the overall increase in gross sales. Gross sales of our Monster Energy® brand energy drinks increased primarily due to increased sales by volume as a result of increased domestic and international consumer demand. Gross sales of our Strategic Brands were $156.3 million for the year ended December 31, 2015. Gross sales for the Other segment, the principal products of which include the brands disposed of as a result of the TCCC Transaction on June 12, 2015 (previously comprising the majority of the former Warehouse segment and the Peace Tea® brand), decreased $99.8 million for the year ended December 31, 2015 from the year ended December 31, 2014. Gross sales for the year ended December 31, 2015 included $39.8 million related to the accelerated amortization of the deferred revenue balances associated with certain of the Company’s prior distributors, which represented 14.3% of our overall increase in gross sales. No other individual product line contributed either a material increase or decrease to gross sales for the year ended December 31, 2015. Promotional and other allowances, as described in the footnote below, were $383.1 million for the year ended December 31, 2015, an increase of $20.9 million, or 5.8% higher than promotional and other allowances of $362.2 million for the year ended December 31, 2014. Promotional and other allowances as a percentage of gross sales decreased to 12.3% from 12.8% for the year ended December 31, 2015 and 2014, respectively.</w:t>
      </w:r>
    </w:p>
    <w:p>
      <w:pPr>
        <w:spacing w:after="0" w:line="184"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color w:val="auto"/>
        </w:rPr>
        <w:t>Changes in foreign currency exchange rates had an unfavorable impact on gross sales in the Finished Products segment of approximately $92.2 million for the year ended December 31, 2015, which was primarily due to a stronger U.S. dollar compared to certain local currencies in which we conduct certain of our international business. Changes in foreign currency exchange rates had an unfavorable</w:t>
      </w:r>
    </w:p>
    <w:p>
      <w:pPr>
        <w:sectPr>
          <w:pgSz w:w="11900" w:h="16918" w:orient="portrait"/>
          <w:cols w:equalWidth="0" w:num="1">
            <w:col w:w="11420"/>
          </w:cols>
          <w:pgMar w:left="240" w:top="352" w:right="239" w:bottom="0" w:gutter="0" w:footer="0" w:header="0"/>
        </w:sectPr>
      </w:pPr>
    </w:p>
    <w:bookmarkStart w:id="34" w:name="page35"/>
    <w:bookmarkEnd w:id="34"/>
    <w:p>
      <w:pPr>
        <w:jc w:val="both"/>
        <w:spacing w:after="0" w:line="288" w:lineRule="auto"/>
        <w:rPr>
          <w:sz w:val="20"/>
          <w:szCs w:val="20"/>
          <w:color w:val="auto"/>
        </w:rPr>
      </w:pPr>
      <w:r>
        <w:rPr>
          <w:rFonts w:ascii="Arial" w:cs="Arial" w:eastAsia="Arial" w:hAnsi="Arial"/>
          <w:sz w:val="19"/>
          <w:szCs w:val="19"/>
          <w:color w:val="auto"/>
        </w:rPr>
        <w:t>impact on gross sales in the Concentrate segment of approximately $10.2 million for the year ended December 31, 2015, which was primarily due to a stronger U.S. dollar compared to certain local currencies in which we conduct certain of our international business.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$2,827.1 million for the year ended December 31, 2014, an increase of approximately $240.6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9.3% higher than gross sales of $2,586.5 million for the year ended December 31, 2013. The increase in the gross sales of our Monster Energy® brand energy drinks represented approximately $241.1 million, or 100.2%, of the overall increase in gross sales. Gross sales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former Peace Tea® line represented approximately 7% of the overall increase in gross sales. No other individual product line contributed either a material increase or decrease to gross sales for the year ended December 31, 2014. Promotional and other allowances, as described in the footnote above, were $362.2 million for the year ended December 31, 2014, an increase of $22.1 million, or 6.5% higher than promotional and other allowances of $340.1 million for the year ended December 31, 2013. Promotional and other allowances as a percentage of gross sales decreased to 12.8% from 13.1% for the year ended December 31, 2014 and 2013, respectively. As a result, the percentage increase in net sales for the year ended December 31, 2014 was higher than the percentage increase in gross sales.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Collective changes in foreign currency exchange rates did not have a material impact on gross sales for the year ended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2014.</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20"/>
                <w:szCs w:val="20"/>
                <w:color w:val="auto"/>
                <w:w w:val="85"/>
              </w:rPr>
              <w:t>Percentage</w:t>
            </w:r>
          </w:p>
        </w:tc>
        <w:tc>
          <w:tcPr>
            <w:tcW w:w="1460" w:type="dxa"/>
            <w:vAlign w:val="bottom"/>
          </w:tcPr>
          <w:p>
            <w:pPr>
              <w:jc w:val="center"/>
              <w:spacing w:after="0"/>
              <w:rPr>
                <w:sz w:val="20"/>
                <w:szCs w:val="20"/>
                <w:color w:val="auto"/>
              </w:rPr>
            </w:pPr>
            <w:r>
              <w:rPr>
                <w:rFonts w:ascii="Arial" w:cs="Arial" w:eastAsia="Arial" w:hAnsi="Arial"/>
                <w:sz w:val="20"/>
                <w:szCs w:val="20"/>
                <w:color w:val="auto"/>
                <w:w w:val="85"/>
              </w:rPr>
              <w:t>Percentage</w:t>
            </w:r>
          </w:p>
        </w:tc>
        <w:tc>
          <w:tcPr>
            <w:tcW w:w="0" w:type="dxa"/>
            <w:vAlign w:val="bottom"/>
          </w:tcPr>
          <w:p>
            <w:pPr>
              <w:spacing w:after="0"/>
              <w:rPr>
                <w:sz w:val="1"/>
                <w:szCs w:val="1"/>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20"/>
                <w:szCs w:val="20"/>
                <w:color w:val="auto"/>
              </w:rPr>
              <w:t>In thousands</w:t>
            </w:r>
          </w:p>
        </w:tc>
        <w:tc>
          <w:tcPr>
            <w:tcW w:w="360" w:type="dxa"/>
            <w:vAlign w:val="bottom"/>
          </w:tcPr>
          <w:p>
            <w:pPr>
              <w:spacing w:after="0"/>
              <w:rPr>
                <w:sz w:val="21"/>
                <w:szCs w:val="21"/>
                <w:color w:val="auto"/>
              </w:rPr>
            </w:pPr>
          </w:p>
        </w:tc>
        <w:tc>
          <w:tcPr>
            <w:tcW w:w="1140" w:type="dxa"/>
            <w:vAlign w:val="bottom"/>
            <w:vMerge w:val="restart"/>
          </w:tcPr>
          <w:p>
            <w:pPr>
              <w:jc w:val="right"/>
              <w:ind w:right="461"/>
              <w:spacing w:after="0"/>
              <w:rPr>
                <w:sz w:val="20"/>
                <w:szCs w:val="20"/>
                <w:color w:val="auto"/>
              </w:rPr>
            </w:pPr>
            <w:r>
              <w:rPr>
                <w:rFonts w:ascii="Arial" w:cs="Arial" w:eastAsia="Arial" w:hAnsi="Arial"/>
                <w:sz w:val="20"/>
                <w:szCs w:val="20"/>
                <w:color w:val="auto"/>
              </w:rPr>
              <w:t>2015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vMerge w:val="restart"/>
          </w:tcPr>
          <w:p>
            <w:pPr>
              <w:jc w:val="right"/>
              <w:ind w:right="461"/>
              <w:spacing w:after="0"/>
              <w:rPr>
                <w:sz w:val="20"/>
                <w:szCs w:val="20"/>
                <w:color w:val="auto"/>
              </w:rPr>
            </w:pPr>
            <w:r>
              <w:rPr>
                <w:rFonts w:ascii="Arial" w:cs="Arial" w:eastAsia="Arial" w:hAnsi="Arial"/>
                <w:sz w:val="20"/>
                <w:szCs w:val="20"/>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vMerge w:val="restart"/>
          </w:tcPr>
          <w:p>
            <w:pPr>
              <w:jc w:val="right"/>
              <w:ind w:right="441"/>
              <w:spacing w:after="0"/>
              <w:rPr>
                <w:sz w:val="20"/>
                <w:szCs w:val="20"/>
                <w:color w:val="auto"/>
              </w:rPr>
            </w:pPr>
            <w:r>
              <w:rPr>
                <w:rFonts w:ascii="Arial" w:cs="Arial" w:eastAsia="Arial" w:hAnsi="Arial"/>
                <w:sz w:val="20"/>
                <w:szCs w:val="20"/>
                <w:color w:val="auto"/>
              </w:rPr>
              <w:t>2013</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20"/>
                <w:szCs w:val="20"/>
                <w:color w:val="auto"/>
                <w:w w:val="85"/>
              </w:rPr>
              <w:t>Change</w:t>
            </w:r>
          </w:p>
        </w:tc>
        <w:tc>
          <w:tcPr>
            <w:tcW w:w="1460" w:type="dxa"/>
            <w:vAlign w:val="bottom"/>
          </w:tcPr>
          <w:p>
            <w:pPr>
              <w:jc w:val="center"/>
              <w:spacing w:after="0"/>
              <w:rPr>
                <w:sz w:val="20"/>
                <w:szCs w:val="20"/>
                <w:color w:val="auto"/>
              </w:rPr>
            </w:pPr>
            <w:r>
              <w:rPr>
                <w:rFonts w:ascii="Arial" w:cs="Arial" w:eastAsia="Arial" w:hAnsi="Arial"/>
                <w:sz w:val="20"/>
                <w:szCs w:val="20"/>
                <w:color w:val="auto"/>
                <w:w w:val="85"/>
              </w:rPr>
              <w:t>Change</w:t>
            </w:r>
          </w:p>
        </w:tc>
        <w:tc>
          <w:tcPr>
            <w:tcW w:w="0" w:type="dxa"/>
            <w:vAlign w:val="bottom"/>
          </w:tcPr>
          <w:p>
            <w:pPr>
              <w:spacing w:after="0"/>
              <w:rPr>
                <w:sz w:val="1"/>
                <w:szCs w:val="1"/>
                <w:color w:val="auto"/>
              </w:rPr>
            </w:pPr>
          </w:p>
        </w:tc>
      </w:tr>
      <w:tr>
        <w:trPr>
          <w:trHeight w:val="223"/>
        </w:trPr>
        <w:tc>
          <w:tcPr>
            <w:tcW w:w="3040" w:type="dxa"/>
            <w:vAlign w:val="bottom"/>
            <w:vMerge w:val="restart"/>
          </w:tcPr>
          <w:p>
            <w:pPr>
              <w:spacing w:after="0"/>
              <w:rPr>
                <w:sz w:val="20"/>
                <w:szCs w:val="20"/>
                <w:color w:val="auto"/>
              </w:rPr>
            </w:pPr>
            <w:r>
              <w:rPr>
                <w:rFonts w:ascii="Arial" w:cs="Arial" w:eastAsia="Arial" w:hAnsi="Arial"/>
                <w:sz w:val="20"/>
                <w:szCs w:val="20"/>
                <w:color w:val="auto"/>
              </w:rPr>
              <w:t>Gross sales, net of discounts and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15 vs. 14</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14 vs. 13</w:t>
            </w:r>
          </w:p>
        </w:tc>
        <w:tc>
          <w:tcPr>
            <w:tcW w:w="0" w:type="dxa"/>
            <w:vAlign w:val="bottom"/>
          </w:tcPr>
          <w:p>
            <w:pPr>
              <w:spacing w:after="0"/>
              <w:rPr>
                <w:sz w:val="1"/>
                <w:szCs w:val="1"/>
                <w:color w:val="auto"/>
              </w:rPr>
            </w:pPr>
          </w:p>
        </w:tc>
      </w:tr>
      <w:tr>
        <w:trPr>
          <w:trHeight w:val="193"/>
        </w:trPr>
        <w:tc>
          <w:tcPr>
            <w:tcW w:w="3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20"/>
                <w:szCs w:val="20"/>
                <w:color w:val="auto"/>
              </w:rPr>
              <w:t>returns</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3,105,665</w:t>
            </w:r>
          </w:p>
        </w:tc>
        <w:tc>
          <w:tcPr>
            <w:tcW w:w="12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2,827,092</w:t>
            </w:r>
          </w:p>
        </w:tc>
        <w:tc>
          <w:tcPr>
            <w:tcW w:w="10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2,586,531</w:t>
            </w:r>
          </w:p>
        </w:tc>
        <w:tc>
          <w:tcPr>
            <w:tcW w:w="1560" w:type="dxa"/>
            <w:vAlign w:val="bottom"/>
            <w:gridSpan w:val="2"/>
          </w:tcPr>
          <w:p>
            <w:pPr>
              <w:jc w:val="right"/>
              <w:ind w:right="281"/>
              <w:spacing w:after="0"/>
              <w:rPr>
                <w:sz w:val="20"/>
                <w:szCs w:val="20"/>
                <w:color w:val="auto"/>
              </w:rPr>
            </w:pPr>
            <w:r>
              <w:rPr>
                <w:rFonts w:ascii="Arial" w:cs="Arial" w:eastAsia="Arial" w:hAnsi="Arial"/>
                <w:sz w:val="20"/>
                <w:szCs w:val="20"/>
                <w:color w:val="auto"/>
              </w:rPr>
              <w:t>9.9%</w:t>
            </w:r>
          </w:p>
        </w:tc>
        <w:tc>
          <w:tcPr>
            <w:tcW w:w="120" w:type="dxa"/>
            <w:vAlign w:val="bottom"/>
          </w:tcPr>
          <w:p>
            <w:pPr>
              <w:spacing w:after="0"/>
              <w:rPr>
                <w:sz w:val="19"/>
                <w:szCs w:val="19"/>
                <w:color w:val="auto"/>
              </w:rPr>
            </w:pPr>
          </w:p>
        </w:tc>
        <w:tc>
          <w:tcPr>
            <w:tcW w:w="1460" w:type="dxa"/>
            <w:vAlign w:val="bottom"/>
          </w:tcPr>
          <w:p>
            <w:pPr>
              <w:jc w:val="right"/>
              <w:ind w:right="301"/>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20"/>
                <w:szCs w:val="20"/>
                <w:color w:val="auto"/>
              </w:rPr>
              <w:t>Less: Promotional and other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040" w:type="dxa"/>
            <w:vAlign w:val="bottom"/>
          </w:tcPr>
          <w:p>
            <w:pPr>
              <w:ind w:left="180"/>
              <w:spacing w:after="0"/>
              <w:rPr>
                <w:sz w:val="20"/>
                <w:szCs w:val="20"/>
                <w:color w:val="auto"/>
              </w:rPr>
            </w:pPr>
            <w:r>
              <w:rPr>
                <w:rFonts w:ascii="Arial" w:cs="Arial" w:eastAsia="Arial" w:hAnsi="Arial"/>
                <w:sz w:val="20"/>
                <w:szCs w:val="20"/>
                <w:color w:val="auto"/>
              </w:rPr>
              <w:t>allowances***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383,101</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362,225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340,103</w:t>
            </w:r>
          </w:p>
        </w:tc>
        <w:tc>
          <w:tcPr>
            <w:tcW w:w="1560" w:type="dxa"/>
            <w:vAlign w:val="bottom"/>
            <w:gridSpan w:val="2"/>
          </w:tcPr>
          <w:p>
            <w:pPr>
              <w:jc w:val="right"/>
              <w:ind w:right="281"/>
              <w:spacing w:after="0"/>
              <w:rPr>
                <w:sz w:val="20"/>
                <w:szCs w:val="20"/>
                <w:color w:val="auto"/>
              </w:rPr>
            </w:pPr>
            <w:r>
              <w:rPr>
                <w:rFonts w:ascii="Arial" w:cs="Arial" w:eastAsia="Arial" w:hAnsi="Arial"/>
                <w:sz w:val="20"/>
                <w:szCs w:val="20"/>
                <w:color w:val="auto"/>
              </w:rPr>
              <w:t>5.8%</w:t>
            </w:r>
          </w:p>
        </w:tc>
        <w:tc>
          <w:tcPr>
            <w:tcW w:w="120" w:type="dxa"/>
            <w:vAlign w:val="bottom"/>
          </w:tcPr>
          <w:p>
            <w:pPr>
              <w:spacing w:after="0"/>
              <w:rPr>
                <w:sz w:val="20"/>
                <w:szCs w:val="20"/>
                <w:color w:val="auto"/>
              </w:rPr>
            </w:pPr>
          </w:p>
        </w:tc>
        <w:tc>
          <w:tcPr>
            <w:tcW w:w="1460" w:type="dxa"/>
            <w:vAlign w:val="bottom"/>
          </w:tcPr>
          <w:p>
            <w:pPr>
              <w:jc w:val="right"/>
              <w:ind w:right="301"/>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30"/>
        </w:trPr>
        <w:tc>
          <w:tcPr>
            <w:tcW w:w="3040" w:type="dxa"/>
            <w:vAlign w:val="bottom"/>
          </w:tcPr>
          <w:p>
            <w:pPr>
              <w:spacing w:after="0" w:line="220" w:lineRule="exact"/>
              <w:rPr>
                <w:sz w:val="20"/>
                <w:szCs w:val="20"/>
                <w:color w:val="auto"/>
              </w:rPr>
            </w:pPr>
            <w:r>
              <w:rPr>
                <w:rFonts w:ascii="Arial" w:cs="Arial" w:eastAsia="Arial" w:hAnsi="Arial"/>
                <w:sz w:val="20"/>
                <w:szCs w:val="20"/>
                <w:color w:val="auto"/>
              </w:rPr>
              <w:t>Net Sales</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2,722,564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2,464,867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2,246,428</w:t>
            </w:r>
          </w:p>
        </w:tc>
        <w:tc>
          <w:tcPr>
            <w:tcW w:w="1560" w:type="dxa"/>
            <w:vAlign w:val="bottom"/>
            <w:gridSpan w:val="2"/>
          </w:tcPr>
          <w:p>
            <w:pPr>
              <w:jc w:val="right"/>
              <w:ind w:right="281"/>
              <w:spacing w:after="0"/>
              <w:rPr>
                <w:sz w:val="20"/>
                <w:szCs w:val="20"/>
                <w:color w:val="auto"/>
              </w:rPr>
            </w:pPr>
            <w:r>
              <w:rPr>
                <w:rFonts w:ascii="Arial" w:cs="Arial" w:eastAsia="Arial" w:hAnsi="Arial"/>
                <w:sz w:val="20"/>
                <w:szCs w:val="20"/>
                <w:color w:val="auto"/>
              </w:rPr>
              <w:t>10.5%</w:t>
            </w:r>
          </w:p>
        </w:tc>
        <w:tc>
          <w:tcPr>
            <w:tcW w:w="120" w:type="dxa"/>
            <w:vAlign w:val="bottom"/>
          </w:tcPr>
          <w:p>
            <w:pPr>
              <w:spacing w:after="0"/>
              <w:rPr>
                <w:sz w:val="19"/>
                <w:szCs w:val="19"/>
                <w:color w:val="auto"/>
              </w:rPr>
            </w:pPr>
          </w:p>
        </w:tc>
        <w:tc>
          <w:tcPr>
            <w:tcW w:w="1460" w:type="dxa"/>
            <w:vAlign w:val="bottom"/>
          </w:tcPr>
          <w:p>
            <w:pPr>
              <w:jc w:val="right"/>
              <w:ind w:right="301"/>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2" w:lineRule="exact"/>
        <w:rPr>
          <w:sz w:val="20"/>
          <w:szCs w:val="20"/>
          <w:color w:val="auto"/>
        </w:rPr>
      </w:pPr>
    </w:p>
    <w:p>
      <w:pPr>
        <w:jc w:val="both"/>
        <w:ind w:firstLine="8"/>
        <w:spacing w:after="0" w:line="286" w:lineRule="auto"/>
        <w:tabs>
          <w:tab w:leader="none" w:pos="211"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years ended December 31, 2015, 2014 and 2013 were (i) to increase sales volume and trial, (ii) to address market conditions, and (iii) to secure shelf and display space at retail.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w:t>
      </w:r>
    </w:p>
    <w:p>
      <w:pPr>
        <w:sectPr>
          <w:pgSz w:w="11900" w:h="16838" w:orient="portrait"/>
          <w:cols w:equalWidth="0" w:num="1">
            <w:col w:w="11420"/>
          </w:cols>
          <w:pgMar w:left="240" w:top="122" w:right="239" w:bottom="195"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95" w:gutter="0" w:footer="0" w:header="0"/>
          <w:type w:val="continuous"/>
        </w:sectPr>
      </w:pPr>
    </w:p>
    <w:bookmarkStart w:id="35" w:name="page36"/>
    <w:bookmarkEnd w:id="35"/>
    <w:p>
      <w:pPr>
        <w:spacing w:after="0" w:line="4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distributors and customers, changes in the sales mix of our products and changes in and/or increased advertising and promotional expenses. (See “Part I, Item 1 – Business – Seasonality”).</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2015</w:t>
            </w:r>
          </w:p>
        </w:tc>
        <w:tc>
          <w:tcPr>
            <w:tcW w:w="4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2014</w:t>
            </w:r>
          </w:p>
        </w:tc>
        <w:tc>
          <w:tcPr>
            <w:tcW w:w="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2013</w:t>
            </w:r>
          </w:p>
        </w:tc>
        <w:tc>
          <w:tcPr>
            <w:tcW w:w="1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2012</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2011</w:t>
            </w:r>
          </w:p>
        </w:tc>
      </w:tr>
      <w:tr>
        <w:trPr>
          <w:trHeight w:val="169"/>
        </w:trPr>
        <w:tc>
          <w:tcPr>
            <w:tcW w:w="3260" w:type="dxa"/>
            <w:vAlign w:val="bottom"/>
            <w:tcBorders>
              <w:bottom w:val="single" w:sz="8" w:color="auto"/>
            </w:tcBorders>
            <w:gridSpan w:val="6"/>
          </w:tcPr>
          <w:p>
            <w:pPr>
              <w:spacing w:after="0" w:line="169" w:lineRule="exact"/>
              <w:rPr>
                <w:sz w:val="20"/>
                <w:szCs w:val="20"/>
                <w:color w:val="auto"/>
              </w:rPr>
            </w:pPr>
            <w:r>
              <w:rPr>
                <w:rFonts w:ascii="Arial" w:cs="Arial" w:eastAsia="Arial" w:hAnsi="Arial"/>
                <w:sz w:val="19"/>
                <w:szCs w:val="19"/>
                <w:color w:val="auto"/>
                <w:w w:val="92"/>
              </w:rPr>
              <w:t>Unit Case Volume / Sales (in Thousands)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3"/>
        </w:trPr>
        <w:tc>
          <w:tcPr>
            <w:tcW w:w="2260" w:type="dxa"/>
            <w:vAlign w:val="bottom"/>
            <w:gridSpan w:val="4"/>
          </w:tcPr>
          <w:p>
            <w:pPr>
              <w:spacing w:after="0"/>
              <w:rPr>
                <w:sz w:val="20"/>
                <w:szCs w:val="20"/>
                <w:color w:val="auto"/>
              </w:rPr>
            </w:pPr>
            <w:r>
              <w:rPr>
                <w:rFonts w:ascii="Arial" w:cs="Arial" w:eastAsia="Arial" w:hAnsi="Arial"/>
                <w:sz w:val="20"/>
                <w:szCs w:val="20"/>
                <w:color w:val="auto"/>
              </w:rPr>
              <w:t>Quarter 1</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57,779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51,926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47,749</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44,396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34,681</w:t>
            </w:r>
          </w:p>
        </w:tc>
      </w:tr>
      <w:tr>
        <w:trPr>
          <w:trHeight w:val="230"/>
        </w:trPr>
        <w:tc>
          <w:tcPr>
            <w:tcW w:w="226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68,037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65,587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61,615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57,525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44,272</w:t>
            </w:r>
          </w:p>
        </w:tc>
      </w:tr>
      <w:tr>
        <w:trPr>
          <w:trHeight w:val="230"/>
        </w:trPr>
        <w:tc>
          <w:tcPr>
            <w:tcW w:w="226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81,274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62,204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59,204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54,611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46,277</w:t>
            </w:r>
          </w:p>
        </w:tc>
      </w:tr>
      <w:tr>
        <w:trPr>
          <w:trHeight w:val="246"/>
        </w:trPr>
        <w:tc>
          <w:tcPr>
            <w:tcW w:w="226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67,531</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58,563</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52,780</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46,386</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39,431</w:t>
            </w:r>
          </w:p>
        </w:tc>
      </w:tr>
      <w:tr>
        <w:trPr>
          <w:trHeight w:val="223"/>
        </w:trPr>
        <w:tc>
          <w:tcPr>
            <w:tcW w:w="2140" w:type="dxa"/>
            <w:vAlign w:val="bottom"/>
            <w:gridSpan w:val="2"/>
          </w:tcPr>
          <w:p>
            <w:pPr>
              <w:spacing w:after="0" w:line="223" w:lineRule="exact"/>
              <w:rPr>
                <w:sz w:val="20"/>
                <w:szCs w:val="20"/>
                <w:color w:val="auto"/>
              </w:rPr>
            </w:pPr>
            <w:r>
              <w:rPr>
                <w:rFonts w:ascii="Arial" w:cs="Arial" w:eastAsia="Arial" w:hAnsi="Arial"/>
                <w:sz w:val="20"/>
                <w:szCs w:val="20"/>
                <w:color w:val="auto"/>
              </w:rPr>
              <w:t>Total</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color w:val="auto"/>
              </w:rPr>
              <w:t>274,621</w:t>
            </w: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238,280</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221,348</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202,918</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164,661</w:t>
            </w: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9"/>
        </w:trPr>
        <w:tc>
          <w:tcPr>
            <w:tcW w:w="2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Net Sales (in Thousands)</w:t>
            </w:r>
          </w:p>
        </w:tc>
        <w:tc>
          <w:tcPr>
            <w:tcW w:w="26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3"/>
        </w:trPr>
        <w:tc>
          <w:tcPr>
            <w:tcW w:w="2260" w:type="dxa"/>
            <w:vAlign w:val="bottom"/>
            <w:gridSpan w:val="4"/>
          </w:tcPr>
          <w:p>
            <w:pPr>
              <w:spacing w:after="0"/>
              <w:rPr>
                <w:sz w:val="20"/>
                <w:szCs w:val="20"/>
                <w:color w:val="auto"/>
              </w:rPr>
            </w:pPr>
            <w:r>
              <w:rPr>
                <w:rFonts w:ascii="Arial" w:cs="Arial" w:eastAsia="Arial" w:hAnsi="Arial"/>
                <w:sz w:val="20"/>
                <w:szCs w:val="20"/>
                <w:color w:val="auto"/>
              </w:rPr>
              <w:t>Quarter 1</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626,791</w:t>
            </w:r>
          </w:p>
        </w:tc>
        <w:tc>
          <w:tcPr>
            <w:tcW w:w="180" w:type="dxa"/>
            <w:vAlign w:val="bottom"/>
          </w:tcPr>
          <w:p>
            <w:pPr>
              <w:spacing w:after="0"/>
              <w:rPr>
                <w:sz w:val="20"/>
                <w:szCs w:val="20"/>
                <w:color w:val="auto"/>
              </w:rPr>
            </w:pP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536,129</w:t>
            </w:r>
          </w:p>
        </w:tc>
        <w:tc>
          <w:tcPr>
            <w:tcW w:w="160" w:type="dxa"/>
            <w:vAlign w:val="bottom"/>
          </w:tcPr>
          <w:p>
            <w:pPr>
              <w:spacing w:after="0"/>
              <w:rPr>
                <w:sz w:val="20"/>
                <w:szCs w:val="20"/>
                <w:color w:val="auto"/>
              </w:rPr>
            </w:pP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484,223</w:t>
            </w:r>
          </w:p>
        </w:tc>
        <w:tc>
          <w:tcPr>
            <w:tcW w:w="160" w:type="dxa"/>
            <w:vAlign w:val="bottom"/>
          </w:tcPr>
          <w:p>
            <w:pPr>
              <w:spacing w:after="0"/>
              <w:rPr>
                <w:sz w:val="20"/>
                <w:szCs w:val="20"/>
                <w:color w:val="auto"/>
              </w:rPr>
            </w:pP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454,605</w:t>
            </w:r>
          </w:p>
        </w:tc>
        <w:tc>
          <w:tcPr>
            <w:tcW w:w="160" w:type="dxa"/>
            <w:vAlign w:val="bottom"/>
          </w:tcPr>
          <w:p>
            <w:pPr>
              <w:spacing w:after="0"/>
              <w:rPr>
                <w:sz w:val="20"/>
                <w:szCs w:val="20"/>
                <w:color w:val="auto"/>
              </w:rPr>
            </w:pP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356,419</w:t>
            </w:r>
          </w:p>
        </w:tc>
      </w:tr>
      <w:tr>
        <w:trPr>
          <w:trHeight w:val="230"/>
        </w:trPr>
        <w:tc>
          <w:tcPr>
            <w:tcW w:w="226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693,722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687,199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630,934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592,640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462,145</w:t>
            </w:r>
          </w:p>
        </w:tc>
      </w:tr>
      <w:tr>
        <w:trPr>
          <w:trHeight w:val="230"/>
        </w:trPr>
        <w:tc>
          <w:tcPr>
            <w:tcW w:w="226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756,619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635,972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590,422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541,940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474,709</w:t>
            </w:r>
          </w:p>
        </w:tc>
      </w:tr>
      <w:tr>
        <w:trPr>
          <w:trHeight w:val="246"/>
        </w:trPr>
        <w:tc>
          <w:tcPr>
            <w:tcW w:w="226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645,432</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605,567</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540,849</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471,517</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409,957</w:t>
            </w:r>
          </w:p>
        </w:tc>
      </w:tr>
      <w:tr>
        <w:trPr>
          <w:trHeight w:val="223"/>
        </w:trPr>
        <w:tc>
          <w:tcPr>
            <w:tcW w:w="2140" w:type="dxa"/>
            <w:vAlign w:val="bottom"/>
            <w:gridSpan w:val="2"/>
          </w:tcPr>
          <w:p>
            <w:pPr>
              <w:spacing w:after="0" w:line="223" w:lineRule="exact"/>
              <w:rPr>
                <w:sz w:val="20"/>
                <w:szCs w:val="20"/>
                <w:color w:val="auto"/>
              </w:rPr>
            </w:pPr>
            <w:r>
              <w:rPr>
                <w:rFonts w:ascii="Arial" w:cs="Arial" w:eastAsia="Arial" w:hAnsi="Arial"/>
                <w:sz w:val="20"/>
                <w:szCs w:val="20"/>
                <w:color w:val="auto"/>
              </w:rPr>
              <w:t>Total</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color w:val="auto"/>
              </w:rPr>
              <w:t>2,722,564</w:t>
            </w: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2,464,867</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2,246,428</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2,060,702</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1,703,230</w:t>
            </w: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9"/>
        </w:trPr>
        <w:tc>
          <w:tcPr>
            <w:tcW w:w="2260" w:type="dxa"/>
            <w:vAlign w:val="bottom"/>
            <w:gridSpan w:val="4"/>
          </w:tcPr>
          <w:p>
            <w:pPr>
              <w:spacing w:after="0"/>
              <w:rPr>
                <w:sz w:val="20"/>
                <w:szCs w:val="20"/>
                <w:color w:val="auto"/>
              </w:rPr>
            </w:pPr>
            <w:r>
              <w:rPr>
                <w:rFonts w:ascii="Arial" w:cs="Arial" w:eastAsia="Arial" w:hAnsi="Arial"/>
                <w:sz w:val="20"/>
                <w:szCs w:val="20"/>
                <w:color w:val="auto"/>
                <w:w w:val="87"/>
              </w:rPr>
              <w:t>Average Net Sales Per Case</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3"/>
        </w:trPr>
        <w:tc>
          <w:tcPr>
            <w:tcW w:w="22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Quarter 1</w:t>
            </w:r>
          </w:p>
        </w:tc>
        <w:tc>
          <w:tcPr>
            <w:tcW w:w="60" w:type="dxa"/>
            <w:vAlign w:val="bottom"/>
          </w:tcPr>
          <w:p>
            <w:pPr>
              <w:spacing w:after="0"/>
              <w:rPr>
                <w:sz w:val="20"/>
                <w:szCs w:val="20"/>
                <w:color w:val="auto"/>
              </w:rPr>
            </w:pP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10.85</w:t>
            </w:r>
          </w:p>
        </w:tc>
        <w:tc>
          <w:tcPr>
            <w:tcW w:w="180" w:type="dxa"/>
            <w:vAlign w:val="bottom"/>
          </w:tcPr>
          <w:p>
            <w:pPr>
              <w:spacing w:after="0"/>
              <w:rPr>
                <w:sz w:val="20"/>
                <w:szCs w:val="20"/>
                <w:color w:val="auto"/>
              </w:rPr>
            </w:pP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10.32</w:t>
            </w:r>
          </w:p>
        </w:tc>
        <w:tc>
          <w:tcPr>
            <w:tcW w:w="160" w:type="dxa"/>
            <w:vAlign w:val="bottom"/>
          </w:tcPr>
          <w:p>
            <w:pPr>
              <w:spacing w:after="0"/>
              <w:rPr>
                <w:sz w:val="20"/>
                <w:szCs w:val="20"/>
                <w:color w:val="auto"/>
              </w:rPr>
            </w:pP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10.14</w:t>
            </w:r>
          </w:p>
        </w:tc>
        <w:tc>
          <w:tcPr>
            <w:tcW w:w="160" w:type="dxa"/>
            <w:vAlign w:val="bottom"/>
          </w:tcPr>
          <w:p>
            <w:pPr>
              <w:spacing w:after="0"/>
              <w:rPr>
                <w:sz w:val="20"/>
                <w:szCs w:val="20"/>
                <w:color w:val="auto"/>
              </w:rPr>
            </w:pP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10.24</w:t>
            </w:r>
          </w:p>
        </w:tc>
        <w:tc>
          <w:tcPr>
            <w:tcW w:w="160" w:type="dxa"/>
            <w:vAlign w:val="bottom"/>
          </w:tcPr>
          <w:p>
            <w:pPr>
              <w:spacing w:after="0"/>
              <w:rPr>
                <w:sz w:val="20"/>
                <w:szCs w:val="20"/>
                <w:color w:val="auto"/>
              </w:rPr>
            </w:pP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10.28</w:t>
            </w:r>
          </w:p>
        </w:tc>
      </w:tr>
      <w:tr>
        <w:trPr>
          <w:trHeight w:val="230"/>
        </w:trPr>
        <w:tc>
          <w:tcPr>
            <w:tcW w:w="226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10.20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10.48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10.24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10.30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10.44</w:t>
            </w:r>
          </w:p>
        </w:tc>
      </w:tr>
      <w:tr>
        <w:trPr>
          <w:trHeight w:val="230"/>
        </w:trPr>
        <w:tc>
          <w:tcPr>
            <w:tcW w:w="226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9.31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10.22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9.97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9.92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10.26</w:t>
            </w:r>
          </w:p>
        </w:tc>
      </w:tr>
      <w:tr>
        <w:trPr>
          <w:trHeight w:val="246"/>
        </w:trPr>
        <w:tc>
          <w:tcPr>
            <w:tcW w:w="226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9.56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10.34</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10.25</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10.17</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10.40</w:t>
            </w:r>
          </w:p>
        </w:tc>
      </w:tr>
      <w:tr>
        <w:trPr>
          <w:trHeight w:val="223"/>
        </w:trPr>
        <w:tc>
          <w:tcPr>
            <w:tcW w:w="2140" w:type="dxa"/>
            <w:vAlign w:val="bottom"/>
            <w:gridSpan w:val="2"/>
          </w:tcPr>
          <w:p>
            <w:pPr>
              <w:spacing w:after="0" w:line="223" w:lineRule="exact"/>
              <w:rPr>
                <w:sz w:val="20"/>
                <w:szCs w:val="20"/>
                <w:color w:val="auto"/>
              </w:rPr>
            </w:pPr>
            <w:r>
              <w:rPr>
                <w:rFonts w:ascii="Arial" w:cs="Arial" w:eastAsia="Arial" w:hAnsi="Arial"/>
                <w:sz w:val="20"/>
                <w:szCs w:val="20"/>
                <w:color w:val="auto"/>
              </w:rPr>
              <w:t>Total</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color w:val="auto"/>
              </w:rPr>
              <w:t>9.91</w:t>
            </w: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10.34</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10.15</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10.16</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10.34</w:t>
            </w: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following represents case sales by segment 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(In thousands, except average</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 sales per case)</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vMerge w:val="restart"/>
          </w:tcPr>
          <w:p>
            <w:pPr>
              <w:jc w:val="right"/>
              <w:ind w:right="502"/>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vMerge w:val="restart"/>
          </w:tcPr>
          <w:p>
            <w:pPr>
              <w:jc w:val="right"/>
              <w:ind w:right="482"/>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vMerge w:val="restart"/>
          </w:tcPr>
          <w:p>
            <w:pPr>
              <w:jc w:val="right"/>
              <w:ind w:right="502"/>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vMerge w:val="restart"/>
          </w:tcPr>
          <w:p>
            <w:pPr>
              <w:jc w:val="right"/>
              <w:ind w:right="482"/>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vMerge w:val="restart"/>
          </w:tcPr>
          <w:p>
            <w:pPr>
              <w:jc w:val="right"/>
              <w:ind w:right="50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196"/>
        </w:trPr>
        <w:tc>
          <w:tcPr>
            <w:tcW w:w="2920" w:type="dxa"/>
            <w:vAlign w:val="bottom"/>
            <w:gridSpan w:val="2"/>
            <w:vMerge w:val="restart"/>
          </w:tcPr>
          <w:p>
            <w:pPr>
              <w:spacing w:after="0"/>
              <w:rPr>
                <w:sz w:val="20"/>
                <w:szCs w:val="20"/>
                <w:color w:val="auto"/>
              </w:rPr>
            </w:pPr>
            <w:r>
              <w:rPr>
                <w:rFonts w:ascii="Arial" w:cs="Arial" w:eastAsia="Arial" w:hAnsi="Arial"/>
                <w:sz w:val="20"/>
                <w:szCs w:val="20"/>
                <w:color w:val="auto"/>
              </w:rPr>
              <w:t>Net sales¹</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gridSpan w:val="2"/>
            <w:vMerge w:val="continue"/>
          </w:tcPr>
          <w:p>
            <w:pPr>
              <w:spacing w:after="0"/>
              <w:rPr>
                <w:sz w:val="17"/>
                <w:szCs w:val="17"/>
                <w:color w:val="auto"/>
              </w:rPr>
            </w:pPr>
          </w:p>
        </w:tc>
        <w:tc>
          <w:tcPr>
            <w:tcW w:w="44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42"/>
              <w:spacing w:after="0" w:line="207" w:lineRule="exact"/>
              <w:rPr>
                <w:sz w:val="20"/>
                <w:szCs w:val="20"/>
                <w:color w:val="auto"/>
              </w:rPr>
            </w:pPr>
            <w:r>
              <w:rPr>
                <w:rFonts w:ascii="Arial" w:cs="Arial" w:eastAsia="Arial" w:hAnsi="Arial"/>
                <w:sz w:val="20"/>
                <w:szCs w:val="20"/>
                <w:color w:val="auto"/>
              </w:rPr>
              <w:t>2,722,564</w:t>
            </w:r>
          </w:p>
        </w:tc>
        <w:tc>
          <w:tcPr>
            <w:tcW w:w="180" w:type="dxa"/>
            <w:vAlign w:val="bottom"/>
          </w:tcPr>
          <w:p>
            <w:pPr>
              <w:spacing w:after="0"/>
              <w:rPr>
                <w:sz w:val="17"/>
                <w:szCs w:val="17"/>
                <w:color w:val="auto"/>
              </w:rPr>
            </w:pPr>
          </w:p>
        </w:tc>
        <w:tc>
          <w:tcPr>
            <w:tcW w:w="4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22"/>
              <w:spacing w:after="0" w:line="207" w:lineRule="exact"/>
              <w:rPr>
                <w:sz w:val="20"/>
                <w:szCs w:val="20"/>
                <w:color w:val="auto"/>
              </w:rPr>
            </w:pPr>
            <w:r>
              <w:rPr>
                <w:rFonts w:ascii="Arial" w:cs="Arial" w:eastAsia="Arial" w:hAnsi="Arial"/>
                <w:sz w:val="20"/>
                <w:szCs w:val="20"/>
                <w:color w:val="auto"/>
              </w:rPr>
              <w:t>2,464,867</w:t>
            </w:r>
          </w:p>
        </w:tc>
        <w:tc>
          <w:tcPr>
            <w:tcW w:w="180" w:type="dxa"/>
            <w:vAlign w:val="bottom"/>
          </w:tcPr>
          <w:p>
            <w:pPr>
              <w:spacing w:after="0"/>
              <w:rPr>
                <w:sz w:val="17"/>
                <w:szCs w:val="17"/>
                <w:color w:val="auto"/>
              </w:rPr>
            </w:pP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42"/>
              <w:spacing w:after="0" w:line="207" w:lineRule="exact"/>
              <w:rPr>
                <w:sz w:val="20"/>
                <w:szCs w:val="20"/>
                <w:color w:val="auto"/>
              </w:rPr>
            </w:pPr>
            <w:r>
              <w:rPr>
                <w:rFonts w:ascii="Arial" w:cs="Arial" w:eastAsia="Arial" w:hAnsi="Arial"/>
                <w:sz w:val="20"/>
                <w:szCs w:val="20"/>
                <w:color w:val="auto"/>
              </w:rPr>
              <w:t>2,246,428</w:t>
            </w:r>
          </w:p>
        </w:tc>
        <w:tc>
          <w:tcPr>
            <w:tcW w:w="160" w:type="dxa"/>
            <w:vAlign w:val="bottom"/>
          </w:tcPr>
          <w:p>
            <w:pPr>
              <w:spacing w:after="0"/>
              <w:rPr>
                <w:sz w:val="17"/>
                <w:szCs w:val="17"/>
                <w:color w:val="auto"/>
              </w:rPr>
            </w:pP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22"/>
              <w:spacing w:after="0" w:line="207" w:lineRule="exact"/>
              <w:rPr>
                <w:sz w:val="20"/>
                <w:szCs w:val="20"/>
                <w:color w:val="auto"/>
              </w:rPr>
            </w:pPr>
            <w:r>
              <w:rPr>
                <w:rFonts w:ascii="Arial" w:cs="Arial" w:eastAsia="Arial" w:hAnsi="Arial"/>
                <w:sz w:val="20"/>
                <w:szCs w:val="20"/>
                <w:color w:val="auto"/>
              </w:rPr>
              <w:t>2,060,702</w:t>
            </w:r>
          </w:p>
        </w:tc>
        <w:tc>
          <w:tcPr>
            <w:tcW w:w="160" w:type="dxa"/>
            <w:vAlign w:val="bottom"/>
          </w:tcPr>
          <w:p>
            <w:pPr>
              <w:spacing w:after="0"/>
              <w:rPr>
                <w:sz w:val="17"/>
                <w:szCs w:val="17"/>
                <w:color w:val="auto"/>
              </w:rPr>
            </w:pP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42"/>
              <w:spacing w:after="0" w:line="207" w:lineRule="exact"/>
              <w:rPr>
                <w:sz w:val="20"/>
                <w:szCs w:val="20"/>
                <w:color w:val="auto"/>
              </w:rPr>
            </w:pPr>
            <w:r>
              <w:rPr>
                <w:rFonts w:ascii="Arial" w:cs="Arial" w:eastAsia="Arial" w:hAnsi="Arial"/>
                <w:sz w:val="20"/>
                <w:szCs w:val="20"/>
                <w:color w:val="auto"/>
              </w:rPr>
              <w:t>1,703,230</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20"/>
                <w:szCs w:val="20"/>
                <w:color w:val="auto"/>
              </w:rPr>
              <w:t>Case sales by segment:</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0"/>
              <w:spacing w:after="0"/>
              <w:rPr>
                <w:sz w:val="20"/>
                <w:szCs w:val="20"/>
                <w:color w:val="auto"/>
              </w:rPr>
            </w:pPr>
            <w:r>
              <w:rPr>
                <w:rFonts w:ascii="Arial" w:cs="Arial" w:eastAsia="Arial" w:hAnsi="Arial"/>
                <w:sz w:val="20"/>
                <w:szCs w:val="20"/>
                <w:color w:val="auto"/>
              </w:rPr>
              <w:t>Finished Products</w:t>
            </w:r>
          </w:p>
        </w:tc>
        <w:tc>
          <w:tcPr>
            <w:tcW w:w="44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20"/>
                <w:szCs w:val="20"/>
                <w:color w:val="auto"/>
              </w:rPr>
              <w:t>228,628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210,444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20"/>
                <w:szCs w:val="20"/>
                <w:color w:val="auto"/>
              </w:rPr>
              <w:t>191,830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Arial" w:cs="Arial" w:eastAsia="Arial" w:hAnsi="Arial"/>
                <w:sz w:val="20"/>
                <w:szCs w:val="20"/>
                <w:color w:val="auto"/>
              </w:rPr>
              <w:t>173,766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20"/>
                <w:szCs w:val="20"/>
                <w:color w:val="auto"/>
              </w:rPr>
              <w:t>137,579</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0"/>
              <w:spacing w:after="0"/>
              <w:rPr>
                <w:sz w:val="20"/>
                <w:szCs w:val="20"/>
                <w:color w:val="auto"/>
              </w:rPr>
            </w:pPr>
            <w:r>
              <w:rPr>
                <w:rFonts w:ascii="Arial" w:cs="Arial" w:eastAsia="Arial" w:hAnsi="Arial"/>
                <w:sz w:val="20"/>
                <w:szCs w:val="20"/>
                <w:color w:val="auto"/>
              </w:rPr>
              <w:t>Concentrate</w:t>
            </w:r>
          </w:p>
        </w:tc>
        <w:tc>
          <w:tcPr>
            <w:tcW w:w="44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20"/>
                <w:szCs w:val="20"/>
                <w:color w:val="auto"/>
              </w:rPr>
              <w:t>34,791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2920" w:type="dxa"/>
            <w:vAlign w:val="bottom"/>
            <w:gridSpan w:val="2"/>
          </w:tcPr>
          <w:p>
            <w:pPr>
              <w:ind w:left="200"/>
              <w:spacing w:after="0"/>
              <w:rPr>
                <w:sz w:val="20"/>
                <w:szCs w:val="20"/>
                <w:color w:val="auto"/>
              </w:rPr>
            </w:pPr>
            <w:r>
              <w:rPr>
                <w:rFonts w:ascii="Arial" w:cs="Arial" w:eastAsia="Arial" w:hAnsi="Arial"/>
                <w:sz w:val="20"/>
                <w:szCs w:val="20"/>
                <w:color w:val="auto"/>
              </w:rPr>
              <w:t>Other</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11,202</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27,836</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29,518</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29,152</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27,082</w:t>
            </w: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line="213" w:lineRule="exact"/>
              <w:rPr>
                <w:sz w:val="20"/>
                <w:szCs w:val="20"/>
                <w:color w:val="auto"/>
              </w:rPr>
            </w:pPr>
            <w:r>
              <w:rPr>
                <w:rFonts w:ascii="Arial" w:cs="Arial" w:eastAsia="Arial" w:hAnsi="Arial"/>
                <w:sz w:val="20"/>
                <w:szCs w:val="20"/>
                <w:color w:val="auto"/>
              </w:rPr>
              <w:t>Total case sales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2"/>
              <w:spacing w:after="0" w:line="213" w:lineRule="exact"/>
              <w:rPr>
                <w:sz w:val="20"/>
                <w:szCs w:val="20"/>
                <w:color w:val="auto"/>
              </w:rPr>
            </w:pPr>
            <w:r>
              <w:rPr>
                <w:rFonts w:ascii="Arial" w:cs="Arial" w:eastAsia="Arial" w:hAnsi="Arial"/>
                <w:sz w:val="20"/>
                <w:szCs w:val="20"/>
                <w:color w:val="auto"/>
              </w:rPr>
              <w:t>274,621</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2"/>
              <w:spacing w:after="0" w:line="213" w:lineRule="exact"/>
              <w:rPr>
                <w:sz w:val="20"/>
                <w:szCs w:val="20"/>
                <w:color w:val="auto"/>
              </w:rPr>
            </w:pPr>
            <w:r>
              <w:rPr>
                <w:rFonts w:ascii="Arial" w:cs="Arial" w:eastAsia="Arial" w:hAnsi="Arial"/>
                <w:sz w:val="20"/>
                <w:szCs w:val="20"/>
                <w:color w:val="auto"/>
              </w:rPr>
              <w:t>238,280</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2"/>
              <w:spacing w:after="0" w:line="213" w:lineRule="exact"/>
              <w:rPr>
                <w:sz w:val="20"/>
                <w:szCs w:val="20"/>
                <w:color w:val="auto"/>
              </w:rPr>
            </w:pPr>
            <w:r>
              <w:rPr>
                <w:rFonts w:ascii="Arial" w:cs="Arial" w:eastAsia="Arial" w:hAnsi="Arial"/>
                <w:sz w:val="20"/>
                <w:szCs w:val="20"/>
                <w:color w:val="auto"/>
              </w:rPr>
              <w:t>221,348</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
              <w:spacing w:after="0" w:line="213" w:lineRule="exact"/>
              <w:rPr>
                <w:sz w:val="20"/>
                <w:szCs w:val="20"/>
                <w:color w:val="auto"/>
              </w:rPr>
            </w:pPr>
            <w:r>
              <w:rPr>
                <w:rFonts w:ascii="Arial" w:cs="Arial" w:eastAsia="Arial" w:hAnsi="Arial"/>
                <w:sz w:val="20"/>
                <w:szCs w:val="20"/>
                <w:color w:val="auto"/>
              </w:rPr>
              <w:t>202,918</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2"/>
              <w:spacing w:after="0" w:line="213" w:lineRule="exact"/>
              <w:rPr>
                <w:sz w:val="20"/>
                <w:szCs w:val="20"/>
                <w:color w:val="auto"/>
              </w:rPr>
            </w:pPr>
            <w:r>
              <w:rPr>
                <w:rFonts w:ascii="Arial" w:cs="Arial" w:eastAsia="Arial" w:hAnsi="Arial"/>
                <w:sz w:val="20"/>
                <w:szCs w:val="20"/>
                <w:color w:val="auto"/>
              </w:rPr>
              <w:t>164,661</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line="220" w:lineRule="exact"/>
              <w:rPr>
                <w:sz w:val="20"/>
                <w:szCs w:val="20"/>
                <w:color w:val="auto"/>
              </w:rPr>
            </w:pPr>
            <w:r>
              <w:rPr>
                <w:rFonts w:ascii="Arial" w:cs="Arial" w:eastAsia="Arial" w:hAnsi="Arial"/>
                <w:sz w:val="20"/>
                <w:szCs w:val="20"/>
                <w:color w:val="auto"/>
              </w:rPr>
              <w:t>Average net sales per case</w:t>
            </w:r>
          </w:p>
        </w:tc>
        <w:tc>
          <w:tcPr>
            <w:tcW w:w="4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9.91</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10.34</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10.15</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10.16</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10.34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inflation had a significant impact on our results of operations for the years ended December 31, 2015, 2014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2013.</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$208.0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as compared with net cash provided by operating activities of $585.6 million for the year ended December 31,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year ended December 31, 2015, cash provided by operating activities was primarily attributable to net income earned of $546.7 million and adjustments for certain non-cash expenses, consisting of $32.7 million of stock-based compensation and $30.9 million of depreciation and other amortization. For the year ended December 31, 2015, cash provided by operating activities also increased due to a $415.4 million increase in income taxes payable, a $20.9 million increase in accounts payable, a $43.3 million increase in accrued liabilities, a $7.0 million increase in accrued promotional allowances, an $11.2 million increase in accrued distributor terminations, a $5.9 million decrease in prepaid income taxes and a $4.5 million increase in accrued compensation. For the year ended December 31, 2015, cash used in operating activities was due to a $314.7 million excess tax benefit from stock option exercises, a $302.4 million change in deferred income taxes, a $77.3 million increase in accounts receivable, a $38.6 million decrease in deferred revenue, a $7.1 million increase in inventories, and a $9.7 million increase in prepaid expenses and other current assets.</w:t>
      </w:r>
    </w:p>
    <w:p>
      <w:pPr>
        <w:spacing w:after="0" w:line="19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For the year ended December 31, 2014, cash provided by operating activities was primarily attributable to net income earned of $483.2 million and adjustments for certain non-cash expenses consisting of $28.6 million of stock-based compensation and $25.7 million of</w:t>
      </w:r>
    </w:p>
    <w:p>
      <w:pPr>
        <w:sectPr>
          <w:pgSz w:w="11900" w:h="16885" w:orient="portrait"/>
          <w:cols w:equalWidth="0" w:num="1">
            <w:col w:w="11420"/>
          </w:cols>
          <w:pgMar w:left="240" w:top="125" w:right="239" w:bottom="0" w:gutter="0" w:footer="0" w:header="0"/>
        </w:sectPr>
      </w:pPr>
    </w:p>
    <w:bookmarkStart w:id="36" w:name="page37"/>
    <w:bookmarkEnd w:id="36"/>
    <w:p>
      <w:pPr>
        <w:jc w:val="both"/>
        <w:spacing w:after="0" w:line="243" w:lineRule="auto"/>
        <w:rPr>
          <w:sz w:val="20"/>
          <w:szCs w:val="20"/>
          <w:color w:val="auto"/>
        </w:rPr>
      </w:pPr>
      <w:r>
        <w:rPr>
          <w:rFonts w:ascii="Arial" w:cs="Arial" w:eastAsia="Arial" w:hAnsi="Arial"/>
          <w:sz w:val="20"/>
          <w:szCs w:val="20"/>
          <w:color w:val="auto"/>
        </w:rPr>
        <w:t>depreciation and other amortization. For the year ended December 31, 2014, cash provided by operating activities also increased due to a $42.8 million decrease in inventory, a $20.5 million increase in accrued promotional allowances, an $11.3 million increase in accounts payable, an $8.4 million increase in income taxes payable, a $4.6 million decrease in distributor receivables, a $3.4 million increase in accrued compensation and a $3.0 million increase in accrued liabilities. For the year ended December 31, 2014, cash provided by operating activities was reduced due to a $14.3 million increase in accounts receivable, an $11.9 million increase in tax benefit from the exercise of stock options, a $9.8 million increase in deferred income taxes, an $8.1 million decrease in deferred revenue and a $2.3 million decrease in accrued distributor terminations.</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Cash flows used in investing activities. </w:t>
      </w:r>
      <w:r>
        <w:rPr>
          <w:rFonts w:ascii="Arial" w:cs="Arial" w:eastAsia="Arial" w:hAnsi="Arial"/>
          <w:sz w:val="20"/>
          <w:szCs w:val="20"/>
          <w:color w:val="auto"/>
        </w:rPr>
        <w:t>Net cash provided by investing activities was $400.1 million for the year ended December 31,</w:t>
      </w:r>
      <w:r>
        <w:rPr>
          <w:rFonts w:ascii="Arial" w:cs="Arial" w:eastAsia="Arial" w:hAnsi="Arial"/>
          <w:sz w:val="20"/>
          <w:szCs w:val="20"/>
          <w:i w:val="1"/>
          <w:iCs w:val="1"/>
          <w:color w:val="auto"/>
        </w:rPr>
        <w:t xml:space="preserve"> </w:t>
      </w:r>
      <w:r>
        <w:rPr>
          <w:rFonts w:ascii="Arial" w:cs="Arial" w:eastAsia="Arial" w:hAnsi="Arial"/>
          <w:sz w:val="20"/>
          <w:szCs w:val="20"/>
          <w:color w:val="auto"/>
        </w:rPr>
        <w:t>2015 as compared to cash used of $440.4 million for the year ended December 31, 2014.</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For the year ended December 31, 2015, cash used in investing activities was primarily attributable to purchases of held-to-maturity investments, purchases of property and equipment, and additions to intangibles. For the year ended December 31, 2014, cash used in investing activities was primarily attributable to purchases of held-to-maturity investments and to purchases of property and equipment. For the year ended December 31, 2015, cash provided by investing activities included $198.0 million from the sale of Monster Non-Energy and $179.7 million from the transfer of distribution rights pursuant to the TCCC Transaction. For both the years ended December 31, 2015 and 2014, cash provided by investing activities was also attributable to maturities of held-to-maturity investments. For both the years ended December 31, 2015 and 2014,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Cash flows provided by financing activities. </w:t>
      </w:r>
      <w:r>
        <w:rPr>
          <w:rFonts w:ascii="Arial" w:cs="Arial" w:eastAsia="Arial" w:hAnsi="Arial"/>
          <w:sz w:val="20"/>
          <w:szCs w:val="20"/>
          <w:color w:val="auto"/>
        </w:rPr>
        <w:t>We generated $1,202.3 million of cash from financing activities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2015 as compared to $19.3 million for the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ended December 31, 2014. The increase in cash flows provided by financing activities of $1,202.3 million was primarily the result of the issuance of our common stock to TCCC during the year ended December 31, 2015 in connection with the TCCC Transaction.</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Purchases of inventories, increases in accounts receivable and other assets, acquisition of property and equipment (including real property and coolers), leasehold improvements, acquisition and maintenance of trademarks, payments of accounts payable, income taxes payable and purchases of our common stock are expected to remain our principal recurring use of cash.</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Cash and cash equivalents, short-term and long-term investments — </w:t>
      </w:r>
      <w:r>
        <w:rPr>
          <w:rFonts w:ascii="Arial" w:cs="Arial" w:eastAsia="Arial" w:hAnsi="Arial"/>
          <w:sz w:val="19"/>
          <w:szCs w:val="19"/>
          <w:color w:val="auto"/>
        </w:rPr>
        <w:t>As of December 31, 2015, we had $2,175.4 million in cash and</w:t>
      </w:r>
      <w:r>
        <w:rPr>
          <w:rFonts w:ascii="Arial" w:cs="Arial" w:eastAsia="Arial" w:hAnsi="Arial"/>
          <w:sz w:val="19"/>
          <w:szCs w:val="19"/>
          <w:i w:val="1"/>
          <w:iCs w:val="1"/>
          <w:color w:val="auto"/>
        </w:rPr>
        <w:t xml:space="preserve"> </w:t>
      </w:r>
      <w:r>
        <w:rPr>
          <w:rFonts w:ascii="Arial" w:cs="Arial" w:eastAsia="Arial" w:hAnsi="Arial"/>
          <w:sz w:val="19"/>
          <w:szCs w:val="19"/>
          <w:color w:val="auto"/>
        </w:rPr>
        <w:t>cash equivalents and $760.0 million in short-term and long-term investments. We have historically invested these amounts in U.S. Treasury bills, U.S. government agency securities and municipal securities (which may have an auction reset feature), certificates of deposit, commercial paper,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$2,175.4 million of cash and cash equivalents held at December 31, 2015, $174.3 million was held by our foreign subsidiaries. No short-term or long-term investments were held by our foreign subsidiaries at December 31, 2015.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believe that cash available from operations, including our cash resources and our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purchases of capital assets, equipment and properties, through at least the next 12 months. Based on our current plans, at this time we estimate that capital expenditures are likely to be approximately $2.8 billion through December 31, 2016, including the completion of our purchase of American Fruits and Flavors as well as additional share repurchases as authorized by our Board of Directors on February 24, 2016 (see Note 20 “Subsequent Events” in the notes to consolidated financial statements). However, future business opportunities may cause a change in this estimate.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86" w:gutter="0" w:footer="0" w:header="0"/>
        </w:sectPr>
      </w:pPr>
    </w:p>
    <w:bookmarkStart w:id="37" w:name="page38"/>
    <w:bookmarkEnd w:id="37"/>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December 31,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800" w:type="dxa"/>
            <w:vAlign w:val="bottom"/>
            <w:tcBorders>
              <w:bottom w:val="single" w:sz="8" w:color="auto"/>
            </w:tcBorders>
            <w:gridSpan w:val="8"/>
          </w:tcPr>
          <w:p>
            <w:pPr>
              <w:ind w:left="600"/>
              <w:spacing w:after="0"/>
              <w:rPr>
                <w:sz w:val="20"/>
                <w:szCs w:val="20"/>
                <w:color w:val="auto"/>
              </w:rPr>
            </w:pPr>
            <w:r>
              <w:rPr>
                <w:rFonts w:ascii="Arial" w:cs="Arial" w:eastAsia="Arial" w:hAnsi="Arial"/>
                <w:sz w:val="20"/>
                <w:szCs w:val="20"/>
                <w:color w:val="auto"/>
              </w:rPr>
              <w:t>Payments due by period (in thousands)</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920" w:type="dxa"/>
            <w:vAlign w:val="bottom"/>
            <w:vMerge w:val="restart"/>
          </w:tcPr>
          <w:p>
            <w:pPr>
              <w:ind w:left="1000"/>
              <w:spacing w:after="0"/>
              <w:rPr>
                <w:sz w:val="20"/>
                <w:szCs w:val="20"/>
                <w:color w:val="auto"/>
              </w:rPr>
            </w:pPr>
            <w:r>
              <w:rPr>
                <w:rFonts w:ascii="Arial" w:cs="Arial" w:eastAsia="Arial" w:hAnsi="Arial"/>
                <w:sz w:val="20"/>
                <w:szCs w:val="20"/>
                <w:color w:val="auto"/>
              </w:rPr>
              <w:t>Obligations</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center"/>
              <w:ind w:right="500"/>
              <w:spacing w:after="0" w:line="207" w:lineRule="exact"/>
              <w:rPr>
                <w:sz w:val="20"/>
                <w:szCs w:val="20"/>
                <w:color w:val="auto"/>
              </w:rPr>
            </w:pPr>
            <w:r>
              <w:rPr>
                <w:rFonts w:ascii="Arial" w:cs="Arial" w:eastAsia="Arial" w:hAnsi="Arial"/>
                <w:sz w:val="20"/>
                <w:szCs w:val="20"/>
                <w:color w:val="auto"/>
                <w:w w:val="85"/>
              </w:rPr>
              <w:t>Less than</w:t>
            </w:r>
          </w:p>
        </w:tc>
        <w:tc>
          <w:tcPr>
            <w:tcW w:w="400" w:type="dxa"/>
            <w:vAlign w:val="bottom"/>
          </w:tcPr>
          <w:p>
            <w:pPr>
              <w:spacing w:after="0"/>
              <w:rPr>
                <w:sz w:val="17"/>
                <w:szCs w:val="17"/>
                <w:color w:val="auto"/>
              </w:rPr>
            </w:pPr>
          </w:p>
        </w:tc>
        <w:tc>
          <w:tcPr>
            <w:tcW w:w="1160" w:type="dxa"/>
            <w:vAlign w:val="bottom"/>
          </w:tcPr>
          <w:p>
            <w:pPr>
              <w:jc w:val="right"/>
              <w:ind w:right="541"/>
              <w:spacing w:after="0" w:line="207" w:lineRule="exact"/>
              <w:rPr>
                <w:sz w:val="20"/>
                <w:szCs w:val="20"/>
                <w:color w:val="auto"/>
              </w:rPr>
            </w:pPr>
            <w:r>
              <w:rPr>
                <w:rFonts w:ascii="Arial" w:cs="Arial" w:eastAsia="Arial" w:hAnsi="Arial"/>
                <w:sz w:val="20"/>
                <w:szCs w:val="20"/>
                <w:color w:val="auto"/>
              </w:rPr>
              <w:t>1-3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521"/>
              <w:spacing w:after="0" w:line="207" w:lineRule="exact"/>
              <w:rPr>
                <w:sz w:val="20"/>
                <w:szCs w:val="20"/>
                <w:color w:val="auto"/>
              </w:rPr>
            </w:pPr>
            <w:r>
              <w:rPr>
                <w:rFonts w:ascii="Arial" w:cs="Arial" w:eastAsia="Arial" w:hAnsi="Arial"/>
                <w:sz w:val="20"/>
                <w:szCs w:val="20"/>
                <w:color w:val="auto"/>
              </w:rPr>
              <w:t>3-5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261"/>
              <w:spacing w:after="0" w:line="207" w:lineRule="exact"/>
              <w:rPr>
                <w:sz w:val="20"/>
                <w:szCs w:val="20"/>
                <w:color w:val="auto"/>
              </w:rPr>
            </w:pPr>
            <w:r>
              <w:rPr>
                <w:rFonts w:ascii="Arial" w:cs="Arial" w:eastAsia="Arial" w:hAnsi="Arial"/>
                <w:sz w:val="20"/>
                <w:szCs w:val="20"/>
                <w:color w:val="auto"/>
                <w:w w:val="95"/>
              </w:rPr>
              <w:t>More than</w:t>
            </w:r>
          </w:p>
        </w:tc>
        <w:tc>
          <w:tcPr>
            <w:tcW w:w="0" w:type="dxa"/>
            <w:vAlign w:val="bottom"/>
          </w:tcPr>
          <w:p>
            <w:pPr>
              <w:spacing w:after="0"/>
              <w:rPr>
                <w:sz w:val="1"/>
                <w:szCs w:val="1"/>
                <w:color w:val="auto"/>
              </w:rPr>
            </w:pPr>
          </w:p>
        </w:tc>
      </w:tr>
      <w:tr>
        <w:trPr>
          <w:trHeight w:val="246"/>
        </w:trPr>
        <w:tc>
          <w:tcPr>
            <w:tcW w:w="29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Arial" w:cs="Arial" w:eastAsia="Arial" w:hAnsi="Arial"/>
                <w:sz w:val="20"/>
                <w:szCs w:val="20"/>
                <w:color w:val="auto"/>
              </w:rPr>
              <w:t>Total</w:t>
            </w:r>
          </w:p>
        </w:tc>
        <w:tc>
          <w:tcPr>
            <w:tcW w:w="32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89"/>
              </w:rPr>
              <w:t>1 year</w:t>
            </w:r>
          </w:p>
        </w:tc>
        <w:tc>
          <w:tcPr>
            <w:tcW w:w="40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Arial" w:cs="Arial" w:eastAsia="Arial" w:hAnsi="Arial"/>
                <w:sz w:val="20"/>
                <w:szCs w:val="20"/>
                <w:color w:val="auto"/>
              </w:rPr>
              <w:t>years</w:t>
            </w:r>
          </w:p>
        </w:tc>
        <w:tc>
          <w:tcPr>
            <w:tcW w:w="38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20"/>
                <w:szCs w:val="20"/>
                <w:color w:val="auto"/>
              </w:rPr>
              <w:t>years</w:t>
            </w:r>
          </w:p>
        </w:tc>
        <w:tc>
          <w:tcPr>
            <w:tcW w:w="300" w:type="dxa"/>
            <w:vAlign w:val="bottom"/>
          </w:tcPr>
          <w:p>
            <w:pPr>
              <w:spacing w:after="0"/>
              <w:rPr>
                <w:sz w:val="21"/>
                <w:szCs w:val="21"/>
                <w:color w:val="auto"/>
              </w:rPr>
            </w:pPr>
          </w:p>
        </w:tc>
        <w:tc>
          <w:tcPr>
            <w:tcW w:w="1240" w:type="dxa"/>
            <w:vAlign w:val="bottom"/>
          </w:tcPr>
          <w:p>
            <w:pPr>
              <w:jc w:val="right"/>
              <w:ind w:right="381"/>
              <w:spacing w:after="0"/>
              <w:rPr>
                <w:sz w:val="20"/>
                <w:szCs w:val="20"/>
                <w:color w:val="auto"/>
              </w:rPr>
            </w:pPr>
            <w:r>
              <w:rPr>
                <w:rFonts w:ascii="Arial" w:cs="Arial" w:eastAsia="Arial" w:hAnsi="Arial"/>
                <w:sz w:val="20"/>
                <w:szCs w:val="20"/>
                <w:color w:val="auto"/>
              </w:rPr>
              <w:t>5 years</w:t>
            </w:r>
          </w:p>
        </w:tc>
        <w:tc>
          <w:tcPr>
            <w:tcW w:w="0" w:type="dxa"/>
            <w:vAlign w:val="bottom"/>
          </w:tcPr>
          <w:p>
            <w:pPr>
              <w:spacing w:after="0"/>
              <w:rPr>
                <w:sz w:val="1"/>
                <w:szCs w:val="1"/>
                <w:color w:val="auto"/>
              </w:rPr>
            </w:pPr>
          </w:p>
        </w:tc>
      </w:tr>
      <w:tr>
        <w:trPr>
          <w:trHeight w:val="422"/>
        </w:trPr>
        <w:tc>
          <w:tcPr>
            <w:tcW w:w="29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Contractual Obligations¹</w:t>
            </w:r>
          </w:p>
        </w:tc>
        <w:tc>
          <w:tcPr>
            <w:tcW w:w="40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111,615</w:t>
            </w:r>
          </w:p>
        </w:tc>
        <w:tc>
          <w:tcPr>
            <w:tcW w:w="18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67,356</w:t>
            </w:r>
          </w:p>
        </w:tc>
        <w:tc>
          <w:tcPr>
            <w:tcW w:w="180" w:type="dxa"/>
            <w:vAlign w:val="bottom"/>
          </w:tcPr>
          <w:p>
            <w:pPr>
              <w:spacing w:after="0"/>
              <w:rPr>
                <w:sz w:val="24"/>
                <w:szCs w:val="24"/>
                <w:color w:val="auto"/>
              </w:rPr>
            </w:pPr>
          </w:p>
        </w:tc>
        <w:tc>
          <w:tcPr>
            <w:tcW w:w="40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44,199</w:t>
            </w:r>
          </w:p>
        </w:tc>
        <w:tc>
          <w:tcPr>
            <w:tcW w:w="160" w:type="dxa"/>
            <w:vAlign w:val="bottom"/>
          </w:tcPr>
          <w:p>
            <w:pPr>
              <w:spacing w:after="0"/>
              <w:rPr>
                <w:sz w:val="24"/>
                <w:szCs w:val="24"/>
                <w:color w:val="auto"/>
              </w:rPr>
            </w:pPr>
          </w:p>
        </w:tc>
        <w:tc>
          <w:tcPr>
            <w:tcW w:w="3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60</w:t>
            </w:r>
          </w:p>
        </w:tc>
        <w:tc>
          <w:tcPr>
            <w:tcW w:w="16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20"/>
                <w:szCs w:val="20"/>
                <w:color w:val="auto"/>
              </w:rPr>
              <w:t>Capital Leases</w:t>
            </w:r>
          </w:p>
        </w:tc>
        <w:tc>
          <w:tcPr>
            <w:tcW w:w="4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811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811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20"/>
                <w:szCs w:val="20"/>
                <w:color w:val="auto"/>
              </w:rPr>
              <w:t>Operating Leases</w:t>
            </w:r>
          </w:p>
        </w:tc>
        <w:tc>
          <w:tcPr>
            <w:tcW w:w="4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10,725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7,202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1,945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838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740</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20"/>
                <w:szCs w:val="20"/>
                <w:color w:val="auto"/>
              </w:rPr>
              <w:t>Purchase Commitments²</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40,794</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40,794</w:t>
            </w:r>
          </w:p>
        </w:tc>
        <w:tc>
          <w:tcPr>
            <w:tcW w:w="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163,945</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116,163</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46,144</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898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740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¹</w:t>
      </w:r>
      <w:r>
        <w:rPr>
          <w:rFonts w:ascii="Arial" w:cs="Arial" w:eastAsia="Arial" w:hAnsi="Arial"/>
          <w:sz w:val="16"/>
          <w:szCs w:val="16"/>
          <w:color w:val="auto"/>
        </w:rPr>
        <w:t>Contractual obligations include our obligations related to sponsorships and other commitments.</w:t>
      </w:r>
    </w:p>
    <w:p>
      <w:pPr>
        <w:spacing w:after="0" w:line="229" w:lineRule="exact"/>
        <w:rPr>
          <w:sz w:val="20"/>
          <w:szCs w:val="20"/>
          <w:color w:val="auto"/>
        </w:rPr>
      </w:pPr>
    </w:p>
    <w:p>
      <w:pPr>
        <w:jc w:val="both"/>
        <w:ind w:right="20" w:firstLine="648"/>
        <w:spacing w:after="0" w:line="231" w:lineRule="auto"/>
        <w:rPr>
          <w:sz w:val="20"/>
          <w:szCs w:val="20"/>
          <w:color w:val="auto"/>
        </w:rPr>
      </w:pPr>
      <w:r>
        <w:rPr>
          <w:rFonts w:ascii="Arial" w:cs="Arial" w:eastAsia="Arial" w:hAnsi="Arial"/>
          <w:sz w:val="20"/>
          <w:szCs w:val="20"/>
          <w:color w:val="auto"/>
        </w:rPr>
        <w:t>²</w:t>
      </w:r>
      <w:r>
        <w:rPr>
          <w:rFonts w:ascii="Arial" w:cs="Arial" w:eastAsia="Arial" w:hAnsi="Arial"/>
          <w:sz w:val="16"/>
          <w:szCs w:val="16"/>
          <w:color w:val="auto"/>
        </w:rPr>
        <w:t>Purchase commitments include obligations made by us and our subsidiaries to various suppliers for raw materials used in the production of our products. These</w:t>
      </w:r>
      <w:r>
        <w:rPr>
          <w:rFonts w:ascii="Arial" w:cs="Arial" w:eastAsia="Arial" w:hAnsi="Arial"/>
          <w:sz w:val="20"/>
          <w:szCs w:val="20"/>
          <w:color w:val="auto"/>
        </w:rPr>
        <w:t xml:space="preserve"> </w:t>
      </w:r>
      <w:r>
        <w:rPr>
          <w:rFonts w:ascii="Arial" w:cs="Arial" w:eastAsia="Arial" w:hAnsi="Arial"/>
          <w:sz w:val="16"/>
          <w:szCs w:val="16"/>
          <w:color w:val="auto"/>
        </w:rPr>
        <w:t>obligations vary in terms, but are generally satisfied within one year.</w:t>
      </w:r>
    </w:p>
    <w:p>
      <w:pPr>
        <w:spacing w:after="0" w:line="2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$0.5 million of recognized tax benefits have been recorded as liabilities as of December 31, 2015. It is expected that any change in the amount of unrecognized tax benefit within the next 12 months will not be significant. We have also recorded a liability for potential penalties and interest of $0.2 million as of December 31, 2015.</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Policies and Pronouncements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 Business acquisitions are accounted for in accordance with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(“ASC”) 805 “Business Combinations”.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w:t>
      </w:r>
      <w:r>
        <w:rPr>
          <w:rFonts w:ascii="Arial" w:cs="Arial" w:eastAsia="Arial" w:hAnsi="Arial"/>
          <w:sz w:val="20"/>
          <w:szCs w:val="20"/>
          <w:i w:val="1"/>
          <w:iCs w:val="1"/>
          <w:color w:val="auto"/>
        </w:rPr>
        <w:t xml:space="preserve"> </w:t>
      </w:r>
      <w:r>
        <w:rPr>
          <w:rFonts w:ascii="Arial" w:cs="Arial" w:eastAsia="Arial" w:hAnsi="Arial"/>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205"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Company’s investments in debt securities are classified as either held-to-maturity, available-for-sale or trading,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ASC 320. Held-to-maturity securities are those securities that the Company has the positive intent and ability to hold until maturity. Trading securities are those securities that the Company intends to sell in the near term. All other securities not included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ectPr>
          <w:pgSz w:w="11900" w:h="16924" w:orient="portrait"/>
          <w:cols w:equalWidth="0" w:num="1">
            <w:col w:w="11420"/>
          </w:cols>
          <w:pgMar w:left="240" w:top="122" w:right="239" w:bottom="0" w:gutter="0" w:footer="0" w:header="0"/>
        </w:sectPr>
      </w:pPr>
    </w:p>
    <w:bookmarkStart w:id="38" w:name="page39"/>
    <w:bookmarkEnd w:id="38"/>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collectability of its trade accounts receivable based on a number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Inventories </w:t>
      </w:r>
      <w:r>
        <w:rPr>
          <w:rFonts w:ascii="Arial" w:cs="Arial" w:eastAsia="Arial" w:hAnsi="Arial"/>
          <w:sz w:val="20"/>
          <w:szCs w:val="20"/>
          <w:color w:val="auto"/>
        </w:rPr>
        <w:t>– Inventories are valued at the lower of first-in, first-out, cost or market value (net realizable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 and computer</w:t>
      </w:r>
      <w:r>
        <w:rPr>
          <w:rFonts w:ascii="Arial" w:cs="Arial" w:eastAsia="Arial" w:hAnsi="Arial"/>
          <w:sz w:val="19"/>
          <w:szCs w:val="19"/>
          <w:i w:val="1"/>
          <w:iCs w:val="1"/>
          <w:color w:val="auto"/>
        </w:rPr>
        <w:t xml:space="preserve"> </w:t>
      </w:r>
      <w:r>
        <w:rPr>
          <w:rFonts w:ascii="Arial" w:cs="Arial" w:eastAsia="Arial" w:hAnsi="Arial"/>
          <w:sz w:val="19"/>
          <w:szCs w:val="19"/>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Goodwill </w:t>
      </w:r>
      <w:r>
        <w:rPr>
          <w:rFonts w:ascii="Arial" w:cs="Arial" w:eastAsia="Arial" w:hAnsi="Arial"/>
          <w:sz w:val="19"/>
          <w:szCs w:val="19"/>
          <w:color w:val="auto"/>
        </w:rPr>
        <w:t>– The Company records goodwill when the consideration paid for an acquisition exceeds the fair value of net tangible and</w:t>
      </w:r>
      <w:r>
        <w:rPr>
          <w:rFonts w:ascii="Arial" w:cs="Arial" w:eastAsia="Arial" w:hAnsi="Arial"/>
          <w:sz w:val="19"/>
          <w:szCs w:val="19"/>
          <w:i w:val="1"/>
          <w:iCs w:val="1"/>
          <w:color w:val="auto"/>
        </w:rPr>
        <w:t xml:space="preserve"> </w:t>
      </w:r>
      <w:r>
        <w:rPr>
          <w:rFonts w:ascii="Arial" w:cs="Arial" w:eastAsia="Arial" w:hAnsi="Arial"/>
          <w:sz w:val="19"/>
          <w:szCs w:val="19"/>
          <w:color w:val="auto"/>
        </w:rPr>
        <w:t>intangible assets acquired, including related tax effects. Goodwill is not amortized; instead goodwill is tested for impairment on an annual basis, or more frequently if the Company believes indicators of impairment exist. The Company first assesses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qualitative factors to determine whether it is more-likely-than-not that the fair value of a reporting unit is less than its carrying value. If the Company determines that the fair value is less than the carrying value, the Company will use a two-step process to determine the amount of goodwill impairment. The first step requires comparing the fair value of the reporting unit to its net book value, including goodwill. A potential impairment exists if the fair value of the reporting unit is lower than its net book value. The second step of the process, performed only if a potential impairment exists, involves determining the difference between the fair value of the reporting unit’s net assets, other than goodwill, and the fair value of the reporting unit. An impairment charge is recognized for the excess of the carrying value of goodwill over its implied fair value.</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Other Intangibles </w:t>
      </w:r>
      <w:r>
        <w:rPr>
          <w:rFonts w:ascii="Arial" w:cs="Arial" w:eastAsia="Arial" w:hAnsi="Arial"/>
          <w:sz w:val="18"/>
          <w:szCs w:val="18"/>
          <w:color w:val="auto"/>
        </w:rPr>
        <w:t>– Other Intangibles are comprised primarily of trademarks that represent the Company’s exclusive ownership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Monster Energy®, </w:t>
      </w:r>
      <w:r>
        <w:rPr>
          <w:sz w:val="1"/>
          <w:szCs w:val="1"/>
          <w:color w:val="auto"/>
        </w:rPr>
        <w:drawing>
          <wp:inline distT="0" distB="0" distL="0" distR="0">
            <wp:extent cx="102870"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8"/>
          <w:szCs w:val="18"/>
          <w:color w:val="auto"/>
        </w:rPr>
        <w:t>®, Monster Rehab®, Java Monster®, Unleash the Beast®, Monster Energy Extra Strength Nitrous Technology®, Muscle Monster®, Mega Monster Energy®, Punch Monster®, Juice Monster®, M3®, Ubermonster®, BU®, Nalu®, NOS®, Full Throttle®, Burn®, Mother®, Ultra®, Play® and Power Play®, Gladiator®, Relentless®, Samurai® and BPM® trademarks, all used in connection with the manufacture, sale and distribution of beverages. The Company also owns in its own right a number of other trademarks in the United States, as well as in a number of countries around the world. In accordance with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intangibles with finite useful lives over their respective useful lives. For the fiscal years ended December 31, 2015, 2014 and 2013, there were no impairments recorded.</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2015, 2014 and 2013, there were no impairment indicators identified. Long-lived assets held for sale are recorded at the lower of their carrying amount or fair value less cost to sell.</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Foreign Currency Translation and Transactions </w:t>
      </w:r>
      <w:r>
        <w:rPr>
          <w:rFonts w:ascii="Arial" w:cs="Arial" w:eastAsia="Arial" w:hAnsi="Arial"/>
          <w:sz w:val="18"/>
          <w:szCs w:val="18"/>
          <w:color w:val="auto"/>
        </w:rPr>
        <w:t>– The accounts of the Company’s foreign subsidiaries are translated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 stockholders’ equity. During the year ended December 31, 2015 and 2014,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2015 have terms of one month or less. We do not enter into forward currency exchange contracts for speculation or trading purposes.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52" w:right="239" w:bottom="0" w:gutter="0" w:footer="0" w:header="0"/>
        </w:sectPr>
      </w:pPr>
    </w:p>
    <w:bookmarkStart w:id="39" w:name="page40"/>
    <w:bookmarkEnd w:id="39"/>
    <w:p>
      <w:pPr>
        <w:spacing w:after="0" w:line="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The Company recognizes revenue when persuasive evidence of an arrangement exists, delivery has occurred,</w:t>
      </w:r>
      <w:r>
        <w:rPr>
          <w:rFonts w:ascii="Arial" w:cs="Arial" w:eastAsia="Arial" w:hAnsi="Arial"/>
          <w:sz w:val="20"/>
          <w:szCs w:val="20"/>
          <w:i w:val="1"/>
          <w:iCs w:val="1"/>
          <w:color w:val="auto"/>
        </w:rPr>
        <w:t xml:space="preserve"> </w:t>
      </w:r>
      <w:r>
        <w:rPr>
          <w:rFonts w:ascii="Arial" w:cs="Arial" w:eastAsia="Arial" w:hAnsi="Arial"/>
          <w:sz w:val="20"/>
          <w:szCs w:val="20"/>
          <w:color w:val="auto"/>
        </w:rPr>
        <w:t>the sales price is fixed or determinable and collectability is reasonably assured.</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Generally, ownership of and title to the Company’s finished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w:t>
      </w:r>
    </w:p>
    <w:p>
      <w:pPr>
        <w:spacing w:after="0" w:line="20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Revenue for the Concentrate Segment is generally recognized when title to the concentrate is transferred to the customer. In particular, title to the concentrate usually passes upon shipment to the customers’ locations, as determined by the specific sales terms of the transactions.</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Net sales have been determined after deduction of promotional and other allowances in accordance with ASC 605-50. The Company’s promotional and other allowances are calculated based on various programs with its distributors and retail customers, and accruals are established during the year for the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 and actual expenses for promotional and other allowance costs have historically been insignificant and are recognized in earnings in the period such differences are determined. 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 generally 20 years.</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90" w:lineRule="exact"/>
        <w:rPr>
          <w:sz w:val="20"/>
          <w:szCs w:val="20"/>
          <w:color w:val="auto"/>
        </w:rPr>
      </w:pPr>
    </w:p>
    <w:p>
      <w:pPr>
        <w:jc w:val="both"/>
        <w:ind w:firstLine="689"/>
        <w:spacing w:after="0" w:line="282"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 Cost of sales consists of the costs of concentrates and/or beverage bases, the costs of raw materials utilized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of products, co-packing fees, repacking 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flavors, ingredients and packaging materials.</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Income Taxes </w:t>
      </w:r>
      <w:r>
        <w:rPr>
          <w:rFonts w:ascii="Arial" w:cs="Arial" w:eastAsia="Arial" w:hAnsi="Arial"/>
          <w:sz w:val="20"/>
          <w:szCs w:val="20"/>
          <w:color w:val="auto"/>
        </w:rPr>
        <w:t>– The Company utilizes the liability method of accounting for income taxes as set forth in ASC 740. Under the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4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(the “Securities Act”),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w:t>
      </w:r>
    </w:p>
    <w:p>
      <w:pPr>
        <w:sectPr>
          <w:pgSz w:w="11900" w:h="16900" w:orient="portrait"/>
          <w:cols w:equalWidth="0" w:num="1">
            <w:col w:w="11420"/>
          </w:cols>
          <w:pgMar w:left="240" w:top="122" w:right="239" w:bottom="0" w:gutter="0" w:footer="0" w:header="0"/>
        </w:sectPr>
      </w:pPr>
    </w:p>
    <w:bookmarkStart w:id="40" w:name="page41"/>
    <w:bookmarkEnd w:id="40"/>
    <w:p>
      <w:pPr>
        <w:jc w:val="both"/>
        <w:spacing w:after="0" w:line="262" w:lineRule="auto"/>
        <w:rPr>
          <w:sz w:val="20"/>
          <w:szCs w:val="20"/>
          <w:color w:val="auto"/>
        </w:rPr>
      </w:pPr>
      <w:r>
        <w:rPr>
          <w:rFonts w:ascii="Arial" w:cs="Arial" w:eastAsia="Arial" w:hAnsi="Arial"/>
          <w:sz w:val="20"/>
          <w:szCs w:val="20"/>
          <w:color w:val="auto"/>
        </w:rPr>
        <w:t>statements within the meaning of the Act. Without limiting the foregoing, the words “believes,” “thinks,” “anticipates,” “plans,” “expects,” “estimates,” and similar expressions are intended to identify forward-looking statements.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w:t>
      </w:r>
    </w:p>
    <w:p>
      <w:pPr>
        <w:spacing w:after="0" w:line="15" w:lineRule="exact"/>
        <w:rPr>
          <w:rFonts w:ascii="Arial" w:cs="Arial" w:eastAsia="Arial" w:hAnsi="Arial"/>
          <w:sz w:val="20"/>
          <w:szCs w:val="20"/>
          <w:color w:val="auto"/>
        </w:rPr>
      </w:pPr>
    </w:p>
    <w:p>
      <w:pPr>
        <w:ind w:left="420" w:hanging="412"/>
        <w:spacing w:after="0"/>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420" w:hanging="412"/>
        <w:spacing w:after="0" w:line="239" w:lineRule="auto"/>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successfully transfer the distribution of our Monster Energy® brand energy drinks in certain existing domestic and international territories to bottlers/distributors within the TCCC distribution system on terms beneficial to us;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420" w:right="20" w:hanging="412"/>
        <w:spacing w:after="0" w:line="247"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420" w:right="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 and/or from higher gasoline prices;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demand that are weather related;</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420" w:hanging="412"/>
        <w:spacing w:after="0"/>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420" w:hanging="412"/>
        <w:spacing w:after="0" w:line="239"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420" w:hanging="412"/>
        <w:spacing w:after="0" w:line="266"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420" w:hanging="412"/>
        <w:spacing w:after="0" w:line="241" w:lineRule="auto"/>
        <w:tabs>
          <w:tab w:leader="none" w:pos="4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2" w:right="239" w:bottom="0" w:gutter="0" w:footer="0" w:header="0"/>
        </w:sectPr>
      </w:pP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taxation requirements (including tax rate changes, new tax laws, new and/or increased excise and/or sales and/or other taxes on our</w:t>
      </w:r>
    </w:p>
    <w:p>
      <w:pPr>
        <w:sectPr>
          <w:pgSz w:w="11900" w:h="16838" w:orient="portrait"/>
          <w:cols w:equalWidth="0" w:num="1">
            <w:col w:w="11420"/>
          </w:cols>
          <w:pgMar w:left="240" w:top="122" w:right="239" w:bottom="0" w:gutter="0" w:footer="0" w:header="0"/>
          <w:type w:val="continuous"/>
        </w:sectPr>
      </w:pPr>
    </w:p>
    <w:bookmarkStart w:id="41" w:name="page42"/>
    <w:bookmarkEnd w:id="41"/>
    <w:p>
      <w:pPr>
        <w:spacing w:after="0" w:line="70" w:lineRule="exact"/>
        <w:rPr>
          <w:sz w:val="20"/>
          <w:szCs w:val="20"/>
          <w:color w:val="auto"/>
        </w:rPr>
      </w:pPr>
    </w:p>
    <w:p>
      <w:pPr>
        <w:jc w:val="both"/>
        <w:ind w:left="420"/>
        <w:spacing w:after="0" w:line="254" w:lineRule="auto"/>
        <w:rPr>
          <w:sz w:val="20"/>
          <w:szCs w:val="20"/>
          <w:color w:val="auto"/>
        </w:rPr>
      </w:pPr>
      <w:r>
        <w:rPr>
          <w:rFonts w:ascii="Arial" w:cs="Arial" w:eastAsia="Arial" w:hAnsi="Arial"/>
          <w:sz w:val="19"/>
          <w:szCs w:val="19"/>
          <w:color w:val="auto"/>
        </w:rPr>
        <w:t>products and revised tax law interpretations) and environmental laws, as well as the FD&amp;C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6" w:lineRule="exact"/>
        <w:rPr>
          <w:sz w:val="20"/>
          <w:szCs w:val="20"/>
          <w:color w:val="auto"/>
        </w:rPr>
      </w:pPr>
    </w:p>
    <w:p>
      <w:pPr>
        <w:jc w:val="both"/>
        <w:ind w:left="420" w:right="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and/or press and/or articles, comments and/or media attention;</w:t>
      </w:r>
    </w:p>
    <w:p>
      <w:pPr>
        <w:jc w:val="both"/>
        <w:ind w:left="420" w:hanging="412"/>
        <w:spacing w:after="0" w:line="252" w:lineRule="auto"/>
        <w:tabs>
          <w:tab w:leader="none" w:pos="4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420" w:right="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impact of corporate activity among the limited number of suppliers from whom we purchase certain raw materials on our cost of sales;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and/or ingredients and/or commodities and/or other cost inputs affecting our business;</w:t>
      </w:r>
    </w:p>
    <w:p>
      <w:pPr>
        <w:spacing w:after="0" w:line="1" w:lineRule="exact"/>
        <w:rPr>
          <w:rFonts w:ascii="Arial" w:cs="Arial" w:eastAsia="Arial" w:hAnsi="Arial"/>
          <w:sz w:val="20"/>
          <w:szCs w:val="20"/>
          <w:color w:val="auto"/>
        </w:rPr>
      </w:pPr>
    </w:p>
    <w:p>
      <w:pPr>
        <w:jc w:val="both"/>
        <w:ind w:left="4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4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4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the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420" w:right="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mass merchandisers,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420" w:right="20" w:hanging="412"/>
        <w:spacing w:after="0" w:line="239"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420" w:right="20" w:hanging="412"/>
        <w:spacing w:after="0" w:line="244"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spacing w:after="0" w:line="15" w:lineRule="exact"/>
        <w:rPr>
          <w:rFonts w:ascii="Arial" w:cs="Arial" w:eastAsia="Arial" w:hAnsi="Arial"/>
          <w:sz w:val="20"/>
          <w:szCs w:val="20"/>
          <w:color w:val="auto"/>
        </w:rPr>
      </w:pPr>
    </w:p>
    <w:p>
      <w:pPr>
        <w:ind w:left="420" w:right="20" w:hanging="412"/>
        <w:spacing w:after="0" w:line="239" w:lineRule="auto"/>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420" w:hanging="412"/>
        <w:spacing w:after="0" w:line="239" w:lineRule="auto"/>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420" w:hanging="412"/>
        <w:spacing w:after="0"/>
        <w:tabs>
          <w:tab w:leader="none" w:pos="4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prices affecting the costs of our raw materials (including, but not limited to, increases in the costs of juice concentrates, increases in the price of aluminum for cans, as well as cane sugar and other sweeteners, glucose, sucrose, milk, cream and protein, all of which are used in some or many of our products),</w:t>
      </w:r>
    </w:p>
    <w:p>
      <w:pPr>
        <w:sectPr>
          <w:pgSz w:w="11900" w:h="16908" w:orient="portrait"/>
          <w:cols w:equalWidth="0" w:num="1">
            <w:col w:w="11420"/>
          </w:cols>
          <w:pgMar w:left="240" w:top="122" w:right="239" w:bottom="0" w:gutter="0" w:footer="0" w:header="0"/>
        </w:sectPr>
      </w:pPr>
    </w:p>
    <w:bookmarkStart w:id="42" w:name="page43"/>
    <w:bookmarkEnd w:id="42"/>
    <w:p>
      <w:pPr>
        <w:spacing w:after="0" w:line="1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fluctuations in energy and fuel prices,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because our ability to recover increased costs through higher pricing is limited by the competitive environment in which we operate.</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use derivative financial instruments to protect ourselves from fluctuations in interest rates and do not hedge against fluctuations in commodity prices.</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gross sales to customers outside of the United States were approximately 23% of consolidated gross sales for the years ended December 31, 2015 and 2014. Our growth strategy includes expanding our international business. As a result, we are subject to risks from changes in foreign currency exchange rates. During the year ended December 31, 2015,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2015 have terms of one month or less. We do not enter into forward currency exchange contracts for speculation or trading purposes.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have not designated our foreign currency exchange contracts as hedge transactions under ASC 815. Therefore, gains and losses on our foreign currency exchange contracts are recognized in other expense,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2015 to be significant.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2015, we had $2,175.4 million in cash and cash equivalents and $760.0 million in short-term and long-term investments including U.S. treasuries, certificates of deposit and municipal securities which may have an auction reset feature. Certain of these investments are subject to general credit, liquidity, market and interest rate risks.</w:t>
      </w:r>
    </w:p>
    <w:p>
      <w:pPr>
        <w:spacing w:after="0" w:line="19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information required to be furnished in response to this ITEM 8 follows the signature page and Index to Exhibits hereto at pages 73 through 120.</w:t>
      </w:r>
    </w:p>
    <w:p>
      <w:pPr>
        <w:spacing w:after="0" w:line="184" w:lineRule="exact"/>
        <w:rPr>
          <w:sz w:val="20"/>
          <w:szCs w:val="20"/>
          <w:color w:val="auto"/>
        </w:rPr>
      </w:pPr>
    </w:p>
    <w:p>
      <w:pPr>
        <w:ind w:right="1080"/>
        <w:spacing w:after="0" w:line="267"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effective to ensure that information we are required to disclose in reports that we file or submit under the Exchange Act is</w:t>
      </w:r>
    </w:p>
    <w:p>
      <w:pPr>
        <w:spacing w:after="0" w:line="4" w:lineRule="exact"/>
        <w:rPr>
          <w:sz w:val="20"/>
          <w:szCs w:val="20"/>
          <w:color w:val="auto"/>
        </w:rPr>
      </w:pPr>
    </w:p>
    <w:p>
      <w:pPr>
        <w:jc w:val="both"/>
        <w:ind w:right="20" w:firstLine="8"/>
        <w:spacing w:after="0" w:line="241" w:lineRule="auto"/>
        <w:tabs>
          <w:tab w:leader="none" w:pos="299"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21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Management’s Report on Internal Control Over Financial Reporting </w:t>
      </w:r>
      <w:r>
        <w:rPr>
          <w:rFonts w:ascii="Arial" w:cs="Arial" w:eastAsia="Arial" w:hAnsi="Arial"/>
          <w:sz w:val="19"/>
          <w:szCs w:val="19"/>
          <w:color w:val="auto"/>
        </w:rPr>
        <w:t>– Our management is responsible for establishing and maintaining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2015, based on the framework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Control – Integrated Framework (2013) </w:t>
      </w:r>
      <w:r>
        <w:rPr>
          <w:rFonts w:ascii="Arial" w:cs="Arial" w:eastAsia="Arial" w:hAnsi="Arial"/>
          <w:sz w:val="19"/>
          <w:szCs w:val="19"/>
          <w:color w:val="auto"/>
        </w:rPr>
        <w:t>issued by the Committee of Sponsoring Organizations of the Treadway Commission. Based on 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management’s evaluation under the framework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our management concluded that our internal control over financial reporting was effective as of December 31, 2015.</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internal control over financial reporting as of December 31, 2015, has been audited by Deloitte &amp; Touche LLP, an independent registered public accounting firm, as stated in their attestation report, which is included herein.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December 31, 2015, that have materially affected, or are reasonably likely to materially affect, our internal control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48" w:orient="portrait"/>
          <w:cols w:equalWidth="0" w:num="1">
            <w:col w:w="11420"/>
          </w:cols>
          <w:pgMar w:left="240" w:top="122" w:right="239" w:bottom="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ectPr>
          <w:pgSz w:w="11900" w:h="16848" w:orient="portrait"/>
          <w:cols w:equalWidth="0" w:num="1">
            <w:col w:w="11420"/>
          </w:cols>
          <w:pgMar w:left="240" w:top="122" w:right="239" w:bottom="0" w:gutter="0" w:footer="0" w:header="0"/>
          <w:type w:val="continuous"/>
        </w:sectPr>
      </w:pPr>
    </w:p>
    <w:bookmarkStart w:id="43" w:name="page44"/>
    <w:bookmarkEnd w:id="43"/>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have audited the internal control over financial reporting of Monster Beverage Corporation and subsidiaries (the “Company”) as of December 31, 2015,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2015 of the Company and our report dated February 29, 2016 expressed an unqualified opinion on those financial statements and financial statement schedule.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29,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by this item regarding our directors is included under the caption “Proposal One – Election of Directors” in our Proxy Statement for our 2015 Annual Meeting of Stockholders to be filed with the SEC within 120 days after the end of the fiscal year ended December 31, 2015 (the “2016 Proxy Statement”) and is incorporated herein by reference.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compliance with Section 16(a) of the Exchange Act is included under the caption “Section 16(a) Beneficial Ownership Reporting Compliance” in our 2016 Proxy Statement and is incorporated herein by reference.</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Information concerning the Audit Committee and the Audit Committee Financial expert is reported under the caption “Audit Committee; Report of the Audit Committee; Duties and Responsibilities” in our 2016 Proxy Statement and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ectPr>
          <w:pgSz w:w="11900" w:h="16848" w:orient="portrait"/>
          <w:cols w:equalWidth="0" w:num="1">
            <w:col w:w="11420"/>
          </w:cols>
          <w:pgMar w:left="240" w:top="352" w:right="239" w:bottom="0" w:gutter="0" w:footer="0" w:header="0"/>
        </w:sectPr>
      </w:pPr>
    </w:p>
    <w:bookmarkStart w:id="44" w:name="page45"/>
    <w:bookmarkEnd w:id="44"/>
    <w:p>
      <w:pPr>
        <w:jc w:val="both"/>
        <w:ind w:firstLine="648"/>
        <w:spacing w:after="0" w:line="244" w:lineRule="auto"/>
        <w:rPr>
          <w:sz w:val="20"/>
          <w:szCs w:val="20"/>
          <w:color w:val="auto"/>
        </w:rPr>
      </w:pPr>
      <w:r>
        <w:rPr>
          <w:rFonts w:ascii="Arial" w:cs="Arial" w:eastAsia="Arial" w:hAnsi="Arial"/>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and is available at </w:t>
      </w:r>
      <w:r>
        <w:rPr>
          <w:rFonts w:ascii="Arial" w:cs="Arial" w:eastAsia="Arial" w:hAnsi="Arial"/>
          <w:sz w:val="20"/>
          <w:szCs w:val="20"/>
          <w:u w:val="single" w:color="auto"/>
          <w:color w:val="auto"/>
        </w:rPr>
        <w:t>http://investors.monsterbevcorp.com/governance.cfm</w:t>
      </w:r>
      <w:r>
        <w:rPr>
          <w:rFonts w:ascii="Arial" w:cs="Arial" w:eastAsia="Arial" w:hAnsi="Arial"/>
          <w:sz w:val="20"/>
          <w:szCs w:val="20"/>
          <w:color w:val="auto"/>
        </w:rPr>
        <w:t>. The Code of Business Conduct and Ethics and any amendment thereto, as well as any waivers that are required to be disclosed by the rules of the SEC or NASDAQ, may be obtained at no cost to you by writing or telephoning us at the following address or telephone number: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ind w:left="5580" w:hanging="484"/>
        <w:spacing w:after="0"/>
        <w:tabs>
          <w:tab w:leader="none" w:pos="5580" w:val="left"/>
        </w:tabs>
        <w:numPr>
          <w:ilvl w:val="1"/>
          <w:numId w:val="28"/>
        </w:numPr>
        <w:rPr>
          <w:rFonts w:ascii="Arial" w:cs="Arial" w:eastAsia="Arial" w:hAnsi="Arial"/>
          <w:sz w:val="20"/>
          <w:szCs w:val="20"/>
          <w:color w:val="auto"/>
        </w:rPr>
      </w:pPr>
      <w:r>
        <w:rPr>
          <w:rFonts w:ascii="Arial" w:cs="Arial" w:eastAsia="Arial" w:hAnsi="Arial"/>
          <w:sz w:val="20"/>
          <w:szCs w:val="20"/>
          <w:color w:val="auto"/>
        </w:rPr>
        <w:t>739-6200</w:t>
      </w:r>
    </w:p>
    <w:p>
      <w:pPr>
        <w:ind w:left="4800" w:hanging="470"/>
        <w:spacing w:after="0"/>
        <w:tabs>
          <w:tab w:leader="none" w:pos="48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2016 Proxy Statement and is incorporated herein by reference.</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disclosure set forth in Item 5, “Market for the Registrant’s Common Equity, Related Stockholder Matters and Issuer Repurchases of Equity Securities”, of this report is incorporated herein.</w:t>
      </w:r>
    </w:p>
    <w:p>
      <w:pPr>
        <w:spacing w:after="0" w:line="19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Information concerning the beneficial ownership of the Company’s Common Stock of (a) those persons known to the Company to be the beneficial owners of more than 5% of the Company’s common stock; (b) each of the Company’s directors and nominees for director; and</w:t>
      </w:r>
    </w:p>
    <w:p>
      <w:pPr>
        <w:spacing w:after="0" w:line="1" w:lineRule="exact"/>
        <w:rPr>
          <w:sz w:val="20"/>
          <w:szCs w:val="20"/>
          <w:color w:val="auto"/>
        </w:rPr>
      </w:pPr>
    </w:p>
    <w:p>
      <w:pPr>
        <w:ind w:firstLine="8"/>
        <w:spacing w:after="0" w:line="298" w:lineRule="auto"/>
        <w:tabs>
          <w:tab w:leader="none" w:pos="2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executive officers and all of the Company’s current directors and executive officers as a group is reported under the caption “Principal Stockholders and Security Ownership of Management” in our 2016 Proxy Statement and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certain relationships and related transactions is reported under the caption “Certain Relationships and Related Transactions and Director Independence” in our 2016 Proxy Statement and is incorporated herein by reference.</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2016 Proxy Statement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b w:val="1"/>
          <w:bCs w:val="1"/>
          <w:color w:val="auto"/>
        </w:rPr>
        <w:t>EXHIBITS AND FINANCIAL STATEMENT SCHEDULES</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(a)</w:t>
            </w:r>
          </w:p>
        </w:tc>
        <w:tc>
          <w:tcPr>
            <w:tcW w:w="7640" w:type="dxa"/>
            <w:vAlign w:val="bottom"/>
            <w:gridSpan w:val="2"/>
          </w:tcPr>
          <w:p>
            <w:pPr>
              <w:spacing w:after="0"/>
              <w:rPr>
                <w:sz w:val="20"/>
                <w:szCs w:val="20"/>
                <w:color w:val="auto"/>
              </w:rPr>
            </w:pPr>
            <w:r>
              <w:rPr>
                <w:rFonts w:ascii="Arial" w:cs="Arial" w:eastAsia="Arial" w:hAnsi="Arial"/>
                <w:sz w:val="20"/>
                <w:szCs w:val="20"/>
                <w:color w:val="auto"/>
              </w:rPr>
              <w:t>The following documents are filed as a part of this Form 10-K:</w:t>
            </w:r>
          </w:p>
        </w:tc>
        <w:tc>
          <w:tcPr>
            <w:tcW w:w="2840" w:type="dxa"/>
            <w:vAlign w:val="bottom"/>
          </w:tcPr>
          <w:p>
            <w:pPr>
              <w:spacing w:after="0"/>
              <w:rPr>
                <w:sz w:val="21"/>
                <w:szCs w:val="21"/>
                <w:color w:val="auto"/>
              </w:rPr>
            </w:pPr>
          </w:p>
        </w:tc>
      </w:tr>
      <w:tr>
        <w:trPr>
          <w:trHeight w:val="415"/>
        </w:trPr>
        <w:tc>
          <w:tcPr>
            <w:tcW w:w="760" w:type="dxa"/>
            <w:vAlign w:val="bottom"/>
          </w:tcPr>
          <w:p>
            <w:pPr>
              <w:spacing w:after="0"/>
              <w:rPr>
                <w:sz w:val="24"/>
                <w:szCs w:val="24"/>
                <w:color w:val="auto"/>
              </w:rPr>
            </w:pPr>
          </w:p>
        </w:tc>
        <w:tc>
          <w:tcPr>
            <w:tcW w:w="4640" w:type="dxa"/>
            <w:vAlign w:val="bottom"/>
            <w:tcBorders>
              <w:bottom w:val="single" w:sz="8" w:color="0000EE"/>
            </w:tcBorders>
          </w:tcPr>
          <w:p>
            <w:pPr>
              <w:spacing w:after="0"/>
              <w:rPr>
                <w:rFonts w:ascii="Arial" w:cs="Arial" w:eastAsia="Arial" w:hAnsi="Arial"/>
                <w:sz w:val="20"/>
                <w:szCs w:val="20"/>
                <w:color w:val="0000EE"/>
                <w:w w:val="90"/>
              </w:rPr>
            </w:pPr>
            <w:hyperlink w:anchor="page48">
              <w:r>
                <w:rPr>
                  <w:rFonts w:ascii="Arial" w:cs="Arial" w:eastAsia="Arial" w:hAnsi="Arial"/>
                  <w:sz w:val="20"/>
                  <w:szCs w:val="20"/>
                  <w:color w:val="0000EE"/>
                  <w:w w:val="90"/>
                </w:rPr>
                <w:t>Report of Independent Registered Public Accounting Firm</w:t>
              </w:r>
            </w:hyperlink>
          </w:p>
        </w:tc>
        <w:tc>
          <w:tcPr>
            <w:tcW w:w="300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479"/>
        </w:trPr>
        <w:tc>
          <w:tcPr>
            <w:tcW w:w="76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20"/>
                <w:szCs w:val="20"/>
                <w:color w:val="auto"/>
              </w:rPr>
              <w:t>Financial Statements:</w:t>
            </w:r>
          </w:p>
        </w:tc>
        <w:tc>
          <w:tcPr>
            <w:tcW w:w="284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120" w:type="dxa"/>
            <w:vAlign w:val="bottom"/>
            <w:tcBorders>
              <w:bottom w:val="single" w:sz="8" w:color="0000EE"/>
            </w:tcBorders>
            <w:gridSpan w:val="2"/>
          </w:tcPr>
          <w:p>
            <w:pPr>
              <w:spacing w:after="0" w:line="190" w:lineRule="exact"/>
              <w:rPr>
                <w:rFonts w:ascii="Arial" w:cs="Arial" w:eastAsia="Arial" w:hAnsi="Arial"/>
                <w:sz w:val="20"/>
                <w:szCs w:val="20"/>
                <w:color w:val="0000EE"/>
                <w:w w:val="87"/>
              </w:rPr>
            </w:pPr>
            <w:hyperlink w:anchor="page49">
              <w:r>
                <w:rPr>
                  <w:rFonts w:ascii="Arial" w:cs="Arial" w:eastAsia="Arial" w:hAnsi="Arial"/>
                  <w:sz w:val="20"/>
                  <w:szCs w:val="20"/>
                  <w:color w:val="0000EE"/>
                  <w:w w:val="87"/>
                </w:rPr>
                <w:t>Consolidated Balance Sheets as of December 31, 2015 and 2014</w:t>
              </w:r>
            </w:hyperlink>
          </w:p>
        </w:tc>
        <w:tc>
          <w:tcPr>
            <w:tcW w:w="4160" w:type="dxa"/>
            <w:vAlign w:val="bottom"/>
            <w:gridSpan w:val="5"/>
          </w:tcPr>
          <w:p>
            <w:pPr>
              <w:spacing w:after="0"/>
              <w:rPr>
                <w:sz w:val="16"/>
                <w:szCs w:val="16"/>
                <w:color w:val="auto"/>
              </w:rPr>
            </w:pPr>
          </w:p>
        </w:tc>
        <w:tc>
          <w:tcPr>
            <w:tcW w:w="1020" w:type="dxa"/>
            <w:vAlign w:val="bottom"/>
          </w:tcPr>
          <w:p>
            <w:pPr>
              <w:jc w:val="right"/>
              <w:spacing w:after="0" w:line="190" w:lineRule="exact"/>
              <w:rPr>
                <w:sz w:val="20"/>
                <w:szCs w:val="20"/>
                <w:color w:val="auto"/>
              </w:rPr>
            </w:pPr>
            <w:r>
              <w:rPr>
                <w:rFonts w:ascii="Arial" w:cs="Arial" w:eastAsia="Arial" w:hAnsi="Arial"/>
                <w:sz w:val="20"/>
                <w:szCs w:val="20"/>
                <w:color w:val="auto"/>
              </w:rPr>
              <w:t>74</w:t>
            </w:r>
          </w:p>
        </w:tc>
      </w:tr>
      <w:tr>
        <w:trPr>
          <w:trHeight w:val="210"/>
        </w:trPr>
        <w:tc>
          <w:tcPr>
            <w:tcW w:w="180" w:type="dxa"/>
            <w:vAlign w:val="bottom"/>
          </w:tcPr>
          <w:p>
            <w:pPr>
              <w:spacing w:after="0"/>
              <w:rPr>
                <w:sz w:val="18"/>
                <w:szCs w:val="18"/>
                <w:color w:val="auto"/>
              </w:rPr>
            </w:pPr>
          </w:p>
        </w:tc>
        <w:tc>
          <w:tcPr>
            <w:tcW w:w="9280" w:type="dxa"/>
            <w:vAlign w:val="bottom"/>
            <w:gridSpan w:val="7"/>
          </w:tcPr>
          <w:p>
            <w:pPr>
              <w:spacing w:after="0" w:line="209" w:lineRule="exact"/>
              <w:rPr>
                <w:rFonts w:ascii="Arial" w:cs="Arial" w:eastAsia="Arial" w:hAnsi="Arial"/>
                <w:sz w:val="20"/>
                <w:szCs w:val="20"/>
                <w:color w:val="0000EE"/>
              </w:rPr>
            </w:pPr>
            <w:hyperlink w:anchor="page50">
              <w:r>
                <w:rPr>
                  <w:rFonts w:ascii="Arial" w:cs="Arial" w:eastAsia="Arial" w:hAnsi="Arial"/>
                  <w:sz w:val="20"/>
                  <w:szCs w:val="20"/>
                  <w:color w:val="0000EE"/>
                </w:rPr>
                <w:t>Consolidated Statements of Income for the years ended December 31, 2015, 2014 and 2013</w:t>
              </w:r>
            </w:hyperlink>
          </w:p>
        </w:tc>
        <w:tc>
          <w:tcPr>
            <w:tcW w:w="1020" w:type="dxa"/>
            <w:vAlign w:val="bottom"/>
          </w:tcPr>
          <w:p>
            <w:pPr>
              <w:jc w:val="right"/>
              <w:spacing w:after="0" w:line="209" w:lineRule="exact"/>
              <w:rPr>
                <w:sz w:val="20"/>
                <w:szCs w:val="20"/>
                <w:color w:val="auto"/>
              </w:rPr>
            </w:pPr>
            <w:r>
              <w:rPr>
                <w:rFonts w:ascii="Arial" w:cs="Arial" w:eastAsia="Arial" w:hAnsi="Arial"/>
                <w:sz w:val="20"/>
                <w:szCs w:val="20"/>
                <w:color w:val="auto"/>
              </w:rPr>
              <w:t>75</w:t>
            </w:r>
          </w:p>
        </w:tc>
      </w:tr>
      <w:tr>
        <w:trPr>
          <w:trHeight w:val="20"/>
        </w:trPr>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8560" w:type="dxa"/>
            <w:vAlign w:val="bottom"/>
            <w:tcBorders>
              <w:bottom w:val="single" w:sz="8" w:color="0000EE"/>
            </w:tcBorders>
            <w:gridSpan w:val="6"/>
          </w:tcPr>
          <w:p>
            <w:pPr>
              <w:spacing w:after="0" w:line="209" w:lineRule="exact"/>
              <w:rPr>
                <w:rFonts w:ascii="Arial" w:cs="Arial" w:eastAsia="Arial" w:hAnsi="Arial"/>
                <w:sz w:val="20"/>
                <w:szCs w:val="20"/>
                <w:color w:val="0000EE"/>
                <w:w w:val="88"/>
              </w:rPr>
            </w:pPr>
            <w:hyperlink w:anchor="page50">
              <w:r>
                <w:rPr>
                  <w:rFonts w:ascii="Arial" w:cs="Arial" w:eastAsia="Arial" w:hAnsi="Arial"/>
                  <w:sz w:val="20"/>
                  <w:szCs w:val="20"/>
                  <w:color w:val="0000EE"/>
                  <w:w w:val="88"/>
                </w:rPr>
                <w:t>Consolidated Statements of Comprehensive Income for the years ended December 31, 2015, 2014 and 2013</w:t>
              </w:r>
            </w:hyperlink>
          </w:p>
        </w:tc>
        <w:tc>
          <w:tcPr>
            <w:tcW w:w="72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Arial" w:cs="Arial" w:eastAsia="Arial" w:hAnsi="Arial"/>
                <w:sz w:val="20"/>
                <w:szCs w:val="20"/>
                <w:color w:val="auto"/>
              </w:rPr>
              <w:t>76</w:t>
            </w:r>
          </w:p>
        </w:tc>
      </w:tr>
      <w:tr>
        <w:trPr>
          <w:trHeight w:val="210"/>
        </w:trPr>
        <w:tc>
          <w:tcPr>
            <w:tcW w:w="180" w:type="dxa"/>
            <w:vAlign w:val="bottom"/>
          </w:tcPr>
          <w:p>
            <w:pPr>
              <w:spacing w:after="0"/>
              <w:rPr>
                <w:sz w:val="18"/>
                <w:szCs w:val="18"/>
                <w:color w:val="auto"/>
              </w:rPr>
            </w:pPr>
          </w:p>
        </w:tc>
        <w:tc>
          <w:tcPr>
            <w:tcW w:w="9280" w:type="dxa"/>
            <w:vAlign w:val="bottom"/>
            <w:gridSpan w:val="7"/>
          </w:tcPr>
          <w:p>
            <w:pPr>
              <w:spacing w:after="0" w:line="209" w:lineRule="exact"/>
              <w:rPr>
                <w:rFonts w:ascii="Arial" w:cs="Arial" w:eastAsia="Arial" w:hAnsi="Arial"/>
                <w:sz w:val="20"/>
                <w:szCs w:val="20"/>
                <w:color w:val="0000EE"/>
                <w:w w:val="98"/>
              </w:rPr>
            </w:pPr>
            <w:hyperlink w:anchor="page51">
              <w:r>
                <w:rPr>
                  <w:rFonts w:ascii="Arial" w:cs="Arial" w:eastAsia="Arial" w:hAnsi="Arial"/>
                  <w:sz w:val="20"/>
                  <w:szCs w:val="20"/>
                  <w:color w:val="0000EE"/>
                  <w:w w:val="98"/>
                </w:rPr>
                <w:t>Consolidated Statements of Stockholders’ Equity for the years ended December 31, 2015, 2014 and 2013</w:t>
              </w:r>
            </w:hyperlink>
          </w:p>
        </w:tc>
        <w:tc>
          <w:tcPr>
            <w:tcW w:w="1020" w:type="dxa"/>
            <w:vAlign w:val="bottom"/>
          </w:tcPr>
          <w:p>
            <w:pPr>
              <w:jc w:val="right"/>
              <w:spacing w:after="0" w:line="209" w:lineRule="exact"/>
              <w:rPr>
                <w:sz w:val="20"/>
                <w:szCs w:val="20"/>
                <w:color w:val="auto"/>
              </w:rPr>
            </w:pPr>
            <w:r>
              <w:rPr>
                <w:rFonts w:ascii="Arial" w:cs="Arial" w:eastAsia="Arial" w:hAnsi="Arial"/>
                <w:sz w:val="20"/>
                <w:szCs w:val="20"/>
                <w:color w:val="auto"/>
              </w:rPr>
              <w:t>77</w:t>
            </w:r>
          </w:p>
        </w:tc>
      </w:tr>
      <w:tr>
        <w:trPr>
          <w:trHeight w:val="210"/>
        </w:trPr>
        <w:tc>
          <w:tcPr>
            <w:tcW w:w="180" w:type="dxa"/>
            <w:vAlign w:val="bottom"/>
          </w:tcPr>
          <w:p>
            <w:pPr>
              <w:spacing w:after="0"/>
              <w:rPr>
                <w:sz w:val="18"/>
                <w:szCs w:val="18"/>
                <w:color w:val="auto"/>
              </w:rPr>
            </w:pPr>
          </w:p>
        </w:tc>
        <w:tc>
          <w:tcPr>
            <w:tcW w:w="760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88"/>
              </w:rPr>
            </w:pPr>
            <w:hyperlink w:anchor="page51">
              <w:r>
                <w:rPr>
                  <w:rFonts w:ascii="Arial" w:cs="Arial" w:eastAsia="Arial" w:hAnsi="Arial"/>
                  <w:sz w:val="20"/>
                  <w:szCs w:val="20"/>
                  <w:color w:val="0000EE"/>
                  <w:w w:val="88"/>
                </w:rPr>
                <w:t>Consolidated Statements of Cash Flows for the years ended December 31, 2015, 2014 and 2013</w:t>
              </w:r>
            </w:hyperlink>
          </w:p>
        </w:tc>
        <w:tc>
          <w:tcPr>
            <w:tcW w:w="740" w:type="dxa"/>
            <w:vAlign w:val="bottom"/>
            <w:tcBorders>
              <w:top w:val="single" w:sz="8" w:color="0000EE"/>
            </w:tcBorders>
          </w:tcPr>
          <w:p>
            <w:pPr>
              <w:spacing w:after="0"/>
              <w:rPr>
                <w:sz w:val="18"/>
                <w:szCs w:val="18"/>
                <w:color w:val="auto"/>
              </w:rPr>
            </w:pPr>
          </w:p>
        </w:tc>
        <w:tc>
          <w:tcPr>
            <w:tcW w:w="940" w:type="dxa"/>
            <w:vAlign w:val="bottom"/>
            <w:gridSpan w:val="2"/>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Arial" w:cs="Arial" w:eastAsia="Arial" w:hAnsi="Arial"/>
                <w:sz w:val="20"/>
                <w:szCs w:val="20"/>
                <w:color w:val="auto"/>
              </w:rPr>
              <w:t>78</w:t>
            </w:r>
          </w:p>
        </w:tc>
      </w:tr>
      <w:tr>
        <w:trPr>
          <w:trHeight w:val="210"/>
        </w:trPr>
        <w:tc>
          <w:tcPr>
            <w:tcW w:w="180" w:type="dxa"/>
            <w:vAlign w:val="bottom"/>
          </w:tcPr>
          <w:p>
            <w:pPr>
              <w:spacing w:after="0"/>
              <w:rPr>
                <w:sz w:val="18"/>
                <w:szCs w:val="18"/>
                <w:color w:val="auto"/>
              </w:rPr>
            </w:pPr>
          </w:p>
        </w:tc>
        <w:tc>
          <w:tcPr>
            <w:tcW w:w="9280" w:type="dxa"/>
            <w:vAlign w:val="bottom"/>
            <w:gridSpan w:val="7"/>
          </w:tcPr>
          <w:p>
            <w:pPr>
              <w:spacing w:after="0" w:line="209" w:lineRule="exact"/>
              <w:rPr>
                <w:rFonts w:ascii="Arial" w:cs="Arial" w:eastAsia="Arial" w:hAnsi="Arial"/>
                <w:sz w:val="20"/>
                <w:szCs w:val="20"/>
                <w:color w:val="0000EE"/>
              </w:rPr>
            </w:pPr>
            <w:hyperlink w:anchor="page53">
              <w:r>
                <w:rPr>
                  <w:rFonts w:ascii="Arial" w:cs="Arial" w:eastAsia="Arial" w:hAnsi="Arial"/>
                  <w:sz w:val="20"/>
                  <w:szCs w:val="20"/>
                  <w:color w:val="0000EE"/>
                </w:rPr>
                <w:t>Notes to Consolidated Financial Statements</w:t>
              </w:r>
            </w:hyperlink>
          </w:p>
        </w:tc>
        <w:tc>
          <w:tcPr>
            <w:tcW w:w="1020" w:type="dxa"/>
            <w:vAlign w:val="bottom"/>
          </w:tcPr>
          <w:p>
            <w:pPr>
              <w:jc w:val="right"/>
              <w:spacing w:after="0" w:line="209" w:lineRule="exact"/>
              <w:rPr>
                <w:sz w:val="20"/>
                <w:szCs w:val="20"/>
                <w:color w:val="auto"/>
              </w:rPr>
            </w:pPr>
            <w:r>
              <w:rPr>
                <w:rFonts w:ascii="Arial" w:cs="Arial" w:eastAsia="Arial" w:hAnsi="Arial"/>
                <w:sz w:val="20"/>
                <w:szCs w:val="20"/>
                <w:color w:val="auto"/>
              </w:rPr>
              <w:t>80</w:t>
            </w:r>
          </w:p>
        </w:tc>
      </w:tr>
      <w:tr>
        <w:trPr>
          <w:trHeight w:val="20"/>
        </w:trPr>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3"/>
        </w:trPr>
        <w:tc>
          <w:tcPr>
            <w:tcW w:w="9460" w:type="dxa"/>
            <w:vAlign w:val="bottom"/>
            <w:gridSpan w:val="8"/>
          </w:tcPr>
          <w:p>
            <w:pPr>
              <w:spacing w:after="0"/>
              <w:rPr>
                <w:sz w:val="20"/>
                <w:szCs w:val="20"/>
                <w:color w:val="auto"/>
              </w:rPr>
            </w:pPr>
            <w:r>
              <w:rPr>
                <w:rFonts w:ascii="Arial" w:cs="Arial" w:eastAsia="Arial" w:hAnsi="Arial"/>
                <w:sz w:val="20"/>
                <w:szCs w:val="20"/>
                <w:color w:val="auto"/>
              </w:rPr>
              <w:t>Financial Statement Schedule:</w:t>
            </w:r>
          </w:p>
        </w:tc>
        <w:tc>
          <w:tcPr>
            <w:tcW w:w="1020" w:type="dxa"/>
            <w:vAlign w:val="bottom"/>
          </w:tcPr>
          <w:p>
            <w:pPr>
              <w:spacing w:after="0"/>
              <w:rPr>
                <w:sz w:val="24"/>
                <w:szCs w:val="24"/>
                <w:color w:val="auto"/>
              </w:rPr>
            </w:pPr>
          </w:p>
        </w:tc>
      </w:tr>
      <w:tr>
        <w:trPr>
          <w:trHeight w:val="206"/>
        </w:trPr>
        <w:tc>
          <w:tcPr>
            <w:tcW w:w="180" w:type="dxa"/>
            <w:vAlign w:val="bottom"/>
          </w:tcPr>
          <w:p>
            <w:pPr>
              <w:spacing w:after="0"/>
              <w:rPr>
                <w:sz w:val="17"/>
                <w:szCs w:val="17"/>
                <w:color w:val="auto"/>
              </w:rPr>
            </w:pPr>
          </w:p>
        </w:tc>
        <w:tc>
          <w:tcPr>
            <w:tcW w:w="9280" w:type="dxa"/>
            <w:vAlign w:val="bottom"/>
            <w:gridSpan w:val="7"/>
          </w:tcPr>
          <w:p>
            <w:pPr>
              <w:spacing w:after="0" w:line="206" w:lineRule="exact"/>
              <w:rPr>
                <w:rFonts w:ascii="Arial" w:cs="Arial" w:eastAsia="Arial" w:hAnsi="Arial"/>
                <w:sz w:val="20"/>
                <w:szCs w:val="20"/>
                <w:color w:val="0000EE"/>
              </w:rPr>
            </w:pPr>
            <w:hyperlink w:anchor="page79">
              <w:r>
                <w:rPr>
                  <w:rFonts w:ascii="Arial" w:cs="Arial" w:eastAsia="Arial" w:hAnsi="Arial"/>
                  <w:sz w:val="20"/>
                  <w:szCs w:val="20"/>
                  <w:color w:val="0000EE"/>
                </w:rPr>
                <w:t>Valuation and Qualifying Accounts for the years ended December 31, 2015, 2014 and 2013</w:t>
              </w:r>
            </w:hyperlink>
          </w:p>
        </w:tc>
        <w:tc>
          <w:tcPr>
            <w:tcW w:w="1020" w:type="dxa"/>
            <w:vAlign w:val="bottom"/>
          </w:tcPr>
          <w:p>
            <w:pPr>
              <w:jc w:val="right"/>
              <w:spacing w:after="0" w:line="206" w:lineRule="exact"/>
              <w:rPr>
                <w:sz w:val="20"/>
                <w:szCs w:val="20"/>
                <w:color w:val="auto"/>
              </w:rPr>
            </w:pPr>
            <w:r>
              <w:rPr>
                <w:rFonts w:ascii="Arial" w:cs="Arial" w:eastAsia="Arial" w:hAnsi="Arial"/>
                <w:sz w:val="20"/>
                <w:szCs w:val="20"/>
                <w:color w:val="auto"/>
              </w:rPr>
              <w:t>120</w:t>
            </w:r>
          </w:p>
        </w:tc>
      </w:tr>
      <w:tr>
        <w:trPr>
          <w:trHeight w:val="20"/>
        </w:trPr>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40" w:lineRule="exact"/>
        <w:rPr>
          <w:sz w:val="20"/>
          <w:szCs w:val="20"/>
          <w:color w:val="auto"/>
        </w:rPr>
      </w:pPr>
    </w:p>
    <w:p>
      <w:pPr>
        <w:ind w:left="940"/>
        <w:spacing w:after="0"/>
        <w:rPr>
          <w:sz w:val="20"/>
          <w:szCs w:val="20"/>
          <w:color w:val="auto"/>
        </w:rPr>
      </w:pPr>
      <w:r>
        <w:rPr>
          <w:rFonts w:ascii="Arial" w:cs="Arial" w:eastAsia="Arial" w:hAnsi="Arial"/>
          <w:sz w:val="20"/>
          <w:szCs w:val="20"/>
          <w:color w:val="auto"/>
        </w:rPr>
        <w:t>Exhibits:</w:t>
      </w:r>
    </w:p>
    <w:p>
      <w:pPr>
        <w:spacing w:after="0" w:line="16" w:lineRule="exact"/>
        <w:rPr>
          <w:sz w:val="20"/>
          <w:szCs w:val="20"/>
          <w:color w:val="auto"/>
        </w:rPr>
      </w:pPr>
    </w:p>
    <w:p>
      <w:pPr>
        <w:ind w:left="1120" w:right="1780"/>
        <w:spacing w:after="0" w:line="244" w:lineRule="auto"/>
        <w:rPr>
          <w:sz w:val="20"/>
          <w:szCs w:val="20"/>
          <w:color w:val="auto"/>
        </w:rPr>
      </w:pPr>
      <w:r>
        <w:rPr>
          <w:rFonts w:ascii="Arial" w:cs="Arial" w:eastAsia="Arial" w:hAnsi="Arial"/>
          <w:sz w:val="20"/>
          <w:szCs w:val="20"/>
          <w:color w:val="auto"/>
        </w:rPr>
        <w:t>The Exhibits listed in the Index of Exhibits, which appears immediately following the signature page and is incorporated herein by reference, as filed as part of this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2" w:right="239" w:bottom="100" w:gutter="0" w:footer="0" w:header="0"/>
        </w:sectPr>
      </w:pPr>
    </w:p>
    <w:bookmarkStart w:id="45" w:name="page46"/>
    <w:bookmarkEnd w:id="4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3740" w:type="dxa"/>
            <w:vAlign w:val="bottom"/>
          </w:tcPr>
          <w:p>
            <w:pPr>
              <w:ind w:left="920"/>
              <w:spacing w:after="0"/>
              <w:rPr>
                <w:sz w:val="20"/>
                <w:szCs w:val="20"/>
                <w:color w:val="auto"/>
              </w:rPr>
            </w:pPr>
            <w:r>
              <w:rPr>
                <w:rFonts w:ascii="Arial" w:cs="Arial" w:eastAsia="Arial" w:hAnsi="Arial"/>
                <w:sz w:val="20"/>
                <w:szCs w:val="20"/>
                <w:color w:val="auto"/>
              </w:rPr>
              <w:t>Rodney C. Sacks</w:t>
            </w:r>
          </w:p>
        </w:tc>
        <w:tc>
          <w:tcPr>
            <w:tcW w:w="2920" w:type="dxa"/>
            <w:vAlign w:val="bottom"/>
          </w:tcPr>
          <w:p>
            <w:pPr>
              <w:ind w:left="980"/>
              <w:spacing w:after="0"/>
              <w:rPr>
                <w:sz w:val="20"/>
                <w:szCs w:val="20"/>
                <w:color w:val="auto"/>
              </w:rPr>
            </w:pPr>
            <w:r>
              <w:rPr>
                <w:rFonts w:ascii="Arial" w:cs="Arial" w:eastAsia="Arial" w:hAnsi="Arial"/>
                <w:sz w:val="20"/>
                <w:szCs w:val="20"/>
                <w:color w:val="auto"/>
                <w:w w:val="88"/>
              </w:rPr>
              <w:t>Date: February 29, 2016</w:t>
            </w:r>
          </w:p>
        </w:tc>
      </w:tr>
      <w:tr>
        <w:trPr>
          <w:trHeight w:val="254"/>
        </w:trPr>
        <w:tc>
          <w:tcPr>
            <w:tcW w:w="1980" w:type="dxa"/>
            <w:vAlign w:val="bottom"/>
            <w:tcBorders>
              <w:top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3740" w:type="dxa"/>
            <w:vAlign w:val="bottom"/>
          </w:tcPr>
          <w:p>
            <w:pPr>
              <w:ind w:left="920"/>
              <w:spacing w:after="0"/>
              <w:rPr>
                <w:sz w:val="20"/>
                <w:szCs w:val="20"/>
                <w:color w:val="auto"/>
              </w:rPr>
            </w:pPr>
            <w:r>
              <w:rPr>
                <w:rFonts w:ascii="Arial" w:cs="Arial" w:eastAsia="Arial" w:hAnsi="Arial"/>
                <w:sz w:val="20"/>
                <w:szCs w:val="20"/>
                <w:color w:val="auto"/>
              </w:rPr>
              <w:t>Chairman of the Board</w:t>
            </w:r>
          </w:p>
        </w:tc>
        <w:tc>
          <w:tcPr>
            <w:tcW w:w="2920" w:type="dxa"/>
            <w:vAlign w:val="bottom"/>
          </w:tcPr>
          <w:p>
            <w:pPr>
              <w:spacing w:after="0"/>
              <w:rPr>
                <w:sz w:val="22"/>
                <w:szCs w:val="22"/>
                <w:color w:val="auto"/>
              </w:rPr>
            </w:pPr>
          </w:p>
        </w:tc>
      </w:tr>
    </w:tbl>
    <w:p>
      <w:pPr>
        <w:spacing w:after="0" w:line="209"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20"/>
                <w:szCs w:val="20"/>
                <w:color w:val="auto"/>
              </w:rPr>
              <w:t>Signature</w:t>
            </w:r>
          </w:p>
        </w:tc>
        <w:tc>
          <w:tcPr>
            <w:tcW w:w="2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Title</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87"/>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RODNEY C. SACKS</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Chairman of the Board of</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199"/>
        </w:trPr>
        <w:tc>
          <w:tcPr>
            <w:tcW w:w="3520" w:type="dxa"/>
            <w:vAlign w:val="bottom"/>
            <w:gridSpan w:val="2"/>
          </w:tcPr>
          <w:p>
            <w:pPr>
              <w:spacing w:after="0" w:line="199" w:lineRule="exact"/>
              <w:rPr>
                <w:sz w:val="20"/>
                <w:szCs w:val="20"/>
                <w:color w:val="auto"/>
              </w:rPr>
            </w:pPr>
            <w:r>
              <w:rPr>
                <w:rFonts w:ascii="Arial" w:cs="Arial" w:eastAsia="Arial" w:hAnsi="Arial"/>
                <w:sz w:val="20"/>
                <w:szCs w:val="20"/>
                <w:color w:val="auto"/>
              </w:rPr>
              <w:t>Rodney C. Sacks</w:t>
            </w:r>
          </w:p>
        </w:tc>
        <w:tc>
          <w:tcPr>
            <w:tcW w:w="220" w:type="dxa"/>
            <w:vAlign w:val="bottom"/>
          </w:tcPr>
          <w:p>
            <w:pPr>
              <w:spacing w:after="0"/>
              <w:rPr>
                <w:sz w:val="17"/>
                <w:szCs w:val="17"/>
                <w:color w:val="auto"/>
              </w:rPr>
            </w:pPr>
          </w:p>
        </w:tc>
        <w:tc>
          <w:tcPr>
            <w:tcW w:w="3940" w:type="dxa"/>
            <w:vAlign w:val="bottom"/>
            <w:gridSpan w:val="2"/>
          </w:tcPr>
          <w:p>
            <w:pPr>
              <w:spacing w:after="0" w:line="199" w:lineRule="exact"/>
              <w:rPr>
                <w:sz w:val="20"/>
                <w:szCs w:val="20"/>
                <w:color w:val="auto"/>
              </w:rPr>
            </w:pPr>
            <w:r>
              <w:rPr>
                <w:rFonts w:ascii="Arial" w:cs="Arial" w:eastAsia="Arial" w:hAnsi="Arial"/>
                <w:sz w:val="20"/>
                <w:szCs w:val="20"/>
                <w:color w:val="auto"/>
              </w:rPr>
              <w:t>Directors and Chief Executive</w:t>
            </w: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Officer (principal executive</w:t>
            </w: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officer)</w:t>
            </w: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62"/>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HILTON H. SCHLOSBERG</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Vice Chairman of the Board of</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199"/>
        </w:trPr>
        <w:tc>
          <w:tcPr>
            <w:tcW w:w="3520" w:type="dxa"/>
            <w:vAlign w:val="bottom"/>
            <w:gridSpan w:val="2"/>
          </w:tcPr>
          <w:p>
            <w:pPr>
              <w:spacing w:after="0" w:line="199" w:lineRule="exact"/>
              <w:rPr>
                <w:sz w:val="20"/>
                <w:szCs w:val="20"/>
                <w:color w:val="auto"/>
              </w:rPr>
            </w:pPr>
            <w:r>
              <w:rPr>
                <w:rFonts w:ascii="Arial" w:cs="Arial" w:eastAsia="Arial" w:hAnsi="Arial"/>
                <w:sz w:val="20"/>
                <w:szCs w:val="20"/>
                <w:color w:val="auto"/>
              </w:rPr>
              <w:t>Hilton H. Schlosberg</w:t>
            </w:r>
          </w:p>
        </w:tc>
        <w:tc>
          <w:tcPr>
            <w:tcW w:w="220" w:type="dxa"/>
            <w:vAlign w:val="bottom"/>
          </w:tcPr>
          <w:p>
            <w:pPr>
              <w:spacing w:after="0"/>
              <w:rPr>
                <w:sz w:val="17"/>
                <w:szCs w:val="17"/>
                <w:color w:val="auto"/>
              </w:rPr>
            </w:pPr>
          </w:p>
        </w:tc>
        <w:tc>
          <w:tcPr>
            <w:tcW w:w="3940" w:type="dxa"/>
            <w:vAlign w:val="bottom"/>
            <w:gridSpan w:val="2"/>
          </w:tcPr>
          <w:p>
            <w:pPr>
              <w:spacing w:after="0" w:line="199" w:lineRule="exact"/>
              <w:rPr>
                <w:sz w:val="20"/>
                <w:szCs w:val="20"/>
                <w:color w:val="auto"/>
              </w:rPr>
            </w:pPr>
            <w:r>
              <w:rPr>
                <w:rFonts w:ascii="Arial" w:cs="Arial" w:eastAsia="Arial" w:hAnsi="Arial"/>
                <w:sz w:val="20"/>
                <w:szCs w:val="20"/>
                <w:color w:val="auto"/>
              </w:rPr>
              <w:t>Directors, President, Chief</w:t>
            </w: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Operating Officer, Chief</w:t>
            </w: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Financial Officer and Secretary</w:t>
            </w: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(principal financial officer,</w:t>
            </w: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controller and principal</w:t>
            </w: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accounting officer)</w:t>
            </w: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62"/>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NORMAN C. EPSTEIN</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250"/>
        </w:trPr>
        <w:tc>
          <w:tcPr>
            <w:tcW w:w="3520" w:type="dxa"/>
            <w:vAlign w:val="bottom"/>
            <w:gridSpan w:val="2"/>
          </w:tcPr>
          <w:p>
            <w:pPr>
              <w:spacing w:after="0"/>
              <w:rPr>
                <w:sz w:val="20"/>
                <w:szCs w:val="20"/>
                <w:color w:val="auto"/>
              </w:rPr>
            </w:pPr>
            <w:r>
              <w:rPr>
                <w:rFonts w:ascii="Arial" w:cs="Arial" w:eastAsia="Arial" w:hAnsi="Arial"/>
                <w:sz w:val="20"/>
                <w:szCs w:val="20"/>
                <w:color w:val="auto"/>
              </w:rPr>
              <w:t>Norman C. Epstein</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45"/>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MARK J. HALL</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250"/>
        </w:trPr>
        <w:tc>
          <w:tcPr>
            <w:tcW w:w="3520" w:type="dxa"/>
            <w:vAlign w:val="bottom"/>
            <w:gridSpan w:val="2"/>
          </w:tcPr>
          <w:p>
            <w:pPr>
              <w:spacing w:after="0"/>
              <w:rPr>
                <w:sz w:val="20"/>
                <w:szCs w:val="20"/>
                <w:color w:val="auto"/>
              </w:rPr>
            </w:pPr>
            <w:r>
              <w:rPr>
                <w:rFonts w:ascii="Arial" w:cs="Arial" w:eastAsia="Arial" w:hAnsi="Arial"/>
                <w:sz w:val="20"/>
                <w:szCs w:val="20"/>
                <w:color w:val="auto"/>
              </w:rPr>
              <w:t>Mark J. Hall</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45"/>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GARY P. FAYARD</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250"/>
        </w:trPr>
        <w:tc>
          <w:tcPr>
            <w:tcW w:w="3520" w:type="dxa"/>
            <w:vAlign w:val="bottom"/>
            <w:gridSpan w:val="2"/>
          </w:tcPr>
          <w:p>
            <w:pPr>
              <w:spacing w:after="0"/>
              <w:rPr>
                <w:sz w:val="20"/>
                <w:szCs w:val="20"/>
                <w:color w:val="auto"/>
              </w:rPr>
            </w:pPr>
            <w:r>
              <w:rPr>
                <w:rFonts w:ascii="Arial" w:cs="Arial" w:eastAsia="Arial" w:hAnsi="Arial"/>
                <w:sz w:val="20"/>
                <w:szCs w:val="20"/>
                <w:color w:val="auto"/>
              </w:rPr>
              <w:t>Gary P. Fayard</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45"/>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BENJAMIN M. POLK</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250"/>
        </w:trPr>
        <w:tc>
          <w:tcPr>
            <w:tcW w:w="3520" w:type="dxa"/>
            <w:vAlign w:val="bottom"/>
            <w:gridSpan w:val="2"/>
          </w:tcPr>
          <w:p>
            <w:pPr>
              <w:spacing w:after="0"/>
              <w:rPr>
                <w:sz w:val="20"/>
                <w:szCs w:val="20"/>
                <w:color w:val="auto"/>
              </w:rPr>
            </w:pPr>
            <w:r>
              <w:rPr>
                <w:rFonts w:ascii="Arial" w:cs="Arial" w:eastAsia="Arial" w:hAnsi="Arial"/>
                <w:sz w:val="20"/>
                <w:szCs w:val="20"/>
                <w:color w:val="auto"/>
              </w:rPr>
              <w:t>Benjamin M. Polk</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45"/>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SYDNEY SELATI</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250"/>
        </w:trPr>
        <w:tc>
          <w:tcPr>
            <w:tcW w:w="3520" w:type="dxa"/>
            <w:vAlign w:val="bottom"/>
            <w:gridSpan w:val="2"/>
          </w:tcPr>
          <w:p>
            <w:pPr>
              <w:spacing w:after="0"/>
              <w:rPr>
                <w:sz w:val="20"/>
                <w:szCs w:val="20"/>
                <w:color w:val="auto"/>
              </w:rPr>
            </w:pPr>
            <w:r>
              <w:rPr>
                <w:rFonts w:ascii="Arial" w:cs="Arial" w:eastAsia="Arial" w:hAnsi="Arial"/>
                <w:sz w:val="20"/>
                <w:szCs w:val="20"/>
                <w:color w:val="auto"/>
              </w:rPr>
              <w:t>Sydney Selati</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45"/>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HAROLD C. TABER, JR.</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250"/>
        </w:trPr>
        <w:tc>
          <w:tcPr>
            <w:tcW w:w="3520" w:type="dxa"/>
            <w:vAlign w:val="bottom"/>
            <w:gridSpan w:val="2"/>
          </w:tcPr>
          <w:p>
            <w:pPr>
              <w:spacing w:after="0"/>
              <w:rPr>
                <w:sz w:val="20"/>
                <w:szCs w:val="20"/>
                <w:color w:val="auto"/>
              </w:rPr>
            </w:pPr>
            <w:r>
              <w:rPr>
                <w:rFonts w:ascii="Arial" w:cs="Arial" w:eastAsia="Arial" w:hAnsi="Arial"/>
                <w:sz w:val="20"/>
                <w:szCs w:val="20"/>
                <w:color w:val="auto"/>
              </w:rPr>
              <w:t>Harold C. Taber, Jr.</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45"/>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MARK S. VIDERGAUZ</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250"/>
        </w:trPr>
        <w:tc>
          <w:tcPr>
            <w:tcW w:w="3520" w:type="dxa"/>
            <w:vAlign w:val="bottom"/>
            <w:gridSpan w:val="2"/>
          </w:tcPr>
          <w:p>
            <w:pPr>
              <w:spacing w:after="0"/>
              <w:rPr>
                <w:sz w:val="20"/>
                <w:szCs w:val="20"/>
                <w:color w:val="auto"/>
              </w:rPr>
            </w:pPr>
            <w:r>
              <w:rPr>
                <w:rFonts w:ascii="Arial" w:cs="Arial" w:eastAsia="Arial" w:hAnsi="Arial"/>
                <w:sz w:val="20"/>
                <w:szCs w:val="20"/>
                <w:color w:val="auto"/>
              </w:rPr>
              <w:t>Mark S. Vidergauz</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45"/>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KATHY N WALLER</w:t>
            </w:r>
          </w:p>
        </w:tc>
        <w:tc>
          <w:tcPr>
            <w:tcW w:w="2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3780" w:type="dxa"/>
            <w:vAlign w:val="bottom"/>
            <w:gridSpan w:val="3"/>
          </w:tcPr>
          <w:p>
            <w:pPr>
              <w:ind w:left="1440"/>
              <w:spacing w:after="0"/>
              <w:rPr>
                <w:sz w:val="20"/>
                <w:szCs w:val="20"/>
                <w:color w:val="auto"/>
              </w:rPr>
            </w:pPr>
            <w:r>
              <w:rPr>
                <w:rFonts w:ascii="Arial" w:cs="Arial" w:eastAsia="Arial" w:hAnsi="Arial"/>
                <w:sz w:val="20"/>
                <w:szCs w:val="20"/>
                <w:color w:val="auto"/>
              </w:rPr>
              <w:t>February 29, 2016</w:t>
            </w:r>
          </w:p>
        </w:tc>
      </w:tr>
      <w:tr>
        <w:trPr>
          <w:trHeight w:val="250"/>
        </w:trPr>
        <w:tc>
          <w:tcPr>
            <w:tcW w:w="3520" w:type="dxa"/>
            <w:vAlign w:val="bottom"/>
            <w:gridSpan w:val="2"/>
          </w:tcPr>
          <w:p>
            <w:pPr>
              <w:spacing w:after="0"/>
              <w:rPr>
                <w:sz w:val="20"/>
                <w:szCs w:val="20"/>
                <w:color w:val="auto"/>
              </w:rPr>
            </w:pPr>
            <w:r>
              <w:rPr>
                <w:rFonts w:ascii="Arial" w:cs="Arial" w:eastAsia="Arial" w:hAnsi="Arial"/>
                <w:sz w:val="20"/>
                <w:szCs w:val="20"/>
                <w:color w:val="auto"/>
              </w:rPr>
              <w:t>Kathy N. Waller</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05"/>
        </w:trPr>
        <w:tc>
          <w:tcPr>
            <w:tcW w:w="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160" w:type="dxa"/>
            <w:vAlign w:val="bottom"/>
            <w:gridSpan w:val="3"/>
          </w:tcPr>
          <w:p>
            <w:pPr>
              <w:jc w:val="right"/>
              <w:ind w:right="1880"/>
              <w:spacing w:after="0"/>
              <w:rPr>
                <w:sz w:val="20"/>
                <w:szCs w:val="20"/>
                <w:color w:val="auto"/>
              </w:rPr>
            </w:pPr>
            <w:r>
              <w:rPr>
                <w:rFonts w:ascii="Arial" w:cs="Arial" w:eastAsia="Arial" w:hAnsi="Arial"/>
                <w:sz w:val="16"/>
                <w:szCs w:val="16"/>
                <w:color w:val="auto"/>
              </w:rPr>
              <w:t>68</w:t>
            </w: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38"/>
        </w:trPr>
        <w:tc>
          <w:tcPr>
            <w:tcW w:w="76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EXHIBITS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180" w:type="dxa"/>
            <w:vAlign w:val="bottom"/>
            <w:tcBorders>
              <w:top w:val="single" w:sz="8" w:color="auto"/>
              <w:left w:val="single" w:sz="8" w:color="auto"/>
              <w:right w:val="single" w:sz="8" w:color="auto"/>
            </w:tcBorders>
          </w:tcPr>
          <w:p>
            <w:pPr>
              <w:jc w:val="right"/>
              <w:ind w:right="741"/>
              <w:spacing w:after="0" w:line="227" w:lineRule="exact"/>
              <w:rPr>
                <w:sz w:val="20"/>
                <w:szCs w:val="20"/>
                <w:color w:val="auto"/>
              </w:rPr>
            </w:pPr>
            <w:r>
              <w:rPr>
                <w:rFonts w:ascii="Arial" w:cs="Arial" w:eastAsia="Arial" w:hAnsi="Arial"/>
                <w:sz w:val="20"/>
                <w:szCs w:val="20"/>
                <w:color w:val="auto"/>
              </w:rPr>
              <w:t>2.1</w:t>
            </w:r>
          </w:p>
        </w:tc>
        <w:tc>
          <w:tcPr>
            <w:tcW w:w="10120" w:type="dxa"/>
            <w:vAlign w:val="bottom"/>
            <w:tcBorders>
              <w:top w:val="single" w:sz="8" w:color="auto"/>
              <w:right w:val="single" w:sz="8" w:color="auto"/>
            </w:tcBorders>
          </w:tcPr>
          <w:p>
            <w:pPr>
              <w:ind w:left="80"/>
              <w:spacing w:after="0" w:line="227" w:lineRule="exact"/>
              <w:rPr>
                <w:sz w:val="20"/>
                <w:szCs w:val="20"/>
                <w:color w:val="auto"/>
              </w:rPr>
            </w:pPr>
            <w:r>
              <w:rPr>
                <w:rFonts w:ascii="Arial" w:cs="Arial" w:eastAsia="Arial" w:hAnsi="Arial"/>
                <w:sz w:val="20"/>
                <w:szCs w:val="20"/>
                <w:color w:val="auto"/>
                <w:w w:val="90"/>
              </w:rPr>
              <w:t>Transaction Agreement, dated as of August 14, 2014, by and among Monster Beverage Corporation, New Laser Corporation,</w:t>
            </w:r>
          </w:p>
        </w:tc>
      </w:tr>
      <w:tr>
        <w:trPr>
          <w:trHeight w:val="230"/>
        </w:trPr>
        <w:tc>
          <w:tcPr>
            <w:tcW w:w="118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1"/>
              </w:rPr>
              <w:t>New Laser Merger Corp, The Coca-Cola Company and European Refreshments (incorporated by reference to Exhibit 2.1 to</w:t>
            </w:r>
          </w:p>
        </w:tc>
      </w:tr>
      <w:tr>
        <w:trPr>
          <w:trHeight w:val="246"/>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our Form 8-K dated August 18, 2014).</w:t>
            </w:r>
          </w:p>
        </w:tc>
      </w:tr>
      <w:tr>
        <w:trPr>
          <w:trHeight w:val="206"/>
        </w:trPr>
        <w:tc>
          <w:tcPr>
            <w:tcW w:w="1180" w:type="dxa"/>
            <w:vAlign w:val="bottom"/>
            <w:tcBorders>
              <w:left w:val="single" w:sz="8" w:color="auto"/>
              <w:right w:val="single" w:sz="8" w:color="auto"/>
            </w:tcBorders>
          </w:tcPr>
          <w:p>
            <w:pPr>
              <w:jc w:val="right"/>
              <w:ind w:right="741"/>
              <w:spacing w:after="0" w:line="207" w:lineRule="exact"/>
              <w:rPr>
                <w:sz w:val="20"/>
                <w:szCs w:val="20"/>
                <w:color w:val="auto"/>
              </w:rPr>
            </w:pPr>
            <w:r>
              <w:rPr>
                <w:rFonts w:ascii="Arial" w:cs="Arial" w:eastAsia="Arial" w:hAnsi="Arial"/>
                <w:sz w:val="20"/>
                <w:szCs w:val="20"/>
                <w:color w:val="auto"/>
              </w:rPr>
              <w:t>2.2</w:t>
            </w:r>
          </w:p>
        </w:tc>
        <w:tc>
          <w:tcPr>
            <w:tcW w:w="10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8"/>
              </w:rPr>
              <w:t>Asset Transfer Agreement, dated as of August 14, 2014, by and among Monster Beverage Corporation, New Laser</w:t>
            </w:r>
          </w:p>
        </w:tc>
      </w:tr>
      <w:tr>
        <w:trPr>
          <w:trHeight w:val="230"/>
        </w:trPr>
        <w:tc>
          <w:tcPr>
            <w:tcW w:w="118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3"/>
              </w:rPr>
              <w:t>Corporation and The Coca-Cola Company Refreshments (incorporated by reference to Exhibit 2.2 to our Form 8-K dated</w:t>
            </w:r>
          </w:p>
        </w:tc>
      </w:tr>
      <w:tr>
        <w:trPr>
          <w:trHeight w:val="246"/>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August 18, 2014).</w:t>
            </w:r>
          </w:p>
        </w:tc>
      </w:tr>
    </w:tbl>
    <w:p>
      <w:pPr>
        <w:sectPr>
          <w:pgSz w:w="11900" w:h="16900" w:orient="portrait"/>
          <w:cols w:equalWidth="0" w:num="1">
            <w:col w:w="11460"/>
          </w:cols>
          <w:pgMar w:left="240" w:top="125" w:right="19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Borders>
              <w:top w:val="single" w:sz="8" w:color="auto"/>
              <w:left w:val="single" w:sz="8" w:color="auto"/>
              <w:right w:val="single" w:sz="8" w:color="auto"/>
            </w:tcBorders>
          </w:tcPr>
          <w:p>
            <w:pPr>
              <w:ind w:left="80"/>
              <w:spacing w:after="0" w:line="213" w:lineRule="exact"/>
              <w:rPr>
                <w:sz w:val="20"/>
                <w:szCs w:val="20"/>
                <w:color w:val="auto"/>
              </w:rPr>
            </w:pPr>
            <w:r>
              <w:rPr>
                <w:rFonts w:ascii="Arial" w:cs="Arial" w:eastAsia="Arial" w:hAnsi="Arial"/>
                <w:sz w:val="20"/>
                <w:szCs w:val="20"/>
                <w:color w:val="auto"/>
              </w:rPr>
              <w:t>3.1</w:t>
            </w:r>
          </w:p>
        </w:tc>
        <w:tc>
          <w:tcPr>
            <w:tcW w:w="10120" w:type="dxa"/>
            <w:vAlign w:val="bottom"/>
            <w:tcBorders>
              <w:top w:val="single" w:sz="8" w:color="auto"/>
              <w:right w:val="single" w:sz="8" w:color="auto"/>
            </w:tcBorders>
            <w:gridSpan w:val="2"/>
          </w:tcPr>
          <w:p>
            <w:pPr>
              <w:ind w:left="80"/>
              <w:spacing w:after="0" w:line="213" w:lineRule="exact"/>
              <w:rPr>
                <w:sz w:val="20"/>
                <w:szCs w:val="20"/>
                <w:color w:val="auto"/>
              </w:rPr>
            </w:pPr>
            <w:r>
              <w:rPr>
                <w:rFonts w:ascii="Arial" w:cs="Arial" w:eastAsia="Arial" w:hAnsi="Arial"/>
                <w:sz w:val="20"/>
                <w:szCs w:val="20"/>
                <w:color w:val="auto"/>
                <w:w w:val="93"/>
              </w:rPr>
              <w:t>Certificate of Incorporation of the Company, as amended (incorporated by reference to Exhibit 3.1 to our Form 8-K dated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June 18, 2015).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3.2</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4"/>
              </w:rPr>
              <w:t>Second Amended and Restated Bylaws of the Company (incorporated by reference to Exhibit 3.2 to our Form 8-K dated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June 18, 2015).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0"/>
              </w:rPr>
              <w:t>Amended and Restated Distribution Coordination Agreement, dated as of June 12, 2015, between Monster Energy Company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and The Coca-Cola Company (incorporated by reference to Exhibit 10.1 to our 10-Q dated August 10, 2015).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4"/>
              </w:rPr>
              <w:t>Amended and Restated International Distribution Coordination Agreement, dated as of June 12, 2015, between Monster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2"/>
              </w:rPr>
              <w:t>Energy Ltd. and Monster Energy Company and The Coca-Cola Company (incorporated by reference to Exhibit 10.2 to our</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10-Q dated August 10, 2015).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10.3+</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Form of Amendment to Stock Option Agreement (relating to the amendment of certain stock option agreements between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0"/>
              </w:rPr>
              <w:t>Hansen Natural Corporation and its executive officers and directors) (incorporated by reference to Exhibit 10.1 to our Form 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K dated January 8, 2007).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10.4</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8"/>
              </w:rPr>
              <w:t>Form of Indemnification Agreement (to be provided by Hansen Natural Corporation to its directors) (incorporated by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reference to Exhibit 10.1 to our Form 8-K dated November 14, 2005).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10.5+</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Harold Taber (made as of November 11, 2005)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10.42 to our Form 10-K dated March 15, 2006).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10.6+</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2"/>
              </w:rPr>
              <w:t>Stock Option Agreement between Hansen Natural Corporation and Hilton H. Schlosberg (made as of November 11, 2005)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10.46 to our Form 10-K dated March 15, 2006).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10.7+</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5"/>
              </w:rPr>
              <w:t>Stock Option Agreement between Hansen Natural Corporation and Rodney C. Sacks (made as of November 11, 2005)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10.47 to our Form 10-K dated March 15, 2006).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10.8+</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2"/>
              </w:rPr>
              <w:t>Hansen Natural Corporation 2001 Amended and Restated Stock Option Plan (incorporated by reference to Exhibit A to our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Proxy Statement dated September 25, 2007).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10.9</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8"/>
              </w:rPr>
              <w:t>Business Loan Agreement between Hansen Beverage Company and Comerica Bank (incorporated by reference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Exhibit 10.1 to our Form 10-Q dated August 9, 2007).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10.10</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Monster Energy International Distribution Agreement, dated October 3, 2008, between Tauranga Ltd, trading as Monster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3"/>
              </w:rPr>
              <w:t>Energy, and Coca-Cola Enterprises Inc. (incorporated by reference to exhibit 10.5 to our Form 10-Q dated November 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120" w:type="dxa"/>
            <w:vAlign w:val="bottom"/>
            <w:gridSpan w:val="2"/>
          </w:tcPr>
          <w:p>
            <w:pPr>
              <w:ind w:left="4460"/>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gridSpan w:val="2"/>
          </w:tcPr>
          <w:p>
            <w:pPr>
              <w:spacing w:after="0"/>
              <w:rPr>
                <w:sz w:val="11"/>
                <w:szCs w:val="11"/>
                <w:color w:val="auto"/>
              </w:rPr>
            </w:pPr>
          </w:p>
        </w:tc>
        <w:tc>
          <w:tcPr>
            <w:tcW w:w="10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3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0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10.11</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0"/>
              </w:rPr>
              <w:t>Monster Energy Belgium Distribution Agreement, dated October 3, 2008, between Tauranga Ltd, trading as Monster Energy,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4"/>
              </w:rPr>
              <w:t>and Coca-Cola Enterprises Inc. (incorporated by reference to Exhibit 10.6 to our Form 10-Q dated November 10, 2008).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10.12+</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89"/>
              </w:rPr>
              <w:t>Stock Option Agreement between Hansen Natural Corporation and Rodney C. Sacks (made as of June 2, 2008) (incorporated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10.44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10.13A+</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Amendment to Stock Option Agreement between Hansen Natural Corporation and Rodney C. Sacks (made as of August 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2008) (incorporated by reference to Exhibit 10.44A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10.14+</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Hilton H. Schlosberg (made as of June 2, 2008)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10.45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10.15A+</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7"/>
              </w:rPr>
              <w:t>Amendment to Stock Option Agreement between Hansen Natural Corporation and Hilton H. Schlosberg (made as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August 2, 2008) (incorporated by reference to Exhibit 10.45A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10.16+</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0"/>
              </w:rPr>
              <w:t>Stock Option Agreement between Hansen Natural Corporation and Thomas J. Kelly (made as of June 2, 2008) (incorporated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10.47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10.17+</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2"/>
              </w:rPr>
              <w:t>2009 Hansen Natural Corporation Stock Incentive Plan for Non-Employee Directors (incorporated by reference to Exhibit A</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to our Proxy Statement dated April 24, 2009).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10.18+</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0"/>
              </w:rPr>
              <w:t>Stock Option Agreement between Hansen Natural Corporation and Thomas J. Kelly (made as of June 1, 2009) (incorporated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10.49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10.19+</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6"/>
              </w:rPr>
              <w:t>Stock Option Agreement between Hansen Natural Corporation and Rodney C. Sacks (made as of December 1, 2009)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10.51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10.20+</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Stock Option Agreement between Hansen Natural Corporation and Hilton H. Schlosberg (made as of December 1, 2009)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10.52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10.21+</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89"/>
              </w:rPr>
              <w:t>Stock Option Agreement between Hansen Natural Corporation and Mark J. Hall (made as of December 1, 2009) (incorporated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10.53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10.22+</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Thomas J. Kelly (made as of December 1, 2009)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10.55 to our Form 10-K dated March 1, 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10.23+</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Thomas J. Kelly (made as of December 1, 2010)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10.53 to our Form 10-K dated March 1, 2011).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10.24+</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89"/>
              </w:rPr>
              <w:t>Stock Option Agreement between Hansen Natural Corporation and Mark J. Hall (made as of December 1, 2010) (incorporated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10.54 to our Form 10-K dated March 1, 2011).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10.25+</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Form of Restricted Stock Unit Agreement pursuant to the 2009 Hansen Natural Corporation Stock Incentive Plan for Non-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Employee Directors (incorporated by reference to Exhibit 10.55 to our Form 10-K dated March 1, 2011).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10.26+</w:t>
            </w:r>
          </w:p>
        </w:tc>
        <w:tc>
          <w:tcPr>
            <w:tcW w:w="1012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w w:val="94"/>
              </w:rPr>
              <w:t>Form of Restricted Stock Agreement (incorporated by reference to Exhibit 10.1 to our Form 10-Q dated August 9, 2011).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10.27+</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4"/>
              </w:rPr>
              <w:t>Monster Beverage Corporation 2011 Omnibus Incentive Plan (incorporated by reference to Exhibit 10.1 to our Form 8-K</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dated May 24, 2011).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10.28+</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Agreement between the Company and Mark Hall, dated March 12, 2015 (incorporated by reference to Exhibit 10.1 to our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Form 10-Q dated May 11, 2015).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10.29+</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6"/>
              </w:rPr>
              <w:t>Employment Agreement between Monster Beverage Corporation and Rodney C. Sacks (incorporated by reference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Exhibit 10.1 to our Form 8-K dated March 19, 2014).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-6090285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-6090285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0" w:right="19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120" w:type="dxa"/>
            <w:vAlign w:val="bottom"/>
            <w:gridSpan w:val="2"/>
          </w:tcPr>
          <w:p>
            <w:pPr>
              <w:ind w:left="4460"/>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10020" w:type="dxa"/>
            <w:vAlign w:val="bottom"/>
            <w:tcBorders>
              <w:bottom w:val="single" w:sz="8" w:color="auto"/>
            </w:tcBorders>
          </w:tcPr>
          <w:p>
            <w:pPr>
              <w:spacing w:after="0"/>
              <w:rPr>
                <w:sz w:val="20"/>
                <w:szCs w:val="20"/>
                <w:color w:val="auto"/>
              </w:rPr>
            </w:pP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10.30+</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4"/>
              </w:rPr>
              <w:t>Employment Agreement between Monster Beverage Corporation and Hilton H. Schlosberg (incorporated by reference to</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Exhibit 10.2 to our Form 8-K dated March 19, 2014).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21*</w:t>
            </w:r>
          </w:p>
        </w:tc>
        <w:tc>
          <w:tcPr>
            <w:tcW w:w="1012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Subsidiaries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23*</w:t>
            </w:r>
          </w:p>
        </w:tc>
        <w:tc>
          <w:tcPr>
            <w:tcW w:w="1012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Consent of Independent Registered Public Accounting Firm</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31.1*</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Certification by CEO pursuant to Rule 13A-14(a) or 15D-14(a) of the Securities Exchange Act of 1934, as adopted pursuant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to Section 302 of the Sarbanes-Oxley Act of 2002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31.2*</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89"/>
              </w:rPr>
              <w:t>Certification by CFO pursuant to Rule 13A-14(a) or 15D-14(a) of the Securities Exchange Act of 1934, as adopted pursuant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Section 302 of the Sarbanes-Oxley Act of 2002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32.1*</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Certification by CEO pursuant to 18 U.S.C. Section 1350, as adopted pursuant to Section 906 of the Sarbanes-Oxley Act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2002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32.2*</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Certification by CFO pursuant to 18 U.S.C. Section 1350, as adopted pursuant to Section 906 of the Sarbanes-Oxley Act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2002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w:t>
            </w:r>
          </w:p>
        </w:tc>
        <w:tc>
          <w:tcPr>
            <w:tcW w:w="101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7"/>
              </w:rPr>
              <w:t>The following materials from Monster Beverage Corporation’s Annual Report on Form 10-K for the fiscal year ended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9"/>
              </w:rPr>
              <w:t>December 31, 2014 are furnished herewith, formatted in XBRL (eXtensible Business Reporting Language): (i) the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1"/>
              </w:rPr>
              <w:t>Consolidated Balance Sheets as of December 31, 2015 and 2014, (ii) the Consolidated Statements of Income for the years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3"/>
              </w:rPr>
              <w:t>ended December 31, 2015, 2014 and 2013, (iii) the Consolidated Statements of Stockholders’ Equity for the years ended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9"/>
              </w:rPr>
              <w:t>December 31, 2015, 2014 and 2013, (iv) Consolidated Statements of Comprehensive Income for the years ended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tcBorders>
              <w:left w:val="single" w:sz="8" w:color="auto"/>
              <w:right w:val="single" w:sz="8" w:color="auto"/>
            </w:tcBorders>
          </w:tcPr>
          <w:p>
            <w:pPr>
              <w:spacing w:after="0"/>
              <w:rPr>
                <w:sz w:val="19"/>
                <w:szCs w:val="19"/>
                <w:color w:val="auto"/>
              </w:rPr>
            </w:pPr>
          </w:p>
        </w:tc>
        <w:tc>
          <w:tcPr>
            <w:tcW w:w="101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88"/>
              </w:rPr>
              <w:t>December 31, 2015, 2014 and 2013, (v) Consolidated Statements of Cash Flows for the years ended December 31, 2015, 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01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and 2013, and (vi) the Notes to Consolidated Financial Statements.</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-3371850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-3371850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53"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Filed herewith.</w:t>
      </w:r>
    </w:p>
    <w:p>
      <w:pPr>
        <w:ind w:left="280" w:hanging="272"/>
        <w:spacing w:after="0" w:line="192" w:lineRule="auto"/>
        <w:tabs>
          <w:tab w:leader="none" w:pos="28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Management contract or compensatory plans or arrangements.</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CONSOLIDATED FINANCIAL STATEMENTS AND FINANCIAL STATEMENT SCHEDULE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140" w:type="dxa"/>
            <w:vAlign w:val="bottom"/>
            <w:gridSpan w:val="10"/>
            <w:vMerge w:val="restart"/>
          </w:tcPr>
          <w:p>
            <w:pPr>
              <w:spacing w:after="0"/>
              <w:rPr>
                <w:sz w:val="20"/>
                <w:szCs w:val="20"/>
                <w:color w:val="auto"/>
              </w:rPr>
            </w:pPr>
            <w:r>
              <w:rPr>
                <w:rFonts w:ascii="Arial" w:cs="Arial" w:eastAsia="Arial" w:hAnsi="Arial"/>
                <w:sz w:val="20"/>
                <w:szCs w:val="20"/>
                <w:color w:val="auto"/>
              </w:rPr>
              <w:t>MONSTER BEVERAGE CORPORATION AND SUBSIDIARIES</w:t>
            </w: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20"/>
                <w:szCs w:val="20"/>
                <w:color w:val="auto"/>
              </w:rPr>
              <w:t>Page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9140" w:type="dxa"/>
            <w:vAlign w:val="bottom"/>
            <w:gridSpan w:val="10"/>
            <w:vMerge w:val="continue"/>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9140" w:type="dxa"/>
            <w:vAlign w:val="bottom"/>
            <w:gridSpan w:val="10"/>
          </w:tcPr>
          <w:p>
            <w:pPr>
              <w:spacing w:after="0"/>
              <w:rPr>
                <w:rFonts w:ascii="Arial" w:cs="Arial" w:eastAsia="Arial" w:hAnsi="Arial"/>
                <w:sz w:val="20"/>
                <w:szCs w:val="20"/>
                <w:color w:val="0000EE"/>
              </w:rPr>
            </w:pPr>
            <w:hyperlink w:anchor="page48">
              <w:r>
                <w:rPr>
                  <w:rFonts w:ascii="Arial" w:cs="Arial" w:eastAsia="Arial" w:hAnsi="Arial"/>
                  <w:sz w:val="20"/>
                  <w:szCs w:val="20"/>
                  <w:color w:val="0000EE"/>
                </w:rPr>
                <w:t>Report of Independent Registered Public Accounting Firm</w:t>
              </w:r>
            </w:hyperlink>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20" w:type="dxa"/>
            <w:vAlign w:val="bottom"/>
            <w:tcBorders>
              <w:bottom w:val="single" w:sz="8" w:color="0000EE"/>
            </w:tcBorders>
            <w:gridSpan w:val="4"/>
          </w:tcPr>
          <w:p>
            <w:pPr>
              <w:spacing w:after="0"/>
              <w:rPr>
                <w:rFonts w:ascii="Arial" w:cs="Arial" w:eastAsia="Arial" w:hAnsi="Arial"/>
                <w:sz w:val="20"/>
                <w:szCs w:val="20"/>
                <w:color w:val="0000EE"/>
                <w:w w:val="87"/>
              </w:rPr>
            </w:pPr>
            <w:hyperlink w:anchor="page49">
              <w:r>
                <w:rPr>
                  <w:rFonts w:ascii="Arial" w:cs="Arial" w:eastAsia="Arial" w:hAnsi="Arial"/>
                  <w:sz w:val="20"/>
                  <w:szCs w:val="20"/>
                  <w:color w:val="0000EE"/>
                  <w:w w:val="87"/>
                </w:rPr>
                <w:t>Consolidated Balance Sheets as of December 31, 2015 and 2014</w:t>
              </w:r>
            </w:hyperlink>
          </w:p>
        </w:tc>
        <w:tc>
          <w:tcPr>
            <w:tcW w:w="4020" w:type="dxa"/>
            <w:vAlign w:val="bottom"/>
            <w:gridSpan w:val="6"/>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Income for the years ended December 31, 2015, 2014 and 2013</w:t>
              </w:r>
            </w:hyperlink>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140" w:type="dxa"/>
            <w:vAlign w:val="bottom"/>
            <w:gridSpan w:val="10"/>
          </w:tcPr>
          <w:p>
            <w:pPr>
              <w:spacing w:after="0"/>
              <w:rPr>
                <w:rFonts w:ascii="Arial" w:cs="Arial" w:eastAsia="Arial" w:hAnsi="Arial"/>
                <w:sz w:val="20"/>
                <w:szCs w:val="20"/>
                <w:color w:val="0000EE"/>
                <w:w w:val="94"/>
              </w:rPr>
            </w:pPr>
            <w:hyperlink w:anchor="page50">
              <w:r>
                <w:rPr>
                  <w:rFonts w:ascii="Arial" w:cs="Arial" w:eastAsia="Arial" w:hAnsi="Arial"/>
                  <w:sz w:val="20"/>
                  <w:szCs w:val="20"/>
                  <w:color w:val="0000EE"/>
                  <w:w w:val="94"/>
                </w:rPr>
                <w:t>Consolidated Statements of Comprehensive Income for the years ended December 31, 2015, 2014 and 2013</w:t>
              </w:r>
            </w:hyperlink>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360" w:type="dxa"/>
            <w:vAlign w:val="bottom"/>
            <w:tcBorders>
              <w:top w:val="single" w:sz="8" w:color="0000EE"/>
              <w:bottom w:val="single" w:sz="8" w:color="0000EE"/>
            </w:tcBorders>
            <w:gridSpan w:val="7"/>
          </w:tcPr>
          <w:p>
            <w:pPr>
              <w:spacing w:after="0"/>
              <w:rPr>
                <w:rFonts w:ascii="Arial" w:cs="Arial" w:eastAsia="Arial" w:hAnsi="Arial"/>
                <w:sz w:val="20"/>
                <w:szCs w:val="20"/>
                <w:color w:val="0000EE"/>
                <w:w w:val="89"/>
              </w:rPr>
            </w:pPr>
            <w:hyperlink w:anchor="page51">
              <w:r>
                <w:rPr>
                  <w:rFonts w:ascii="Arial" w:cs="Arial" w:eastAsia="Arial" w:hAnsi="Arial"/>
                  <w:sz w:val="20"/>
                  <w:szCs w:val="20"/>
                  <w:color w:val="0000EE"/>
                  <w:w w:val="89"/>
                </w:rPr>
                <w:t>Consolidated Statements of Stockholders’ Equity for the years ended December 31, 2015, 2014 and 2013</w:t>
              </w:r>
            </w:hyperlink>
          </w:p>
        </w:tc>
        <w:tc>
          <w:tcPr>
            <w:tcW w:w="200" w:type="dxa"/>
            <w:vAlign w:val="bottom"/>
            <w:tcBorders>
              <w:top w:val="single" w:sz="8" w:color="0000EE"/>
            </w:tcBorders>
          </w:tcPr>
          <w:p>
            <w:pPr>
              <w:spacing w:after="0"/>
              <w:rPr>
                <w:sz w:val="24"/>
                <w:szCs w:val="24"/>
                <w:color w:val="auto"/>
              </w:rPr>
            </w:pPr>
          </w:p>
        </w:tc>
        <w:tc>
          <w:tcPr>
            <w:tcW w:w="580" w:type="dxa"/>
            <w:vAlign w:val="bottom"/>
            <w:gridSpan w:val="2"/>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140" w:type="dxa"/>
            <w:vAlign w:val="bottom"/>
            <w:gridSpan w:val="10"/>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Consolidated Statements of Cash Flows for the years ended December 31, 2015, 2014 and 2013</w:t>
              </w:r>
            </w:hyperlink>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8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88"/>
              </w:rPr>
            </w:pPr>
            <w:hyperlink w:anchor="page53">
              <w:r>
                <w:rPr>
                  <w:rFonts w:ascii="Arial" w:cs="Arial" w:eastAsia="Arial" w:hAnsi="Arial"/>
                  <w:sz w:val="20"/>
                  <w:szCs w:val="20"/>
                  <w:color w:val="0000EE"/>
                  <w:w w:val="88"/>
                </w:rPr>
                <w:t>Notes to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1540" w:type="dxa"/>
            <w:vAlign w:val="bottom"/>
            <w:gridSpan w:val="4"/>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8580" w:type="dxa"/>
            <w:vAlign w:val="bottom"/>
            <w:tcBorders>
              <w:bottom w:val="single" w:sz="8" w:color="0000EE"/>
            </w:tcBorders>
            <w:gridSpan w:val="9"/>
          </w:tcPr>
          <w:p>
            <w:pPr>
              <w:spacing w:after="0"/>
              <w:rPr>
                <w:rFonts w:ascii="Arial" w:cs="Arial" w:eastAsia="Arial" w:hAnsi="Arial"/>
                <w:sz w:val="20"/>
                <w:szCs w:val="20"/>
                <w:color w:val="0000EE"/>
                <w:w w:val="89"/>
              </w:rPr>
            </w:pPr>
            <w:hyperlink w:anchor="page79">
              <w:r>
                <w:rPr>
                  <w:rFonts w:ascii="Arial" w:cs="Arial" w:eastAsia="Arial" w:hAnsi="Arial"/>
                  <w:sz w:val="20"/>
                  <w:szCs w:val="20"/>
                  <w:color w:val="0000EE"/>
                  <w:w w:val="89"/>
                </w:rPr>
                <w:t>Financial Statement Schedule – Valuation and Qualifying Accounts for the years ended December 31, 2015,</w:t>
              </w:r>
            </w:hyperlink>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140" w:type="dxa"/>
            <w:vAlign w:val="bottom"/>
            <w:gridSpan w:val="10"/>
          </w:tcPr>
          <w:p>
            <w:pPr>
              <w:spacing w:after="0" w:line="209" w:lineRule="exact"/>
              <w:rPr>
                <w:rFonts w:ascii="Arial" w:cs="Arial" w:eastAsia="Arial" w:hAnsi="Arial"/>
                <w:sz w:val="20"/>
                <w:szCs w:val="20"/>
                <w:color w:val="0000EE"/>
              </w:rPr>
            </w:pPr>
            <w:hyperlink w:anchor="page79">
              <w:r>
                <w:rPr>
                  <w:rFonts w:ascii="Arial" w:cs="Arial" w:eastAsia="Arial" w:hAnsi="Arial"/>
                  <w:sz w:val="20"/>
                  <w:szCs w:val="20"/>
                  <w:color w:val="0000EE"/>
                </w:rPr>
                <w:t>2014 and 2013</w:t>
              </w:r>
            </w:hyperlink>
          </w:p>
        </w:tc>
        <w:tc>
          <w:tcPr>
            <w:tcW w:w="2280" w:type="dxa"/>
            <w:vAlign w:val="bottom"/>
          </w:tcPr>
          <w:p>
            <w:pPr>
              <w:jc w:val="center"/>
              <w:spacing w:after="0" w:line="209" w:lineRule="exact"/>
              <w:rPr>
                <w:sz w:val="20"/>
                <w:szCs w:val="20"/>
                <w:color w:val="auto"/>
              </w:rPr>
            </w:pPr>
            <w:r>
              <w:rPr>
                <w:rFonts w:ascii="Arial" w:cs="Arial" w:eastAsia="Arial" w:hAnsi="Arial"/>
                <w:sz w:val="20"/>
                <w:szCs w:val="20"/>
                <w:color w:val="auto"/>
                <w:w w:val="83"/>
              </w:rPr>
              <w:t>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1180" w:type="dxa"/>
            <w:vAlign w:val="bottom"/>
            <w:tcBorders>
              <w:top w:val="single" w:sz="8" w:color="0000EE"/>
            </w:tcBorders>
          </w:tcPr>
          <w:p>
            <w:pPr>
              <w:spacing w:after="0"/>
              <w:rPr>
                <w:sz w:val="24"/>
                <w:szCs w:val="24"/>
                <w:color w:val="auto"/>
              </w:rPr>
            </w:pPr>
          </w:p>
        </w:tc>
        <w:tc>
          <w:tcPr>
            <w:tcW w:w="5440" w:type="dxa"/>
            <w:vAlign w:val="bottom"/>
            <w:gridSpan w:val="4"/>
          </w:tcPr>
          <w:p>
            <w:pPr>
              <w:jc w:val="right"/>
              <w:ind w:right="820"/>
              <w:spacing w:after="0"/>
              <w:rPr>
                <w:sz w:val="20"/>
                <w:szCs w:val="20"/>
                <w:color w:val="auto"/>
              </w:rPr>
            </w:pPr>
            <w:r>
              <w:rPr>
                <w:rFonts w:ascii="Arial" w:cs="Arial" w:eastAsia="Arial" w:hAnsi="Arial"/>
                <w:sz w:val="16"/>
                <w:szCs w:val="16"/>
                <w:color w:val="auto"/>
              </w:rPr>
              <w:t>72</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18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21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have audited the accompanying consolidated balance sheets of Monster Beverage Corporation and subsidiaries (the “Company”) as of December 31, 2015 and 2014, and the related consolidated statements of income, comprehensive income, stockholders’ equity and cash flows for each of the three years in the period ended December 31, 2015. Our audits also included the financial statement schedule listed in the Index</w:t>
      </w:r>
    </w:p>
    <w:p>
      <w:pPr>
        <w:sectPr>
          <w:pgSz w:w="11900" w:h="16838" w:orient="portrait"/>
          <w:cols w:equalWidth="0" w:num="1">
            <w:col w:w="11460"/>
          </w:cols>
          <w:pgMar w:left="240" w:top="346" w:right="199" w:bottom="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at Item 15(a). These consolidated financial statements and financial statement schedule are the responsibility of the Company’s management.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Our responsibility is to express an opinion on the consolidated financial statements and financial statement schedule based on our audits.</w:t>
      </w:r>
    </w:p>
    <w:p>
      <w:pPr>
        <w:spacing w:after="0" w:line="23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our opinion, such consolidated financial statements present fairly, in all material respects, the financial position of Monster Beverage Corporation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(2013) </w:t>
      </w:r>
      <w:r>
        <w:rPr>
          <w:rFonts w:ascii="Arial" w:cs="Arial" w:eastAsia="Arial" w:hAnsi="Arial"/>
          <w:sz w:val="20"/>
          <w:szCs w:val="20"/>
          <w:color w:val="auto"/>
        </w:rPr>
        <w:t>issued by the Committee of Sponsoring Organizations of the Treadway Commission and our report dated February 29, 2016, expressed</w:t>
      </w:r>
      <w:r>
        <w:rPr>
          <w:rFonts w:ascii="Arial" w:cs="Arial" w:eastAsia="Arial" w:hAnsi="Arial"/>
          <w:sz w:val="20"/>
          <w:szCs w:val="20"/>
          <w:i w:val="1"/>
          <w:iCs w:val="1"/>
          <w:color w:val="auto"/>
        </w:rPr>
        <w:t xml:space="preserve"> </w:t>
      </w:r>
      <w:r>
        <w:rPr>
          <w:rFonts w:ascii="Arial" w:cs="Arial" w:eastAsia="Arial" w:hAnsi="Arial"/>
          <w:sz w:val="20"/>
          <w:szCs w:val="20"/>
          <w:color w:val="auto"/>
        </w:rPr>
        <w:t>an 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29,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rPr>
          <w:sz w:val="20"/>
          <w:szCs w:val="20"/>
          <w:color w:val="auto"/>
        </w:rPr>
      </w:pPr>
      <w:r>
        <w:rPr>
          <w:rFonts w:ascii="Arial" w:cs="Arial" w:eastAsia="Arial" w:hAnsi="Arial"/>
          <w:sz w:val="20"/>
          <w:szCs w:val="20"/>
          <w:b w:val="1"/>
          <w:bCs w:val="1"/>
          <w:color w:val="auto"/>
        </w:rPr>
        <w:t>AS OF DECEMBER 31, 2015 AND 2014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40" w:type="dxa"/>
            <w:vAlign w:val="bottom"/>
            <w:gridSpan w:val="3"/>
            <w:vMerge w:val="restart"/>
          </w:tcPr>
          <w:p>
            <w:pPr>
              <w:jc w:val="center"/>
              <w:ind w:right="4040"/>
              <w:spacing w:after="0"/>
              <w:rPr>
                <w:sz w:val="20"/>
                <w:szCs w:val="20"/>
                <w:color w:val="auto"/>
              </w:rPr>
            </w:pPr>
            <w:r>
              <w:rPr>
                <w:rFonts w:ascii="Arial" w:cs="Arial" w:eastAsia="Arial" w:hAnsi="Arial"/>
                <w:sz w:val="16"/>
                <w:szCs w:val="16"/>
                <w:b w:val="1"/>
                <w:bCs w:val="1"/>
                <w:color w:val="auto"/>
                <w:w w:val="93"/>
              </w:rPr>
              <w:t>ASSETS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7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18"/>
                <w:szCs w:val="18"/>
                <w:color w:val="auto"/>
              </w:rPr>
            </w:pPr>
          </w:p>
        </w:tc>
        <w:tc>
          <w:tcPr>
            <w:tcW w:w="40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2,175,417</w:t>
            </w:r>
          </w:p>
        </w:tc>
        <w:tc>
          <w:tcPr>
            <w:tcW w:w="280" w:type="dxa"/>
            <w:vAlign w:val="bottom"/>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370,323</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744,610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781,134</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Accounts receivable, net</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352,955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280,755</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TCCC Transaction receivable</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156,121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174,573</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26,967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19,673</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Intangibles held-for-sale, net</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18,079</w:t>
            </w:r>
          </w:p>
        </w:tc>
        <w:tc>
          <w:tcPr>
            <w:tcW w:w="0" w:type="dxa"/>
            <w:vAlign w:val="bottom"/>
          </w:tcPr>
          <w:p>
            <w:pPr>
              <w:spacing w:after="0"/>
              <w:rPr>
                <w:sz w:val="1"/>
                <w:szCs w:val="1"/>
                <w:color w:val="auto"/>
              </w:rPr>
            </w:pPr>
          </w:p>
        </w:tc>
      </w:tr>
      <w:tr>
        <w:trPr>
          <w:trHeight w:val="206"/>
        </w:trPr>
        <w:tc>
          <w:tcPr>
            <w:tcW w:w="8380" w:type="dxa"/>
            <w:vAlign w:val="bottom"/>
            <w:gridSpan w:val="5"/>
          </w:tcPr>
          <w:p>
            <w:pPr>
              <w:spacing w:after="0"/>
              <w:rPr>
                <w:sz w:val="20"/>
                <w:szCs w:val="20"/>
                <w:color w:val="auto"/>
              </w:rPr>
            </w:pPr>
            <w:r>
              <w:rPr>
                <w:rFonts w:ascii="Arial" w:cs="Arial" w:eastAsia="Arial" w:hAnsi="Arial"/>
                <w:sz w:val="16"/>
                <w:szCs w:val="16"/>
                <w:color w:val="auto"/>
              </w:rPr>
              <w:t>Prepaid income taxes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8,617</w:t>
            </w:r>
          </w:p>
        </w:tc>
        <w:tc>
          <w:tcPr>
            <w:tcW w:w="0" w:type="dxa"/>
            <w:vAlign w:val="bottom"/>
          </w:tcPr>
          <w:p>
            <w:pPr>
              <w:spacing w:after="0"/>
              <w:rPr>
                <w:sz w:val="1"/>
                <w:szCs w:val="1"/>
                <w:color w:val="auto"/>
              </w:rPr>
            </w:pPr>
          </w:p>
        </w:tc>
      </w:tr>
      <w:tr>
        <w:trPr>
          <w:trHeight w:val="206"/>
        </w:trPr>
        <w:tc>
          <w:tcPr>
            <w:tcW w:w="8380" w:type="dxa"/>
            <w:vAlign w:val="bottom"/>
            <w:gridSpan w:val="5"/>
          </w:tcPr>
          <w:p>
            <w:pPr>
              <w:ind w:left="22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3,582,602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1,653,154</w:t>
            </w:r>
          </w:p>
        </w:tc>
        <w:tc>
          <w:tcPr>
            <w:tcW w:w="0" w:type="dxa"/>
            <w:vAlign w:val="bottom"/>
          </w:tcPr>
          <w:p>
            <w:pPr>
              <w:spacing w:after="0"/>
              <w:rPr>
                <w:sz w:val="1"/>
                <w:szCs w:val="1"/>
                <w:color w:val="auto"/>
              </w:rPr>
            </w:pPr>
          </w:p>
        </w:tc>
      </w:tr>
      <w:tr>
        <w:trPr>
          <w:trHeight w:val="405"/>
        </w:trPr>
        <w:tc>
          <w:tcPr>
            <w:tcW w:w="8380" w:type="dxa"/>
            <w:vAlign w:val="bottom"/>
            <w:gridSpan w:val="5"/>
          </w:tcPr>
          <w:p>
            <w:pPr>
              <w:spacing w:after="0"/>
              <w:rPr>
                <w:sz w:val="20"/>
                <w:szCs w:val="20"/>
                <w:color w:val="auto"/>
              </w:rPr>
            </w:pPr>
            <w:r>
              <w:rPr>
                <w:rFonts w:ascii="Arial" w:cs="Arial" w:eastAsia="Arial" w:hAnsi="Arial"/>
                <w:sz w:val="16"/>
                <w:szCs w:val="16"/>
                <w:color w:val="auto"/>
              </w:rPr>
              <w:t>INVESTMENTS</w:t>
            </w:r>
          </w:p>
        </w:tc>
        <w:tc>
          <w:tcPr>
            <w:tcW w:w="36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15,348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42,940</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97,354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90,156</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261,310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94,381</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1,279,715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OTHER INTANGIBLE ASSETS, net</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427,986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50,748</w:t>
            </w:r>
          </w:p>
        </w:tc>
        <w:tc>
          <w:tcPr>
            <w:tcW w:w="0" w:type="dxa"/>
            <w:vAlign w:val="bottom"/>
          </w:tcPr>
          <w:p>
            <w:pPr>
              <w:spacing w:after="0"/>
              <w:rPr>
                <w:sz w:val="1"/>
                <w:szCs w:val="1"/>
                <w:color w:val="auto"/>
              </w:rPr>
            </w:pPr>
          </w:p>
        </w:tc>
      </w:tr>
      <w:tr>
        <w:trPr>
          <w:trHeight w:val="206"/>
        </w:trPr>
        <w:tc>
          <w:tcPr>
            <w:tcW w:w="8380" w:type="dxa"/>
            <w:vAlign w:val="bottom"/>
            <w:gridSpan w:val="5"/>
          </w:tcPr>
          <w:p>
            <w:pPr>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10,874</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7,496</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6100" w:type="dxa"/>
            <w:vAlign w:val="bottom"/>
            <w:gridSpan w:val="4"/>
          </w:tcPr>
          <w:p>
            <w:pPr>
              <w:jc w:val="center"/>
              <w:ind w:right="2560"/>
              <w:spacing w:after="0"/>
              <w:rPr>
                <w:sz w:val="20"/>
                <w:szCs w:val="20"/>
                <w:color w:val="auto"/>
              </w:rPr>
            </w:pPr>
            <w:r>
              <w:rPr>
                <w:rFonts w:ascii="Arial" w:cs="Arial" w:eastAsia="Arial" w:hAnsi="Arial"/>
                <w:sz w:val="16"/>
                <w:szCs w:val="16"/>
                <w:b w:val="1"/>
                <w:bCs w:val="1"/>
                <w:color w:val="auto"/>
                <w:w w:val="86"/>
              </w:rPr>
              <w:t>Total Assets</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5,675,189</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1,938,875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100" w:type="dxa"/>
            <w:vAlign w:val="bottom"/>
            <w:gridSpan w:val="4"/>
            <w:vMerge w:val="restart"/>
          </w:tcPr>
          <w:p>
            <w:pPr>
              <w:jc w:val="center"/>
              <w:ind w:right="258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80" w:type="dxa"/>
            <w:vAlign w:val="bottom"/>
          </w:tcPr>
          <w:p>
            <w:pPr>
              <w:spacing w:after="0"/>
              <w:rPr>
                <w:sz w:val="24"/>
                <w:szCs w:val="24"/>
                <w:color w:val="auto"/>
              </w:rPr>
            </w:pPr>
          </w:p>
        </w:tc>
        <w:tc>
          <w:tcPr>
            <w:tcW w:w="610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gridSpan w:val="3"/>
          </w:tcPr>
          <w:p>
            <w:pPr>
              <w:spacing w:after="0"/>
              <w:rPr>
                <w:sz w:val="18"/>
                <w:szCs w:val="18"/>
                <w:color w:val="auto"/>
              </w:rPr>
            </w:pP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144,763</w:t>
            </w:r>
          </w:p>
        </w:tc>
        <w:tc>
          <w:tcPr>
            <w:tcW w:w="280" w:type="dxa"/>
            <w:vAlign w:val="bottom"/>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127,641</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81,786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40,271</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Accrued promotional allowances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115,530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114,047</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Accrued distributor terminations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11,018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32,271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49,926</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Accrued compensation</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22,159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17,983</w:t>
            </w:r>
          </w:p>
        </w:tc>
        <w:tc>
          <w:tcPr>
            <w:tcW w:w="0" w:type="dxa"/>
            <w:vAlign w:val="bottom"/>
          </w:tcPr>
          <w:p>
            <w:pPr>
              <w:spacing w:after="0"/>
              <w:rPr>
                <w:sz w:val="1"/>
                <w:szCs w:val="1"/>
                <w:color w:val="auto"/>
              </w:rPr>
            </w:pPr>
          </w:p>
        </w:tc>
      </w:tr>
      <w:tr>
        <w:trPr>
          <w:trHeight w:val="206"/>
        </w:trPr>
        <w:tc>
          <w:tcPr>
            <w:tcW w:w="8380" w:type="dxa"/>
            <w:vAlign w:val="bottom"/>
            <w:gridSpan w:val="5"/>
          </w:tcPr>
          <w:p>
            <w:pPr>
              <w:spacing w:after="0"/>
              <w:rPr>
                <w:sz w:val="20"/>
                <w:szCs w:val="20"/>
                <w:color w:val="auto"/>
              </w:rPr>
            </w:pPr>
            <w:r>
              <w:rPr>
                <w:rFonts w:ascii="Arial" w:cs="Arial" w:eastAsia="Arial" w:hAnsi="Arial"/>
                <w:sz w:val="16"/>
                <w:szCs w:val="16"/>
                <w:color w:val="auto"/>
              </w:rPr>
              <w:t>Income taxes payable</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106,662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5,848</w:t>
            </w:r>
          </w:p>
        </w:tc>
        <w:tc>
          <w:tcPr>
            <w:tcW w:w="0" w:type="dxa"/>
            <w:vAlign w:val="bottom"/>
          </w:tcPr>
          <w:p>
            <w:pPr>
              <w:spacing w:after="0"/>
              <w:rPr>
                <w:sz w:val="1"/>
                <w:szCs w:val="1"/>
                <w:color w:val="auto"/>
              </w:rPr>
            </w:pPr>
          </w:p>
        </w:tc>
      </w:tr>
      <w:tr>
        <w:trPr>
          <w:trHeight w:val="206"/>
        </w:trPr>
        <w:tc>
          <w:tcPr>
            <w:tcW w:w="8380" w:type="dxa"/>
            <w:vAlign w:val="bottom"/>
            <w:gridSpan w:val="5"/>
          </w:tcPr>
          <w:p>
            <w:pPr>
              <w:ind w:left="22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514,189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355,716</w:t>
            </w:r>
          </w:p>
        </w:tc>
        <w:tc>
          <w:tcPr>
            <w:tcW w:w="0" w:type="dxa"/>
            <w:vAlign w:val="bottom"/>
          </w:tcPr>
          <w:p>
            <w:pPr>
              <w:spacing w:after="0"/>
              <w:rPr>
                <w:sz w:val="1"/>
                <w:szCs w:val="1"/>
                <w:color w:val="auto"/>
              </w:rPr>
            </w:pPr>
          </w:p>
        </w:tc>
      </w:tr>
      <w:tr>
        <w:trPr>
          <w:trHeight w:val="409"/>
        </w:trPr>
        <w:tc>
          <w:tcPr>
            <w:tcW w:w="838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351,590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68,009</w:t>
            </w:r>
          </w:p>
        </w:tc>
        <w:tc>
          <w:tcPr>
            <w:tcW w:w="0" w:type="dxa"/>
            <w:vAlign w:val="bottom"/>
          </w:tcPr>
          <w:p>
            <w:pPr>
              <w:spacing w:after="0"/>
              <w:rPr>
                <w:sz w:val="1"/>
                <w:szCs w:val="1"/>
                <w:color w:val="auto"/>
              </w:rPr>
            </w:pPr>
          </w:p>
        </w:tc>
      </w:tr>
      <w:tr>
        <w:trPr>
          <w:trHeight w:val="419"/>
        </w:trPr>
        <w:tc>
          <w:tcPr>
            <w:tcW w:w="8380" w:type="dxa"/>
            <w:vAlign w:val="bottom"/>
            <w:gridSpan w:val="5"/>
          </w:tcPr>
          <w:p>
            <w:pPr>
              <w:spacing w:after="0"/>
              <w:rPr>
                <w:sz w:val="20"/>
                <w:szCs w:val="20"/>
                <w:color w:val="auto"/>
              </w:rPr>
            </w:pPr>
            <w:r>
              <w:rPr>
                <w:rFonts w:ascii="Arial" w:cs="Arial" w:eastAsia="Arial" w:hAnsi="Arial"/>
                <w:sz w:val="16"/>
                <w:szCs w:val="16"/>
                <w:color w:val="auto"/>
              </w:rPr>
              <w:t>COMMITMENTS AND CONTINGENCIES (Note 11)</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8380" w:type="dxa"/>
            <w:vAlign w:val="bottom"/>
            <w:gridSpan w:val="5"/>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w w:val="94"/>
              </w:rPr>
              <w:t>Common stock - $0.005 par value; 240,000 shares authorized; 207,019 shares issued and 202,900 shares outstanding as of</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gridSpan w:val="5"/>
          </w:tcPr>
          <w:p>
            <w:pPr>
              <w:ind w:left="180"/>
              <w:spacing w:after="0"/>
              <w:rPr>
                <w:sz w:val="20"/>
                <w:szCs w:val="20"/>
                <w:color w:val="auto"/>
              </w:rPr>
            </w:pPr>
            <w:r>
              <w:rPr>
                <w:rFonts w:ascii="Arial" w:cs="Arial" w:eastAsia="Arial" w:hAnsi="Arial"/>
                <w:sz w:val="16"/>
                <w:szCs w:val="16"/>
                <w:color w:val="auto"/>
              </w:rPr>
              <w:t>December 31, 2015; 207,004 shares issued and 167,722 shares outstanding as of December 31, 2014</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1,035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3,991,857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426,145</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1,394,863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2,330,510</w:t>
            </w:r>
          </w:p>
        </w:tc>
        <w:tc>
          <w:tcPr>
            <w:tcW w:w="0" w:type="dxa"/>
            <w:vAlign w:val="bottom"/>
          </w:tcPr>
          <w:p>
            <w:pPr>
              <w:spacing w:after="0"/>
              <w:rPr>
                <w:sz w:val="1"/>
                <w:szCs w:val="1"/>
                <w:color w:val="auto"/>
              </w:rPr>
            </w:pPr>
          </w:p>
        </w:tc>
      </w:tr>
      <w:tr>
        <w:trPr>
          <w:trHeight w:val="206"/>
        </w:trPr>
        <w:tc>
          <w:tcPr>
            <w:tcW w:w="8380" w:type="dxa"/>
            <w:vAlign w:val="bottom"/>
            <w:gridSpan w:val="5"/>
          </w:tcPr>
          <w:p>
            <w:pPr>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(21,878)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80" w:type="dxa"/>
            <w:vAlign w:val="bottom"/>
          </w:tcPr>
          <w:p>
            <w:pPr>
              <w:spacing w:after="0"/>
              <w:rPr>
                <w:sz w:val="20"/>
                <w:szCs w:val="20"/>
                <w:color w:val="auto"/>
              </w:rPr>
            </w:pPr>
            <w:r>
              <w:rPr>
                <w:rFonts w:ascii="Arial" w:cs="Arial" w:eastAsia="Arial" w:hAnsi="Arial"/>
                <w:sz w:val="16"/>
                <w:szCs w:val="16"/>
                <w:color w:val="auto"/>
              </w:rPr>
              <w:t>Common stock in treasury, at cost; 4,119 shares and 39,282 shares as of December 31, 2015 and 2014, respectively</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(556,467)</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(1,231,087)</w:t>
            </w:r>
          </w:p>
        </w:tc>
      </w:tr>
      <w:tr>
        <w:trPr>
          <w:trHeight w:val="202"/>
        </w:trPr>
        <w:tc>
          <w:tcPr>
            <w:tcW w:w="8380" w:type="dxa"/>
            <w:vAlign w:val="bottom"/>
          </w:tcPr>
          <w:p>
            <w:pPr>
              <w:ind w:left="22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4,809,410</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1,515,150</w:t>
            </w:r>
          </w:p>
        </w:tc>
      </w:tr>
      <w:tr>
        <w:trPr>
          <w:trHeight w:val="196"/>
        </w:trPr>
        <w:tc>
          <w:tcPr>
            <w:tcW w:w="8380" w:type="dxa"/>
            <w:vAlign w:val="bottom"/>
          </w:tcPr>
          <w:p>
            <w:pPr>
              <w:ind w:left="2600"/>
              <w:spacing w:after="0"/>
              <w:rPr>
                <w:sz w:val="20"/>
                <w:szCs w:val="20"/>
                <w:color w:val="auto"/>
              </w:rPr>
            </w:pPr>
            <w:r>
              <w:rPr>
                <w:rFonts w:ascii="Arial" w:cs="Arial" w:eastAsia="Arial" w:hAnsi="Arial"/>
                <w:sz w:val="16"/>
                <w:szCs w:val="16"/>
                <w:b w:val="1"/>
                <w:bCs w:val="1"/>
                <w:color w:val="auto"/>
              </w:rPr>
              <w:t>Total Liabilities and Stockholders’ Equity</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5,675,189</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1,938,875</w:t>
            </w:r>
          </w:p>
        </w:tc>
      </w:tr>
      <w:tr>
        <w:trPr>
          <w:trHeight w:val="20"/>
        </w:trPr>
        <w:tc>
          <w:tcPr>
            <w:tcW w:w="8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INCOME</w:t>
      </w:r>
    </w:p>
    <w:p>
      <w:pPr>
        <w:spacing w:after="0"/>
        <w:rPr>
          <w:sz w:val="20"/>
          <w:szCs w:val="20"/>
          <w:color w:val="auto"/>
        </w:rPr>
      </w:pPr>
      <w:r>
        <w:rPr>
          <w:rFonts w:ascii="Arial" w:cs="Arial" w:eastAsia="Arial" w:hAnsi="Arial"/>
          <w:sz w:val="20"/>
          <w:szCs w:val="20"/>
          <w:b w:val="1"/>
          <w:bCs w:val="1"/>
          <w:color w:val="auto"/>
        </w:rPr>
        <w:t>FOR THE YEARS ENDED DECEMBER 31, 2015, 2014 AND 2013</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9462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4626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09"/>
        </w:trPr>
        <w:tc>
          <w:tcPr>
            <w:tcW w:w="6820" w:type="dxa"/>
            <w:vAlign w:val="bottom"/>
          </w:tcPr>
          <w:p>
            <w:pPr>
              <w:spacing w:after="0"/>
              <w:rPr>
                <w:sz w:val="20"/>
                <w:szCs w:val="20"/>
                <w:color w:val="auto"/>
              </w:rPr>
            </w:pPr>
            <w:r>
              <w:rPr>
                <w:rFonts w:ascii="Arial" w:cs="Arial" w:eastAsia="Arial" w:hAnsi="Arial"/>
                <w:sz w:val="16"/>
                <w:szCs w:val="16"/>
                <w:color w:val="auto"/>
              </w:rPr>
              <w:t>NET SALES</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2,722,564</w:t>
            </w:r>
          </w:p>
        </w:tc>
        <w:tc>
          <w:tcPr>
            <w:tcW w:w="220" w:type="dxa"/>
            <w:vAlign w:val="bottom"/>
          </w:tcPr>
          <w:p>
            <w:pPr>
              <w:spacing w:after="0"/>
              <w:rPr>
                <w:sz w:val="24"/>
                <w:szCs w:val="24"/>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2,464,867</w:t>
            </w:r>
          </w:p>
        </w:tc>
        <w:tc>
          <w:tcPr>
            <w:tcW w:w="220" w:type="dxa"/>
            <w:vAlign w:val="bottom"/>
          </w:tcPr>
          <w:p>
            <w:pPr>
              <w:spacing w:after="0"/>
              <w:rPr>
                <w:sz w:val="24"/>
                <w:szCs w:val="24"/>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2,246,428</w:t>
            </w:r>
          </w:p>
        </w:tc>
        <w:tc>
          <w:tcPr>
            <w:tcW w:w="0" w:type="dxa"/>
            <w:vAlign w:val="bottom"/>
          </w:tcPr>
          <w:p>
            <w:pPr>
              <w:spacing w:after="0"/>
              <w:rPr>
                <w:sz w:val="1"/>
                <w:szCs w:val="1"/>
                <w:color w:val="auto"/>
              </w:rPr>
            </w:pPr>
          </w:p>
        </w:tc>
      </w:tr>
      <w:tr>
        <w:trPr>
          <w:trHeight w:val="422"/>
        </w:trPr>
        <w:tc>
          <w:tcPr>
            <w:tcW w:w="6820" w:type="dxa"/>
            <w:vAlign w:val="bottom"/>
          </w:tcPr>
          <w:p>
            <w:pPr>
              <w:spacing w:after="0"/>
              <w:rPr>
                <w:sz w:val="20"/>
                <w:szCs w:val="20"/>
                <w:color w:val="auto"/>
              </w:rPr>
            </w:pPr>
            <w:r>
              <w:rPr>
                <w:rFonts w:ascii="Arial" w:cs="Arial" w:eastAsia="Arial" w:hAnsi="Arial"/>
                <w:sz w:val="16"/>
                <w:szCs w:val="16"/>
                <w:color w:val="auto"/>
              </w:rPr>
              <w:t>COST OF SALES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1,090,263</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1,125,057</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1,073,497</w:t>
            </w:r>
          </w:p>
        </w:tc>
        <w:tc>
          <w:tcPr>
            <w:tcW w:w="0" w:type="dxa"/>
            <w:vAlign w:val="bottom"/>
          </w:tcPr>
          <w:p>
            <w:pPr>
              <w:spacing w:after="0"/>
              <w:rPr>
                <w:sz w:val="1"/>
                <w:szCs w:val="1"/>
                <w:color w:val="auto"/>
              </w:rPr>
            </w:pPr>
          </w:p>
        </w:tc>
      </w:tr>
      <w:tr>
        <w:trPr>
          <w:trHeight w:val="409"/>
        </w:trPr>
        <w:tc>
          <w:tcPr>
            <w:tcW w:w="6820" w:type="dxa"/>
            <w:vAlign w:val="bottom"/>
          </w:tcPr>
          <w:p>
            <w:pPr>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1,632,301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1,339,810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1,172,931</w:t>
            </w:r>
          </w:p>
        </w:tc>
        <w:tc>
          <w:tcPr>
            <w:tcW w:w="0" w:type="dxa"/>
            <w:vAlign w:val="bottom"/>
          </w:tcPr>
          <w:p>
            <w:pPr>
              <w:spacing w:after="0"/>
              <w:rPr>
                <w:sz w:val="1"/>
                <w:szCs w:val="1"/>
                <w:color w:val="auto"/>
              </w:rPr>
            </w:pPr>
          </w:p>
        </w:tc>
      </w:tr>
      <w:tr>
        <w:trPr>
          <w:trHeight w:val="419"/>
        </w:trPr>
        <w:tc>
          <w:tcPr>
            <w:tcW w:w="6820" w:type="dxa"/>
            <w:vAlign w:val="bottom"/>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900,118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592,305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600,015</w:t>
            </w:r>
          </w:p>
        </w:tc>
        <w:tc>
          <w:tcPr>
            <w:tcW w:w="0" w:type="dxa"/>
            <w:vAlign w:val="bottom"/>
          </w:tcPr>
          <w:p>
            <w:pPr>
              <w:spacing w:after="0"/>
              <w:rPr>
                <w:sz w:val="1"/>
                <w:szCs w:val="1"/>
                <w:color w:val="auto"/>
              </w:rPr>
            </w:pPr>
          </w:p>
        </w:tc>
      </w:tr>
      <w:tr>
        <w:trPr>
          <w:trHeight w:val="422"/>
        </w:trPr>
        <w:tc>
          <w:tcPr>
            <w:tcW w:w="6820" w:type="dxa"/>
            <w:vAlign w:val="bottom"/>
          </w:tcPr>
          <w:p>
            <w:pPr>
              <w:spacing w:after="0"/>
              <w:rPr>
                <w:sz w:val="20"/>
                <w:szCs w:val="20"/>
                <w:color w:val="auto"/>
              </w:rPr>
            </w:pPr>
            <w:r>
              <w:rPr>
                <w:rFonts w:ascii="Arial" w:cs="Arial" w:eastAsia="Arial" w:hAnsi="Arial"/>
                <w:sz w:val="16"/>
                <w:szCs w:val="16"/>
                <w:color w:val="auto"/>
              </w:rPr>
              <w:t>GAIN ON SALE OF MONSTER NON-ENERGY (NOTE 2)</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161,470</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9"/>
        </w:trPr>
        <w:tc>
          <w:tcPr>
            <w:tcW w:w="6820" w:type="dxa"/>
            <w:vAlign w:val="bottom"/>
          </w:tcPr>
          <w:p>
            <w:pPr>
              <w:spacing w:after="0"/>
              <w:rPr>
                <w:sz w:val="20"/>
                <w:szCs w:val="20"/>
                <w:color w:val="auto"/>
              </w:rPr>
            </w:pPr>
            <w:r>
              <w:rPr>
                <w:rFonts w:ascii="Arial" w:cs="Arial" w:eastAsia="Arial" w:hAnsi="Arial"/>
                <w:sz w:val="16"/>
                <w:szCs w:val="16"/>
                <w:color w:val="auto"/>
              </w:rPr>
              <w:t>OPERATING INCOME</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893,653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747,505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572,916</w:t>
            </w:r>
          </w:p>
        </w:tc>
        <w:tc>
          <w:tcPr>
            <w:tcW w:w="0" w:type="dxa"/>
            <w:vAlign w:val="bottom"/>
          </w:tcPr>
          <w:p>
            <w:pPr>
              <w:spacing w:after="0"/>
              <w:rPr>
                <w:sz w:val="1"/>
                <w:szCs w:val="1"/>
                <w:color w:val="auto"/>
              </w:rPr>
            </w:pPr>
          </w:p>
        </w:tc>
      </w:tr>
      <w:tr>
        <w:trPr>
          <w:trHeight w:val="422"/>
        </w:trPr>
        <w:tc>
          <w:tcPr>
            <w:tcW w:w="6820" w:type="dxa"/>
            <w:vAlign w:val="bottom"/>
          </w:tcPr>
          <w:p>
            <w:pPr>
              <w:spacing w:after="0"/>
              <w:rPr>
                <w:sz w:val="20"/>
                <w:szCs w:val="20"/>
                <w:color w:val="auto"/>
              </w:rPr>
            </w:pPr>
            <w:r>
              <w:rPr>
                <w:rFonts w:ascii="Arial" w:cs="Arial" w:eastAsia="Arial" w:hAnsi="Arial"/>
                <w:sz w:val="16"/>
                <w:szCs w:val="16"/>
                <w:color w:val="auto"/>
              </w:rPr>
              <w:t>OTHER EXPENSE, NET</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(9,022)</w:t>
            </w:r>
          </w:p>
        </w:tc>
        <w:tc>
          <w:tcPr>
            <w:tcW w:w="0" w:type="dxa"/>
            <w:vAlign w:val="bottom"/>
          </w:tcPr>
          <w:p>
            <w:pPr>
              <w:spacing w:after="0"/>
              <w:rPr>
                <w:sz w:val="1"/>
                <w:szCs w:val="1"/>
                <w:color w:val="auto"/>
              </w:rPr>
            </w:pPr>
          </w:p>
        </w:tc>
      </w:tr>
      <w:tr>
        <w:trPr>
          <w:trHeight w:val="409"/>
        </w:trPr>
        <w:tc>
          <w:tcPr>
            <w:tcW w:w="6820" w:type="dxa"/>
            <w:vAlign w:val="bottom"/>
          </w:tcPr>
          <w:p>
            <w:pPr>
              <w:spacing w:after="0"/>
              <w:rPr>
                <w:sz w:val="20"/>
                <w:szCs w:val="20"/>
                <w:color w:val="auto"/>
              </w:rPr>
            </w:pPr>
            <w:r>
              <w:rPr>
                <w:rFonts w:ascii="Arial" w:cs="Arial" w:eastAsia="Arial" w:hAnsi="Arial"/>
                <w:sz w:val="16"/>
                <w:szCs w:val="16"/>
                <w:color w:val="auto"/>
              </w:rPr>
              <w:t>INCOME BEFORE PROVISION FOR INCOME TAXES</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891,548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745,788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563,894</w:t>
            </w:r>
          </w:p>
        </w:tc>
        <w:tc>
          <w:tcPr>
            <w:tcW w:w="0" w:type="dxa"/>
            <w:vAlign w:val="bottom"/>
          </w:tcPr>
          <w:p>
            <w:pPr>
              <w:spacing w:after="0"/>
              <w:rPr>
                <w:sz w:val="1"/>
                <w:szCs w:val="1"/>
                <w:color w:val="auto"/>
              </w:rPr>
            </w:pPr>
          </w:p>
        </w:tc>
      </w:tr>
      <w:tr>
        <w:trPr>
          <w:trHeight w:val="422"/>
        </w:trPr>
        <w:tc>
          <w:tcPr>
            <w:tcW w:w="68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344,815</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262,603</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225,233</w:t>
            </w:r>
          </w:p>
        </w:tc>
        <w:tc>
          <w:tcPr>
            <w:tcW w:w="0" w:type="dxa"/>
            <w:vAlign w:val="bottom"/>
          </w:tcPr>
          <w:p>
            <w:pPr>
              <w:spacing w:after="0"/>
              <w:rPr>
                <w:sz w:val="1"/>
                <w:szCs w:val="1"/>
                <w:color w:val="auto"/>
              </w:rPr>
            </w:pPr>
          </w:p>
        </w:tc>
      </w:tr>
      <w:tr>
        <w:trPr>
          <w:trHeight w:val="409"/>
        </w:trPr>
        <w:tc>
          <w:tcPr>
            <w:tcW w:w="682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546,733</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483,185</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338,661</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6"/>
                <w:szCs w:val="16"/>
                <w:color w:val="auto"/>
              </w:rPr>
              <w:t>NET INCOME PER COMMON SHARE:</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7"/>
                <w:szCs w:val="17"/>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w:t>
            </w:r>
          </w:p>
        </w:tc>
        <w:tc>
          <w:tcPr>
            <w:tcW w:w="220" w:type="dxa"/>
            <w:vAlign w:val="bottom"/>
          </w:tcPr>
          <w:p>
            <w:pPr>
              <w:spacing w:after="0"/>
              <w:rPr>
                <w:sz w:val="17"/>
                <w:szCs w:val="17"/>
                <w:color w:val="auto"/>
              </w:rPr>
            </w:pP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20" w:type="dxa"/>
            <w:vAlign w:val="bottom"/>
            <w:vMerge w:val="continue"/>
          </w:tcPr>
          <w:p>
            <w:pPr>
              <w:spacing w:after="0"/>
              <w:rPr>
                <w:sz w:val="16"/>
                <w:szCs w:val="16"/>
                <w:color w:val="auto"/>
              </w:rPr>
            </w:pP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16"/>
                <w:szCs w:val="16"/>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w:t>
            </w:r>
          </w:p>
        </w:tc>
        <w:tc>
          <w:tcPr>
            <w:tcW w:w="220" w:type="dxa"/>
            <w:vAlign w:val="bottom"/>
          </w:tcPr>
          <w:p>
            <w:pPr>
              <w:spacing w:after="0"/>
              <w:rPr>
                <w:sz w:val="16"/>
                <w:szCs w:val="16"/>
                <w:color w:val="auto"/>
              </w:rPr>
            </w:pP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6"/>
                <w:szCs w:val="16"/>
                <w:color w:val="auto"/>
              </w:rPr>
              <w:t>WEIGHTED AVERAGE NUMBER OF SHARES OF COMMON STOCK AND COMMON</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rPr>
                <w:sz w:val="20"/>
                <w:szCs w:val="20"/>
                <w:color w:val="auto"/>
              </w:rPr>
            </w:pPr>
            <w:r>
              <w:rPr>
                <w:rFonts w:ascii="Arial" w:cs="Arial" w:eastAsia="Arial" w:hAnsi="Arial"/>
                <w:sz w:val="16"/>
                <w:szCs w:val="16"/>
                <w:color w:val="auto"/>
              </w:rPr>
              <w:t>STOCK EQUIVALENTS: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20" w:type="dxa"/>
            <w:vAlign w:val="bottom"/>
          </w:tcPr>
          <w:p>
            <w:pPr>
              <w:ind w:left="36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188,816</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167,257</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166,679</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6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192,586</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174,285</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173,387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rPr>
          <w:sz w:val="20"/>
          <w:szCs w:val="20"/>
          <w:color w:val="auto"/>
        </w:rPr>
      </w:pPr>
      <w:r>
        <w:rPr>
          <w:rFonts w:ascii="Arial" w:cs="Arial" w:eastAsia="Arial" w:hAnsi="Arial"/>
          <w:sz w:val="20"/>
          <w:szCs w:val="20"/>
          <w:b w:val="1"/>
          <w:bCs w:val="1"/>
          <w:color w:val="auto"/>
        </w:rPr>
        <w:t>FOR THE YEARS ENDED DECEMBER 31, 2015, 2014 AND 2013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0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2015</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6700" w:type="dxa"/>
            <w:vAlign w:val="bottom"/>
            <w:vMerge w:val="continue"/>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ind w:left="300"/>
              <w:spacing w:after="0" w:line="207" w:lineRule="exact"/>
              <w:rPr>
                <w:sz w:val="20"/>
                <w:szCs w:val="20"/>
                <w:color w:val="auto"/>
              </w:rPr>
            </w:pPr>
            <w:r>
              <w:rPr>
                <w:rFonts w:ascii="Arial" w:cs="Arial" w:eastAsia="Arial" w:hAnsi="Arial"/>
                <w:sz w:val="20"/>
                <w:szCs w:val="20"/>
                <w:color w:val="auto"/>
                <w:w w:val="99"/>
              </w:rPr>
              <w:t>546,733</w:t>
            </w:r>
          </w:p>
        </w:tc>
        <w:tc>
          <w:tcPr>
            <w:tcW w:w="30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ind w:left="280"/>
              <w:spacing w:after="0" w:line="207" w:lineRule="exact"/>
              <w:rPr>
                <w:sz w:val="20"/>
                <w:szCs w:val="20"/>
                <w:color w:val="auto"/>
              </w:rPr>
            </w:pPr>
            <w:r>
              <w:rPr>
                <w:rFonts w:ascii="Arial" w:cs="Arial" w:eastAsia="Arial" w:hAnsi="Arial"/>
                <w:sz w:val="20"/>
                <w:szCs w:val="20"/>
                <w:color w:val="auto"/>
                <w:w w:val="99"/>
              </w:rPr>
              <w:t>483,185</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line="207" w:lineRule="exact"/>
              <w:rPr>
                <w:sz w:val="20"/>
                <w:szCs w:val="20"/>
                <w:color w:val="auto"/>
              </w:rPr>
            </w:pPr>
            <w:r>
              <w:rPr>
                <w:rFonts w:ascii="Arial" w:cs="Arial" w:eastAsia="Arial" w:hAnsi="Arial"/>
                <w:sz w:val="20"/>
                <w:szCs w:val="20"/>
                <w:color w:val="auto"/>
              </w:rPr>
              <w:t>338,661</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20"/>
                <w:szCs w:val="20"/>
                <w:color w:val="auto"/>
              </w:rPr>
              <w:t>Other comprehensive (loss) income:</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20"/>
                <w:szCs w:val="20"/>
                <w:color w:val="auto"/>
              </w:rPr>
              <w:t>Change in foreign currency translation adjustment, net of tax</w:t>
            </w:r>
          </w:p>
        </w:tc>
        <w:tc>
          <w:tcPr>
            <w:tcW w:w="360" w:type="dxa"/>
            <w:vAlign w:val="bottom"/>
          </w:tcPr>
          <w:p>
            <w:pPr>
              <w:spacing w:after="0"/>
              <w:rPr>
                <w:sz w:val="19"/>
                <w:szCs w:val="19"/>
                <w:color w:val="auto"/>
              </w:rPr>
            </w:pPr>
          </w:p>
        </w:tc>
        <w:tc>
          <w:tcPr>
            <w:tcW w:w="1040" w:type="dxa"/>
            <w:vAlign w:val="bottom"/>
          </w:tcPr>
          <w:p>
            <w:pPr>
              <w:ind w:left="300"/>
              <w:spacing w:after="0"/>
              <w:rPr>
                <w:sz w:val="20"/>
                <w:szCs w:val="20"/>
                <w:color w:val="auto"/>
              </w:rPr>
            </w:pPr>
            <w:r>
              <w:rPr>
                <w:rFonts w:ascii="Arial" w:cs="Arial" w:eastAsia="Arial" w:hAnsi="Arial"/>
                <w:sz w:val="20"/>
                <w:szCs w:val="20"/>
                <w:color w:val="auto"/>
                <w:w w:val="96"/>
              </w:rPr>
              <w:t>(10,425)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ind w:left="300"/>
              <w:spacing w:after="0"/>
              <w:rPr>
                <w:sz w:val="20"/>
                <w:szCs w:val="20"/>
                <w:color w:val="auto"/>
              </w:rPr>
            </w:pPr>
            <w:r>
              <w:rPr>
                <w:rFonts w:ascii="Arial" w:cs="Arial" w:eastAsia="Arial" w:hAnsi="Arial"/>
                <w:sz w:val="20"/>
                <w:szCs w:val="20"/>
                <w:color w:val="auto"/>
                <w:w w:val="93"/>
              </w:rPr>
              <w:t>(10,220)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(1,782)</w:t>
            </w:r>
          </w:p>
        </w:tc>
        <w:tc>
          <w:tcPr>
            <w:tcW w:w="0" w:type="dxa"/>
            <w:vAlign w:val="bottom"/>
          </w:tcPr>
          <w:p>
            <w:pPr>
              <w:spacing w:after="0"/>
              <w:rPr>
                <w:sz w:val="1"/>
                <w:szCs w:val="1"/>
                <w:color w:val="auto"/>
              </w:rPr>
            </w:pPr>
          </w:p>
        </w:tc>
      </w:tr>
      <w:tr>
        <w:trPr>
          <w:trHeight w:val="250"/>
        </w:trPr>
        <w:tc>
          <w:tcPr>
            <w:tcW w:w="670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00" w:type="dxa"/>
            <w:vAlign w:val="bottom"/>
          </w:tcPr>
          <w:p>
            <w:pPr>
              <w:ind w:left="360"/>
              <w:spacing w:after="0"/>
              <w:rPr>
                <w:sz w:val="20"/>
                <w:szCs w:val="20"/>
                <w:color w:val="auto"/>
              </w:rPr>
            </w:pPr>
            <w:r>
              <w:rPr>
                <w:rFonts w:ascii="Arial" w:cs="Arial" w:eastAsia="Arial" w:hAnsi="Arial"/>
                <w:sz w:val="20"/>
                <w:szCs w:val="20"/>
                <w:color w:val="auto"/>
              </w:rPr>
              <w:t>Change in net unrealized gains</w:t>
            </w:r>
          </w:p>
        </w:tc>
        <w:tc>
          <w:tcPr>
            <w:tcW w:w="44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0"/>
        </w:trPr>
        <w:tc>
          <w:tcPr>
            <w:tcW w:w="6700" w:type="dxa"/>
            <w:vAlign w:val="bottom"/>
          </w:tcPr>
          <w:p>
            <w:pPr>
              <w:ind w:left="360"/>
              <w:spacing w:after="0"/>
              <w:rPr>
                <w:sz w:val="20"/>
                <w:szCs w:val="20"/>
                <w:color w:val="auto"/>
              </w:rPr>
            </w:pPr>
            <w:r>
              <w:rPr>
                <w:rFonts w:ascii="Arial" w:cs="Arial" w:eastAsia="Arial" w:hAnsi="Arial"/>
                <w:sz w:val="20"/>
                <w:szCs w:val="20"/>
                <w:color w:val="auto"/>
              </w:rPr>
              <w:t>Reclassification adjustment for net gains included in net income</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r>
      <w:tr>
        <w:trPr>
          <w:trHeight w:val="223"/>
        </w:trPr>
        <w:tc>
          <w:tcPr>
            <w:tcW w:w="6700" w:type="dxa"/>
            <w:vAlign w:val="bottom"/>
          </w:tcPr>
          <w:p>
            <w:pPr>
              <w:ind w:left="36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line="213"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line="21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(1,525)</w:t>
            </w:r>
          </w:p>
        </w:tc>
      </w:tr>
      <w:tr>
        <w:trPr>
          <w:trHeight w:val="223"/>
        </w:trPr>
        <w:tc>
          <w:tcPr>
            <w:tcW w:w="6700" w:type="dxa"/>
            <w:vAlign w:val="bottom"/>
          </w:tcPr>
          <w:p>
            <w:pPr>
              <w:spacing w:after="0" w:line="213" w:lineRule="exact"/>
              <w:rPr>
                <w:sz w:val="20"/>
                <w:szCs w:val="20"/>
                <w:color w:val="auto"/>
              </w:rPr>
            </w:pPr>
            <w:r>
              <w:rPr>
                <w:rFonts w:ascii="Arial" w:cs="Arial" w:eastAsia="Arial" w:hAnsi="Arial"/>
                <w:sz w:val="20"/>
                <w:szCs w:val="20"/>
                <w:color w:val="auto"/>
              </w:rPr>
              <w:t>Other comprehensive (loss) income</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(10,425)</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(10,220)</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(3,307)</w:t>
            </w:r>
          </w:p>
        </w:tc>
      </w:tr>
      <w:tr>
        <w:trPr>
          <w:trHeight w:val="230"/>
        </w:trPr>
        <w:tc>
          <w:tcPr>
            <w:tcW w:w="6700" w:type="dxa"/>
            <w:vAlign w:val="bottom"/>
          </w:tcPr>
          <w:p>
            <w:pPr>
              <w:spacing w:after="0" w:line="220" w:lineRule="exact"/>
              <w:rPr>
                <w:sz w:val="20"/>
                <w:szCs w:val="20"/>
                <w:color w:val="auto"/>
              </w:rPr>
            </w:pPr>
            <w:r>
              <w:rPr>
                <w:rFonts w:ascii="Arial" w:cs="Arial" w:eastAsia="Arial" w:hAnsi="Arial"/>
                <w:sz w:val="20"/>
                <w:szCs w:val="20"/>
                <w:color w:val="auto"/>
              </w:rPr>
              <w:t>Comprehensive income</w:t>
            </w: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536,308</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472,965</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335,354</w:t>
            </w:r>
          </w:p>
        </w:tc>
      </w:tr>
      <w:tr>
        <w:trPr>
          <w:trHeight w:val="20"/>
        </w:trPr>
        <w:tc>
          <w:tcPr>
            <w:tcW w:w="6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right="5520"/>
        <w:spacing w:after="0" w:line="267" w:lineRule="auto"/>
        <w:rPr>
          <w:sz w:val="20"/>
          <w:szCs w:val="20"/>
          <w:color w:val="auto"/>
        </w:rPr>
      </w:pPr>
      <w:r>
        <w:rPr>
          <w:rFonts w:ascii="Arial" w:cs="Arial" w:eastAsia="Arial" w:hAnsi="Arial"/>
          <w:sz w:val="19"/>
          <w:szCs w:val="19"/>
          <w:b w:val="1"/>
          <w:bCs w:val="1"/>
          <w:color w:val="auto"/>
        </w:rPr>
        <w:t>MONSTER BEVERAGE CORPORATION AND SUBSIDIARIES CONSOLIDATED STATEMENTS OF STOCKHOLDERS’ EQUITY</w:t>
      </w:r>
    </w:p>
    <w:p>
      <w:pPr>
        <w:spacing w:after="0"/>
        <w:rPr>
          <w:sz w:val="20"/>
          <w:szCs w:val="20"/>
          <w:color w:val="auto"/>
        </w:rPr>
      </w:pPr>
      <w:r>
        <w:rPr>
          <w:rFonts w:ascii="Arial" w:cs="Arial" w:eastAsia="Arial" w:hAnsi="Arial"/>
          <w:sz w:val="20"/>
          <w:szCs w:val="20"/>
          <w:b w:val="1"/>
          <w:bCs w:val="1"/>
          <w:color w:val="auto"/>
        </w:rPr>
        <w:t>FOR THE YEARS ENDED DECEMBER 31, 2015, 2014 AND 2013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46620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0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220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2200" w:type="dxa"/>
            <w:vAlign w:val="bottom"/>
            <w:gridSpan w:val="5"/>
            <w:vMerge w:val="continue"/>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0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13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8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ind w:right="188"/>
              <w:spacing w:after="0" w:line="142"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 January 1, 2013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203,759</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1,019</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287,953</w:t>
            </w:r>
          </w:p>
        </w:tc>
        <w:tc>
          <w:tcPr>
            <w:tcW w:w="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1,508,664</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6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(37,983)</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(1,155,313)</w:t>
            </w:r>
          </w:p>
        </w:tc>
        <w:tc>
          <w:tcPr>
            <w:tcW w:w="160" w:type="dxa"/>
            <w:vAlign w:val="bottom"/>
          </w:tcPr>
          <w:p>
            <w:pPr>
              <w:spacing w:after="0"/>
              <w:rPr>
                <w:sz w:val="20"/>
                <w:szCs w:val="20"/>
                <w:color w:val="auto"/>
              </w:rPr>
            </w:pP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644,397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28,528</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28,528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2,255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21,240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21,251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payment arrangements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30,348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30,348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(67,599)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(67,599)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(1,782)</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4"/>
                <w:szCs w:val="14"/>
                <w:color w:val="auto"/>
              </w:rPr>
              <w:t>Reclassification adjustment for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gains included in net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(1,525)</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338,661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 December 31, 2013</w:t>
            </w:r>
          </w:p>
        </w:tc>
        <w:tc>
          <w:tcPr>
            <w:tcW w:w="820" w:type="dxa"/>
            <w:vAlign w:val="bottom"/>
          </w:tcPr>
          <w:p>
            <w:pPr>
              <w:jc w:val="right"/>
              <w:spacing w:after="0"/>
              <w:rPr>
                <w:sz w:val="20"/>
                <w:szCs w:val="20"/>
                <w:color w:val="auto"/>
              </w:rPr>
            </w:pPr>
            <w:r>
              <w:rPr>
                <w:rFonts w:ascii="Arial" w:cs="Arial" w:eastAsia="Arial" w:hAnsi="Arial"/>
                <w:sz w:val="14"/>
                <w:szCs w:val="14"/>
                <w:color w:val="auto"/>
              </w:rPr>
              <w:t>206,014</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1,030</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368,069</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1,847,325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(1,233)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(39,192)</w:t>
            </w:r>
          </w:p>
        </w:tc>
        <w:tc>
          <w:tcPr>
            <w:tcW w:w="160" w:type="dxa"/>
            <w:vAlign w:val="bottom"/>
          </w:tcPr>
          <w:p>
            <w:pPr>
              <w:spacing w:after="0"/>
              <w:rPr>
                <w:sz w:val="19"/>
                <w:szCs w:val="19"/>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(1,222,912)</w:t>
            </w:r>
          </w:p>
        </w:tc>
        <w:tc>
          <w:tcPr>
            <w:tcW w:w="160" w:type="dxa"/>
            <w:vAlign w:val="bottom"/>
          </w:tcPr>
          <w:p>
            <w:pPr>
              <w:spacing w:after="0"/>
              <w:rPr>
                <w:sz w:val="19"/>
                <w:szCs w:val="19"/>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992,279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28,989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28,989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990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17,163</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payment arrangements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11,924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11,924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(8,175)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(10,220)</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483,185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 December 31, 2014</w:t>
            </w:r>
          </w:p>
        </w:tc>
        <w:tc>
          <w:tcPr>
            <w:tcW w:w="820" w:type="dxa"/>
            <w:vAlign w:val="bottom"/>
          </w:tcPr>
          <w:p>
            <w:pPr>
              <w:jc w:val="right"/>
              <w:spacing w:after="0"/>
              <w:rPr>
                <w:sz w:val="20"/>
                <w:szCs w:val="20"/>
                <w:color w:val="auto"/>
              </w:rPr>
            </w:pPr>
            <w:r>
              <w:rPr>
                <w:rFonts w:ascii="Arial" w:cs="Arial" w:eastAsia="Arial" w:hAnsi="Arial"/>
                <w:sz w:val="14"/>
                <w:szCs w:val="14"/>
                <w:color w:val="auto"/>
              </w:rPr>
              <w:t>207,004</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1,035</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426,145</w:t>
            </w: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2,330,510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(11,453)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(39,282)</w:t>
            </w:r>
          </w:p>
        </w:tc>
        <w:tc>
          <w:tcPr>
            <w:tcW w:w="160" w:type="dxa"/>
            <w:vAlign w:val="bottom"/>
          </w:tcPr>
          <w:p>
            <w:pPr>
              <w:spacing w:after="0"/>
              <w:rPr>
                <w:sz w:val="19"/>
                <w:szCs w:val="19"/>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(1,231,087)</w:t>
            </w:r>
          </w:p>
        </w:tc>
        <w:tc>
          <w:tcPr>
            <w:tcW w:w="160" w:type="dxa"/>
            <w:vAlign w:val="bottom"/>
          </w:tcPr>
          <w:p>
            <w:pPr>
              <w:spacing w:after="0"/>
              <w:rPr>
                <w:sz w:val="19"/>
                <w:szCs w:val="19"/>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1,515,150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32,719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7,425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49,291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49,328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34,041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3,168,965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3,169,135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payment arrangements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314,737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314,737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(6,288)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(807,967)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(807,967)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Cancellation of treasury stock</w:t>
            </w:r>
          </w:p>
        </w:tc>
        <w:tc>
          <w:tcPr>
            <w:tcW w:w="820" w:type="dxa"/>
            <w:vAlign w:val="bottom"/>
          </w:tcPr>
          <w:p>
            <w:pPr>
              <w:jc w:val="right"/>
              <w:spacing w:after="0"/>
              <w:rPr>
                <w:sz w:val="20"/>
                <w:szCs w:val="20"/>
                <w:color w:val="auto"/>
              </w:rPr>
            </w:pPr>
            <w:r>
              <w:rPr>
                <w:rFonts w:ascii="Arial" w:cs="Arial" w:eastAsia="Arial" w:hAnsi="Arial"/>
                <w:sz w:val="14"/>
                <w:szCs w:val="14"/>
                <w:color w:val="auto"/>
              </w:rPr>
              <w:t>(41,451)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(1,482,380)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41,451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1,482,587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(10,425)</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38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546,733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 December 31, 2015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207,019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3,991,857</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1,394,863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(21,878)</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(556,467)</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4,809,410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FOR THE YEARS ENDED DECEMBER 31, 2015, 2014 AND 2013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546,733</w:t>
            </w:r>
          </w:p>
        </w:tc>
        <w:tc>
          <w:tcPr>
            <w:tcW w:w="280" w:type="dxa"/>
            <w:vAlign w:val="bottom"/>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483,185</w:t>
            </w:r>
          </w:p>
        </w:tc>
        <w:tc>
          <w:tcPr>
            <w:tcW w:w="280" w:type="dxa"/>
            <w:vAlign w:val="bottom"/>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338,661</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30,860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25,651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22,762</w:t>
            </w:r>
          </w:p>
        </w:tc>
        <w:tc>
          <w:tcPr>
            <w:tcW w:w="0" w:type="dxa"/>
            <w:vAlign w:val="bottom"/>
          </w:tcPr>
          <w:p>
            <w:pPr>
              <w:spacing w:after="0"/>
              <w:rPr>
                <w:sz w:val="1"/>
                <w:szCs w:val="1"/>
                <w:color w:val="auto"/>
              </w:rPr>
            </w:pPr>
          </w:p>
        </w:tc>
      </w:tr>
      <w:tr>
        <w:trPr>
          <w:trHeight w:val="206"/>
        </w:trPr>
        <w:tc>
          <w:tcPr>
            <w:tcW w:w="6700" w:type="dxa"/>
            <w:vAlign w:val="bottom"/>
          </w:tcPr>
          <w:p>
            <w:pPr>
              <w:ind w:left="340"/>
              <w:spacing w:after="0"/>
              <w:rPr>
                <w:sz w:val="20"/>
                <w:szCs w:val="20"/>
                <w:color w:val="auto"/>
              </w:rPr>
            </w:pPr>
            <w:r>
              <w:rPr>
                <w:rFonts w:ascii="Arial" w:cs="Arial" w:eastAsia="Arial" w:hAnsi="Arial"/>
                <w:sz w:val="16"/>
                <w:szCs w:val="16"/>
                <w:color w:val="auto"/>
              </w:rPr>
              <w:t>(Gain) loss on disposal of property and equipment</w:t>
            </w:r>
          </w:p>
        </w:tc>
        <w:tc>
          <w:tcPr>
            <w:tcW w:w="3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Gain on sale of Monster Non-Energy</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(161,470)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32,719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28,552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28,764</w:t>
            </w: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Loss on put option</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842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Gain on investments, net</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(3,553)</w:t>
            </w: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(302,424)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(9,846)</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(7,074)</w:t>
            </w: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Excess tax benefit from stock-based compensation</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(314,737)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(11,924)</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(30,348)</w:t>
            </w:r>
          </w:p>
        </w:tc>
        <w:tc>
          <w:tcPr>
            <w:tcW w:w="0" w:type="dxa"/>
            <w:vAlign w:val="bottom"/>
          </w:tcPr>
          <w:p>
            <w:pPr>
              <w:spacing w:after="0"/>
              <w:rPr>
                <w:sz w:val="1"/>
                <w:szCs w:val="1"/>
                <w:color w:val="auto"/>
              </w:rPr>
            </w:pPr>
          </w:p>
        </w:tc>
      </w:tr>
      <w:tr>
        <w:trPr>
          <w:trHeight w:val="203"/>
        </w:trPr>
        <w:tc>
          <w:tcPr>
            <w:tcW w:w="6700" w:type="dxa"/>
            <w:vAlign w:val="bottom"/>
          </w:tcPr>
          <w:p>
            <w:pPr>
              <w:ind w:left="340"/>
              <w:spacing w:after="0"/>
              <w:rPr>
                <w:sz w:val="20"/>
                <w:szCs w:val="20"/>
                <w:color w:val="auto"/>
              </w:rPr>
            </w:pPr>
            <w:r>
              <w:rPr>
                <w:rFonts w:ascii="Arial" w:cs="Arial" w:eastAsia="Arial" w:hAnsi="Arial"/>
                <w:sz w:val="16"/>
                <w:szCs w:val="16"/>
                <w:color w:val="auto"/>
              </w:rPr>
              <w:t>Effect on cash of changes in operating assets and liabilities, net of acquisitions and</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Arial" w:cs="Arial" w:eastAsia="Arial" w:hAnsi="Arial"/>
                <w:sz w:val="16"/>
                <w:szCs w:val="16"/>
                <w:color w:val="auto"/>
              </w:rPr>
              <w:t>divestitures:</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(77,331)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(14,290)</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(42,901)</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Distributor receivables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4,580</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(7,382)</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(7,068)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42,763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(21,552)</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(9,713)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888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(4,501)</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Prepaid income taxes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5,921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24,008</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20,864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11,282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(8,204)</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Accrued liabilities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43,312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3,019</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Accrued promotional allowances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7,009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20,530</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8,932</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Accrued distributor terminations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11,196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Accrued compensation</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4,507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3,394</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415,446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8,438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34,308</w:t>
            </w:r>
          </w:p>
        </w:tc>
        <w:tc>
          <w:tcPr>
            <w:tcW w:w="0" w:type="dxa"/>
            <w:vAlign w:val="bottom"/>
          </w:tcPr>
          <w:p>
            <w:pPr>
              <w:spacing w:after="0"/>
              <w:rPr>
                <w:sz w:val="1"/>
                <w:szCs w:val="1"/>
                <w:color w:val="auto"/>
              </w:rPr>
            </w:pPr>
          </w:p>
        </w:tc>
      </w:tr>
      <w:tr>
        <w:trPr>
          <w:trHeight w:val="206"/>
        </w:trPr>
        <w:tc>
          <w:tcPr>
            <w:tcW w:w="670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(38,631)</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(8,107)</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2,982</w:t>
            </w:r>
          </w:p>
        </w:tc>
        <w:tc>
          <w:tcPr>
            <w:tcW w:w="0" w:type="dxa"/>
            <w:vAlign w:val="bottom"/>
          </w:tcPr>
          <w:p>
            <w:pPr>
              <w:spacing w:after="0"/>
              <w:rPr>
                <w:sz w:val="1"/>
                <w:szCs w:val="1"/>
                <w:color w:val="auto"/>
              </w:rPr>
            </w:pPr>
          </w:p>
        </w:tc>
      </w:tr>
      <w:tr>
        <w:trPr>
          <w:trHeight w:val="206"/>
        </w:trPr>
        <w:tc>
          <w:tcPr>
            <w:tcW w:w="6700" w:type="dxa"/>
            <w:vAlign w:val="bottom"/>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207,986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585,567</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342,033</w:t>
            </w:r>
          </w:p>
        </w:tc>
        <w:tc>
          <w:tcPr>
            <w:tcW w:w="0" w:type="dxa"/>
            <w:vAlign w:val="bottom"/>
          </w:tcPr>
          <w:p>
            <w:pPr>
              <w:spacing w:after="0"/>
              <w:rPr>
                <w:sz w:val="1"/>
                <w:szCs w:val="1"/>
                <w:color w:val="auto"/>
              </w:rPr>
            </w:pPr>
          </w:p>
        </w:tc>
      </w:tr>
      <w:tr>
        <w:trPr>
          <w:trHeight w:val="405"/>
        </w:trPr>
        <w:tc>
          <w:tcPr>
            <w:tcW w:w="67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Maturities of held-to-maturity investments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2,089,788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710,294</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256,843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Sales of available-for-sale investments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4,001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5,793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Sales of trading investments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4,160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13,075</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Proceeds from the transfer of distribution rights to TCCC</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179,658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Proceeds from the sale of Monster Non-Energy</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198,008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963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9,022</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Purchases of held-to-maturity investments</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(2,033,584)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(1,130,601)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(557,419)</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Purchases of available-for-sale investments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(35,605)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(27,952)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(40,762)</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Additions to intangibles</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(6,888)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(11,175)</w:t>
            </w:r>
          </w:p>
        </w:tc>
        <w:tc>
          <w:tcPr>
            <w:tcW w:w="0" w:type="dxa"/>
            <w:vAlign w:val="bottom"/>
          </w:tcPr>
          <w:p>
            <w:pPr>
              <w:spacing w:after="0"/>
              <w:rPr>
                <w:sz w:val="1"/>
                <w:szCs w:val="1"/>
                <w:color w:val="auto"/>
              </w:rPr>
            </w:pPr>
          </w:p>
        </w:tc>
      </w:tr>
      <w:tr>
        <w:trPr>
          <w:trHeight w:val="206"/>
        </w:trPr>
        <w:tc>
          <w:tcPr>
            <w:tcW w:w="6700" w:type="dxa"/>
            <w:vAlign w:val="bottom"/>
          </w:tcPr>
          <w:p>
            <w:pPr>
              <w:spacing w:after="0"/>
              <w:rPr>
                <w:sz w:val="20"/>
                <w:szCs w:val="20"/>
                <w:color w:val="auto"/>
              </w:rPr>
            </w:pPr>
            <w:r>
              <w:rPr>
                <w:rFonts w:ascii="Arial" w:cs="Arial" w:eastAsia="Arial" w:hAnsi="Arial"/>
                <w:sz w:val="16"/>
                <w:szCs w:val="16"/>
                <w:color w:val="auto"/>
              </w:rPr>
              <w:t>(Increase) decrease in other assets</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1,230</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06"/>
        </w:trPr>
        <w:tc>
          <w:tcPr>
            <w:tcW w:w="6700" w:type="dxa"/>
            <w:vAlign w:val="bottom"/>
          </w:tcPr>
          <w:p>
            <w:pPr>
              <w:ind w:left="920"/>
              <w:spacing w:after="0"/>
              <w:rPr>
                <w:sz w:val="20"/>
                <w:szCs w:val="20"/>
                <w:color w:val="auto"/>
              </w:rPr>
            </w:pPr>
            <w:r>
              <w:rPr>
                <w:rFonts w:ascii="Arial" w:cs="Arial" w:eastAsia="Arial" w:hAnsi="Arial"/>
                <w:sz w:val="16"/>
                <w:szCs w:val="16"/>
                <w:color w:val="auto"/>
              </w:rPr>
              <w:t>Net cash provided by (used in) investing activities</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400,066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(440,403)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(339,808)</w:t>
            </w:r>
          </w:p>
        </w:tc>
        <w:tc>
          <w:tcPr>
            <w:tcW w:w="0" w:type="dxa"/>
            <w:vAlign w:val="bottom"/>
          </w:tcPr>
          <w:p>
            <w:pPr>
              <w:spacing w:after="0"/>
              <w:rPr>
                <w:sz w:val="1"/>
                <w:szCs w:val="1"/>
                <w:color w:val="auto"/>
              </w:rPr>
            </w:pPr>
          </w:p>
        </w:tc>
      </w:tr>
      <w:tr>
        <w:trPr>
          <w:trHeight w:val="405"/>
        </w:trPr>
        <w:tc>
          <w:tcPr>
            <w:tcW w:w="67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Principal payments on debt</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(1,619)</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Excess tax benefit from stock-based compensation</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314,737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11,924</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30,348</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4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1,696,661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17,168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21,252</w:t>
            </w:r>
          </w:p>
        </w:tc>
        <w:tc>
          <w:tcPr>
            <w:tcW w:w="0" w:type="dxa"/>
            <w:vAlign w:val="bottom"/>
          </w:tcPr>
          <w:p>
            <w:pPr>
              <w:spacing w:after="0"/>
              <w:rPr>
                <w:sz w:val="1"/>
                <w:szCs w:val="1"/>
                <w:color w:val="auto"/>
              </w:rPr>
            </w:pPr>
          </w:p>
        </w:tc>
      </w:tr>
      <w:tr>
        <w:trPr>
          <w:trHeight w:val="206"/>
        </w:trPr>
        <w:tc>
          <w:tcPr>
            <w:tcW w:w="6700" w:type="dxa"/>
            <w:vAlign w:val="bottom"/>
          </w:tcPr>
          <w:p>
            <w:pPr>
              <w:spacing w:after="0"/>
              <w:rPr>
                <w:sz w:val="20"/>
                <w:szCs w:val="20"/>
                <w:color w:val="auto"/>
              </w:rPr>
            </w:pPr>
            <w:r>
              <w:rPr>
                <w:rFonts w:ascii="Arial" w:cs="Arial" w:eastAsia="Arial" w:hAnsi="Arial"/>
                <w:sz w:val="16"/>
                <w:szCs w:val="16"/>
                <w:color w:val="auto"/>
              </w:rPr>
              <w:t>Purchases of common stock held in treasury</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(807,967)</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(8,175)</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(67,599)</w:t>
            </w:r>
          </w:p>
        </w:tc>
        <w:tc>
          <w:tcPr>
            <w:tcW w:w="0" w:type="dxa"/>
            <w:vAlign w:val="bottom"/>
          </w:tcPr>
          <w:p>
            <w:pPr>
              <w:spacing w:after="0"/>
              <w:rPr>
                <w:sz w:val="1"/>
                <w:szCs w:val="1"/>
                <w:color w:val="auto"/>
              </w:rPr>
            </w:pPr>
          </w:p>
        </w:tc>
      </w:tr>
      <w:tr>
        <w:trPr>
          <w:trHeight w:val="202"/>
        </w:trPr>
        <w:tc>
          <w:tcPr>
            <w:tcW w:w="6700" w:type="dxa"/>
            <w:vAlign w:val="bottom"/>
          </w:tcPr>
          <w:p>
            <w:pPr>
              <w:ind w:left="92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1,202,348</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19,298</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(17,886)</w:t>
            </w:r>
          </w:p>
        </w:tc>
        <w:tc>
          <w:tcPr>
            <w:tcW w:w="0" w:type="dxa"/>
            <w:vAlign w:val="bottom"/>
          </w:tcPr>
          <w:p>
            <w:pPr>
              <w:spacing w:after="0"/>
              <w:rPr>
                <w:sz w:val="1"/>
                <w:szCs w:val="1"/>
                <w:color w:val="auto"/>
              </w:rPr>
            </w:pPr>
          </w:p>
        </w:tc>
      </w:tr>
      <w:tr>
        <w:trPr>
          <w:trHeight w:val="406"/>
        </w:trPr>
        <w:tc>
          <w:tcPr>
            <w:tcW w:w="67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(5,306)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4,496</w:t>
            </w:r>
          </w:p>
        </w:tc>
        <w:tc>
          <w:tcPr>
            <w:tcW w:w="0" w:type="dxa"/>
            <w:vAlign w:val="bottom"/>
          </w:tcPr>
          <w:p>
            <w:pPr>
              <w:spacing w:after="0"/>
              <w:rPr>
                <w:sz w:val="1"/>
                <w:szCs w:val="1"/>
                <w:color w:val="auto"/>
              </w:rPr>
            </w:pPr>
          </w:p>
        </w:tc>
      </w:tr>
      <w:tr>
        <w:trPr>
          <w:trHeight w:val="415"/>
        </w:trPr>
        <w:tc>
          <w:tcPr>
            <w:tcW w:w="67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4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1,805,094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158,974</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(11,165)</w:t>
            </w:r>
          </w:p>
        </w:tc>
        <w:tc>
          <w:tcPr>
            <w:tcW w:w="0" w:type="dxa"/>
            <w:vAlign w:val="bottom"/>
          </w:tcPr>
          <w:p>
            <w:pPr>
              <w:spacing w:after="0"/>
              <w:rPr>
                <w:sz w:val="1"/>
                <w:szCs w:val="1"/>
                <w:color w:val="auto"/>
              </w:rPr>
            </w:pPr>
          </w:p>
        </w:tc>
      </w:tr>
      <w:tr>
        <w:trPr>
          <w:trHeight w:val="206"/>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370,323</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211,349</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222,514</w:t>
            </w:r>
          </w:p>
        </w:tc>
        <w:tc>
          <w:tcPr>
            <w:tcW w:w="0" w:type="dxa"/>
            <w:vAlign w:val="bottom"/>
          </w:tcPr>
          <w:p>
            <w:pPr>
              <w:spacing w:after="0"/>
              <w:rPr>
                <w:sz w:val="1"/>
                <w:szCs w:val="1"/>
                <w:color w:val="auto"/>
              </w:rPr>
            </w:pPr>
          </w:p>
        </w:tc>
      </w:tr>
      <w:tr>
        <w:trPr>
          <w:trHeight w:val="202"/>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end of year</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2,175,417</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370,323</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211,349</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6"/>
                <w:szCs w:val="16"/>
                <w:color w:val="auto"/>
              </w:rPr>
              <w:t>SUPPLEMENTAL INFORMATION:</w:t>
            </w: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40"/>
              <w:spacing w:after="0"/>
              <w:rPr>
                <w:sz w:val="20"/>
                <w:szCs w:val="20"/>
                <w:color w:val="auto"/>
              </w:rPr>
            </w:pPr>
            <w:r>
              <w:rPr>
                <w:rFonts w:ascii="Arial" w:cs="Arial" w:eastAsia="Arial" w:hAnsi="Arial"/>
                <w:sz w:val="16"/>
                <w:szCs w:val="16"/>
                <w:color w:val="auto"/>
              </w:rPr>
              <w:t>Cash paid during the year for:</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00" w:type="dxa"/>
            <w:vAlign w:val="bottom"/>
          </w:tcPr>
          <w:p>
            <w:pPr>
              <w:ind w:left="340"/>
              <w:spacing w:after="0"/>
              <w:rPr>
                <w:sz w:val="20"/>
                <w:szCs w:val="20"/>
                <w:color w:val="auto"/>
              </w:rPr>
            </w:pPr>
            <w:r>
              <w:rPr>
                <w:rFonts w:ascii="Arial" w:cs="Arial" w:eastAsia="Arial" w:hAnsi="Arial"/>
                <w:sz w:val="16"/>
                <w:szCs w:val="16"/>
                <w:color w:val="auto"/>
              </w:rPr>
              <w:t>Interest</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340"/>
              <w:spacing w:after="0"/>
              <w:rPr>
                <w:sz w:val="20"/>
                <w:szCs w:val="20"/>
                <w:color w:val="auto"/>
              </w:rPr>
            </w:pPr>
            <w:r>
              <w:rPr>
                <w:rFonts w:ascii="Arial" w:cs="Arial" w:eastAsia="Arial" w:hAnsi="Arial"/>
                <w:sz w:val="16"/>
                <w:szCs w:val="16"/>
                <w:color w:val="auto"/>
              </w:rPr>
              <w:t>Income taxes</w:t>
            </w: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00" w:type="dxa"/>
            <w:vAlign w:val="bottom"/>
            <w:vMerge w:val="continue"/>
          </w:tcPr>
          <w:p>
            <w:pPr>
              <w:spacing w:after="0"/>
              <w:rPr>
                <w:sz w:val="16"/>
                <w:szCs w:val="16"/>
                <w:color w:val="auto"/>
              </w:rPr>
            </w:pP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224,928</w:t>
            </w:r>
          </w:p>
        </w:tc>
        <w:tc>
          <w:tcPr>
            <w:tcW w:w="280" w:type="dxa"/>
            <w:vAlign w:val="bottom"/>
          </w:tcPr>
          <w:p>
            <w:pPr>
              <w:spacing w:after="0"/>
              <w:rPr>
                <w:sz w:val="16"/>
                <w:szCs w:val="16"/>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267,251</w:t>
            </w:r>
          </w:p>
        </w:tc>
        <w:tc>
          <w:tcPr>
            <w:tcW w:w="280" w:type="dxa"/>
            <w:vAlign w:val="bottom"/>
          </w:tcPr>
          <w:p>
            <w:pPr>
              <w:spacing w:after="0"/>
              <w:rPr>
                <w:sz w:val="16"/>
                <w:szCs w:val="16"/>
                <w:color w:val="auto"/>
              </w:rPr>
            </w:pP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174,278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right="5680"/>
        <w:spacing w:after="0" w:line="273" w:lineRule="auto"/>
        <w:rPr>
          <w:sz w:val="20"/>
          <w:szCs w:val="20"/>
          <w:color w:val="auto"/>
        </w:rPr>
      </w:pPr>
      <w:r>
        <w:rPr>
          <w:rFonts w:ascii="Arial" w:cs="Arial" w:eastAsia="Arial" w:hAnsi="Arial"/>
          <w:sz w:val="19"/>
          <w:szCs w:val="19"/>
          <w:b w:val="1"/>
          <w:bCs w:val="1"/>
          <w:color w:val="auto"/>
        </w:rPr>
        <w:t>MONSTER BEVERAGE CORPORATION AND SUBSIDIARIES CONSOLIDATED STATEMENTS OF CASH FLOWS (Continued)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the years ended December 31, 2015, 2014 and 2013, the Company entered into capital leases of $1.5 million, $0.8 million and $2.6 million, respectively, for the acquisition of promotional vehicles.</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Included in accounts payable was equipment purchased of $0.6 million, $0.7 million and $0.1 million as of December 31, 2015, 2014 and 2013,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year ended December 31, 2015, the Company issued 11.8 million shares of the Company’s common stock in exchange for KO Energy (see Note 2).</w:t>
      </w:r>
    </w:p>
    <w:p>
      <w:pPr>
        <w:sectPr>
          <w:pgSz w:w="11900" w:h="16838" w:orient="portrait"/>
          <w:cols w:equalWidth="0" w:num="1">
            <w:col w:w="11420"/>
          </w:cols>
          <w:pgMar w:left="240" w:top="130" w:right="239" w:bottom="0" w:gutter="0" w:footer="0" w:header="0"/>
        </w:sectPr>
      </w:pPr>
    </w:p>
    <w:bookmarkStart w:id="52" w:name="page53"/>
    <w:bookmarkEnd w:id="52"/>
    <w:p>
      <w:pPr>
        <w:spacing w:after="0" w:line="12" w:lineRule="exact"/>
        <w:rPr>
          <w:sz w:val="20"/>
          <w:szCs w:val="20"/>
          <w:color w:val="auto"/>
        </w:rPr>
      </w:pPr>
    </w:p>
    <w:p>
      <w:pPr>
        <w:ind w:firstLine="648"/>
        <w:spacing w:after="0" w:line="317" w:lineRule="auto"/>
        <w:rPr>
          <w:sz w:val="20"/>
          <w:szCs w:val="20"/>
          <w:color w:val="auto"/>
        </w:rPr>
      </w:pPr>
      <w:r>
        <w:rPr>
          <w:rFonts w:ascii="Arial" w:cs="Arial" w:eastAsia="Arial" w:hAnsi="Arial"/>
          <w:sz w:val="18"/>
          <w:szCs w:val="18"/>
          <w:color w:val="auto"/>
        </w:rPr>
        <w:t>During the year ended December 31, 2015, in connection with the TCCC Transaction (as defined in Note 2), $125.0 million relating to the transfer of certain distribution rights was deposited into and remains in escrow pending certain transition milestones (see Note 2).</w:t>
      </w:r>
    </w:p>
    <w:p>
      <w:pPr>
        <w:spacing w:after="0" w:line="1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During the year ended December 31, 2015, the Company cancelled 41.5 million shares of treasury stock (see Note 13). Amounts previously recorded as treasury stock were netted against common stock and retained earnings.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ORGANIZATION AND SUMMARY OF SIGNIFICANT ACCOUNTING POLICIES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Organization </w:t>
      </w:r>
      <w:r>
        <w:rPr>
          <w:rFonts w:ascii="Arial" w:cs="Arial" w:eastAsia="Arial" w:hAnsi="Arial"/>
          <w:sz w:val="20"/>
          <w:szCs w:val="20"/>
          <w:color w:val="auto"/>
        </w:rPr>
        <w:t>– Monster Beverage 1990 Corporation (formerly Monster Beverage Corporation) (“Old Monster”) was incorporated in</w:t>
      </w:r>
      <w:r>
        <w:rPr>
          <w:rFonts w:ascii="Arial" w:cs="Arial" w:eastAsia="Arial" w:hAnsi="Arial"/>
          <w:sz w:val="20"/>
          <w:szCs w:val="20"/>
          <w:i w:val="1"/>
          <w:iCs w:val="1"/>
          <w:color w:val="auto"/>
        </w:rPr>
        <w:t xml:space="preserve"> </w:t>
      </w:r>
      <w:r>
        <w:rPr>
          <w:rFonts w:ascii="Arial" w:cs="Arial" w:eastAsia="Arial" w:hAnsi="Arial"/>
          <w:sz w:val="20"/>
          <w:szCs w:val="20"/>
          <w:color w:val="auto"/>
        </w:rPr>
        <w:t>Delaware on April 25, 1990. As a result of the TCCC Transaction (as defined and described in Note 2 below), Old Monster effected a holding company reorganization on June 12, 2015, pursuant to which it became a wholly owned subsidiary of New Laser Corporation, which then changed its name to “Monster Beverage Corporation”. Monster Beverage Corporation (the “Company”) is a holding company and has no operating business except through its consolidated subsidiaries.</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The Company develops, markets, sells and distributes energy drink beverages and/or concentrates for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drink beverages, primarily under the following brand names: Monster Energy®, Monster Rehab®, Monster Energy Extra Strength Nitrous Technology®, Java Monster®, Muscle Monster®, Mega Monster Energy®, Punch Monster®, Juice Monster®, M3®, Ubermonster®, BU®, Nalu®, NOS®, Full Throttle®, Burn®, Mother®, Ultra®, Play® and Power Play®, Gladiator®, Relentless®, Samurai® and BPM. Through June 12, 2015, the Company also developed, marketed, sold and distributed “alternative” beverage category beverages under the following brand names: Peace Tea®, Hansen’s®, Hansen’s Natural Cane Soda®, Junior Juice®, Blue Sky® and Hubert’s®. These brands were transferred to The Coca-Cola Company (“TCCC”) as part of the TCCC Transaction (as defined and described in Note 2 below).</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Basis of Presentation </w:t>
      </w:r>
      <w:r>
        <w:rPr>
          <w:rFonts w:ascii="Arial" w:cs="Arial" w:eastAsia="Arial" w:hAnsi="Arial"/>
          <w:sz w:val="20"/>
          <w:szCs w:val="20"/>
          <w:color w:val="auto"/>
        </w:rPr>
        <w:t>– The accompanying consolidated financial statements have been prepared in accordance with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generally accepted in the United States of America (“GAAP”) and include the accounts of the Company and its consolidated subsidiaries.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Principles of Consolidation </w:t>
      </w:r>
      <w:r>
        <w:rPr>
          <w:rFonts w:ascii="Arial" w:cs="Arial" w:eastAsia="Arial" w:hAnsi="Arial"/>
          <w:sz w:val="20"/>
          <w:szCs w:val="20"/>
          <w:color w:val="auto"/>
        </w:rPr>
        <w:t>– The Company consolidates all entities that it controls by ownership of a majority voting interest. All</w:t>
      </w:r>
      <w:r>
        <w:rPr>
          <w:rFonts w:ascii="Arial" w:cs="Arial" w:eastAsia="Arial" w:hAnsi="Arial"/>
          <w:sz w:val="20"/>
          <w:szCs w:val="20"/>
          <w:i w:val="1"/>
          <w:iCs w:val="1"/>
          <w:color w:val="auto"/>
        </w:rPr>
        <w:t xml:space="preserve"> </w:t>
      </w:r>
      <w:r>
        <w:rPr>
          <w:rFonts w:ascii="Arial" w:cs="Arial" w:eastAsia="Arial" w:hAnsi="Arial"/>
          <w:sz w:val="20"/>
          <w:szCs w:val="20"/>
          <w:color w:val="auto"/>
        </w:rPr>
        <w:t>intercompany balances and transactions have been eliminated in consolidation.</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 Business acquisitions are accounted for in accordance with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(“ASC”) 805 “Business Combinations”.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w:t>
      </w:r>
      <w:r>
        <w:rPr>
          <w:rFonts w:ascii="Arial" w:cs="Arial" w:eastAsia="Arial" w:hAnsi="Arial"/>
          <w:sz w:val="20"/>
          <w:szCs w:val="20"/>
          <w:i w:val="1"/>
          <w:iCs w:val="1"/>
          <w:color w:val="auto"/>
        </w:rPr>
        <w:t xml:space="preserve"> </w:t>
      </w:r>
      <w:r>
        <w:rPr>
          <w:rFonts w:ascii="Arial" w:cs="Arial" w:eastAsia="Arial" w:hAnsi="Arial"/>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ind w:firstLine="689"/>
        <w:spacing w:after="0" w:line="27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Company’s investments in debt securities are classified as either held-to-maturity, available-for-sale or trading,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loss as a separate</w:t>
      </w:r>
    </w:p>
    <w:p>
      <w:pPr>
        <w:sectPr>
          <w:pgSz w:w="11900" w:h="16850" w:orient="portrait"/>
          <w:cols w:equalWidth="0" w:num="1">
            <w:col w:w="11420"/>
          </w:cols>
          <w:pgMar w:left="240" w:top="122" w:right="239" w:bottom="0" w:gutter="0" w:footer="0" w:header="0"/>
        </w:sectPr>
      </w:pPr>
    </w:p>
    <w:bookmarkStart w:id="53" w:name="page54"/>
    <w:bookmarkEnd w:id="53"/>
    <w:p>
      <w:pPr>
        <w:jc w:val="both"/>
        <w:spacing w:after="0" w:line="269" w:lineRule="auto"/>
        <w:rPr>
          <w:sz w:val="20"/>
          <w:szCs w:val="20"/>
          <w:color w:val="auto"/>
        </w:rPr>
      </w:pPr>
      <w:r>
        <w:rPr>
          <w:rFonts w:ascii="Arial" w:cs="Arial" w:eastAsia="Arial" w:hAnsi="Arial"/>
          <w:sz w:val="18"/>
          <w:szCs w:val="18"/>
          <w:color w:val="auto"/>
        </w:rPr>
        <w:t>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4).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collectability of its trade accounts receivable based on a number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Inventories </w:t>
      </w:r>
      <w:r>
        <w:rPr>
          <w:rFonts w:ascii="Arial" w:cs="Arial" w:eastAsia="Arial" w:hAnsi="Arial"/>
          <w:sz w:val="20"/>
          <w:szCs w:val="20"/>
          <w:color w:val="auto"/>
        </w:rPr>
        <w:t>– Inventories are valued at the lower of first-in, first-out, cost or market value (net realizable value).</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Property and Equipment </w:t>
      </w:r>
      <w:r>
        <w:rPr>
          <w:rFonts w:ascii="Arial" w:cs="Arial" w:eastAsia="Arial" w:hAnsi="Arial"/>
          <w:sz w:val="20"/>
          <w:szCs w:val="20"/>
          <w:color w:val="auto"/>
        </w:rPr>
        <w:t>– Property and equipment are stated at cost. Depreciation of furniture and fixtures, office and computer</w:t>
      </w:r>
      <w:r>
        <w:rPr>
          <w:rFonts w:ascii="Arial" w:cs="Arial" w:eastAsia="Arial" w:hAnsi="Arial"/>
          <w:sz w:val="20"/>
          <w:szCs w:val="20"/>
          <w:i w:val="1"/>
          <w:iCs w:val="1"/>
          <w:color w:val="auto"/>
        </w:rPr>
        <w:t xml:space="preserve"> </w:t>
      </w:r>
      <w:r>
        <w:rPr>
          <w:rFonts w:ascii="Arial" w:cs="Arial" w:eastAsia="Arial" w:hAnsi="Arial"/>
          <w:sz w:val="20"/>
          <w:szCs w:val="20"/>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capitalized. The related costs and accumulated depreciation of disposed assets are eliminated and any resulting gain or loss on disposition is included in net income.</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records goodwill when the consideration paid for an acquisition exceeds the fair value of net tangible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determines that the fair value is less than the carrying value, the Company will use a two-step process to determine the amount of goodwill impairment. The first step requires comparing the fair value of the reporting unit to its net book value, including goodwill. A potential impairment exists if the fair value of the reporting unit is lower than its net book value. The second step of the process, performed only if a potential impairment exists, involves determining the difference between the fair value of the reporting unit’s net assets, other than goodwill, and the fair value of the reporting unit. An impairment charge is recognized for the excess of the carrying value of goodwill over its implied fair value.</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Other Intangibles </w:t>
      </w:r>
      <w:r>
        <w:rPr>
          <w:rFonts w:ascii="Arial" w:cs="Arial" w:eastAsia="Arial" w:hAnsi="Arial"/>
          <w:sz w:val="18"/>
          <w:szCs w:val="18"/>
          <w:color w:val="auto"/>
        </w:rPr>
        <w:t>– Other Intangibles are comprised primarily of trademarks that represent the Company’s exclusive ownership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Monster Energy®, </w:t>
      </w:r>
      <w:r>
        <w:rPr>
          <w:sz w:val="1"/>
          <w:szCs w:val="1"/>
          <w:color w:val="auto"/>
        </w:rPr>
        <w:drawing>
          <wp:inline distT="0" distB="0" distL="0" distR="0">
            <wp:extent cx="102870"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128905"/>
                    </a:xfrm>
                    <a:prstGeom prst="rect">
                      <a:avLst/>
                    </a:prstGeom>
                    <a:noFill/>
                    <a:ln>
                      <a:noFill/>
                    </a:ln>
                  </pic:spPr>
                </pic:pic>
              </a:graphicData>
            </a:graphic>
          </wp:inline>
        </w:drawing>
      </w:r>
      <w:r>
        <w:rPr>
          <w:rFonts w:ascii="Arial" w:cs="Arial" w:eastAsia="Arial" w:hAnsi="Arial"/>
          <w:sz w:val="18"/>
          <w:szCs w:val="18"/>
          <w:color w:val="auto"/>
        </w:rPr>
        <w:t>®, Monster Rehab®, Java Monster®, Unleash the Beast®, Monster Energy Extra Strength Nitrous Technology®, Muscle Monster®, Mega Monster Energy®, Punch Monster®, Juice Monster®, M3®, Ubermonster®, BU®, Nalu®, NOS®, Full Throttle®, Burn®, Mother®, Ultra®, Play® and Power Play®, Gladiator®, Relentless®, Samurai® and BPM® trademarks, all used in connection with the manufacture, sale and distribution of beverages. The Company also owns in its own right a number of other trademarks in the United States, as well as in a number of countries around the world. In accordance with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For the fiscal years ended December 31, 2015, 2014 and 2013, there were no impairments recorded.</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w:t>
      </w:r>
    </w:p>
    <w:p>
      <w:pPr>
        <w:sectPr>
          <w:pgSz w:w="11900" w:h="16838" w:orient="portrait"/>
          <w:cols w:equalWidth="0" w:num="1">
            <w:col w:w="11420"/>
          </w:cols>
          <w:pgMar w:left="240" w:top="122" w:right="239" w:bottom="0" w:gutter="0" w:footer="0" w:header="0"/>
        </w:sectPr>
      </w:pPr>
    </w:p>
    <w:bookmarkStart w:id="54" w:name="page55"/>
    <w:bookmarkEnd w:id="54"/>
    <w:p>
      <w:pPr>
        <w:jc w:val="both"/>
        <w:spacing w:after="0" w:line="292" w:lineRule="auto"/>
        <w:rPr>
          <w:sz w:val="20"/>
          <w:szCs w:val="20"/>
          <w:color w:val="auto"/>
        </w:rPr>
      </w:pPr>
      <w:r>
        <w:rPr>
          <w:rFonts w:ascii="Arial" w:cs="Arial" w:eastAsia="Arial" w:hAnsi="Arial"/>
          <w:sz w:val="18"/>
          <w:szCs w:val="18"/>
          <w:color w:val="auto"/>
        </w:rPr>
        <w:t>business risks. Preparation of estimated expected future cash flows is inherently subjective and is based on management’s best estimate of assumptions concerning expected future conditions. For the fiscal years ended December 31, 2015, 2014 and 2013, there were no impairment indicators identified. Long-lived assets held for sale are recorded at the lower of their carrying amount or fair value less cost to sell.</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Foreign Currency Translation and Transactions </w:t>
      </w:r>
      <w:r>
        <w:rPr>
          <w:rFonts w:ascii="Arial" w:cs="Arial" w:eastAsia="Arial" w:hAnsi="Arial"/>
          <w:sz w:val="18"/>
          <w:szCs w:val="18"/>
          <w:color w:val="auto"/>
        </w:rPr>
        <w:t>– The accounts of the Company’s foreign subsidiaries are translated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ASC 830. Foreign currency transaction gains and losses are recognized in other expense, net, at the time they occur. Net foreign currency exchange gains or losses resulting from the translation of assets and liabilities of foreign subsidiaries whose functional currency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not the U.S. dollar are recorded as a part of accumulated other comprehensive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 stockholders’ equity. During the years ended December 31, 2015 and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2015 have terms of one month or less. We do not enter into forward currency exchange contracts for speculation or trading purposes.</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has not designated its foreign currency exchange contracts as hedge transactions under ASC 815. Therefore, gains and losses on the Company’s foreign currency exchange contracts are recognized in other expense, net, in the consolidated statements of income, and are largely offset by the changes in the fair value of the underlying economically hedged item. For the years ended December 31, 2015, 2014 and 2013, aggregate foreign currency transaction losses, including the gains or losses on forward currency exchange contracts, amounted to $5.5 million, $3.4 million and $12.9 million, respectively, and have been recorded in other expense, net in the accompanying consolidated statements of income.</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The Company recognizes revenue when persuasive evidence of an arrangement exists, delivery has occurred,</w:t>
      </w:r>
      <w:r>
        <w:rPr>
          <w:rFonts w:ascii="Arial" w:cs="Arial" w:eastAsia="Arial" w:hAnsi="Arial"/>
          <w:sz w:val="20"/>
          <w:szCs w:val="20"/>
          <w:i w:val="1"/>
          <w:iCs w:val="1"/>
          <w:color w:val="auto"/>
        </w:rPr>
        <w:t xml:space="preserve"> </w:t>
      </w:r>
      <w:r>
        <w:rPr>
          <w:rFonts w:ascii="Arial" w:cs="Arial" w:eastAsia="Arial" w:hAnsi="Arial"/>
          <w:sz w:val="20"/>
          <w:szCs w:val="20"/>
          <w:color w:val="auto"/>
        </w:rPr>
        <w:t>the sales price is fixed or determinable and collectability is reasonably assured.</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Generally, ownership of and title to the Company’s finished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w:t>
      </w:r>
    </w:p>
    <w:p>
      <w:pPr>
        <w:spacing w:after="0" w:line="20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Revenue for the Concentrate Segment is generally recognized when title to the concentrate is transferred to the customer. In particular, title to the concentrate usually passes upon shipment to the customers’ locations, as determined by the specific sales terms of the transactions.</w:t>
      </w:r>
    </w:p>
    <w:p>
      <w:pPr>
        <w:spacing w:after="0" w:line="144" w:lineRule="exact"/>
        <w:rPr>
          <w:sz w:val="20"/>
          <w:szCs w:val="20"/>
          <w:color w:val="auto"/>
        </w:rPr>
      </w:pPr>
    </w:p>
    <w:p>
      <w:pPr>
        <w:jc w:val="both"/>
        <w:ind w:firstLine="689"/>
        <w:spacing w:after="0" w:line="256" w:lineRule="auto"/>
        <w:rPr>
          <w:sz w:val="20"/>
          <w:szCs w:val="20"/>
          <w:color w:val="auto"/>
        </w:rPr>
      </w:pPr>
      <w:r>
        <w:rPr>
          <w:rFonts w:ascii="Arial" w:cs="Arial" w:eastAsia="Arial" w:hAnsi="Arial"/>
          <w:sz w:val="19"/>
          <w:szCs w:val="19"/>
          <w:color w:val="auto"/>
        </w:rPr>
        <w:t>Net sales have been determined after deduction of promotional and other allowances in accordance with ASC 605-50. The Company’s promotional and other allowances are calculated based on various programs with its distributors and retail customers, and accruals are established during the year for the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 and actual expenses for promotional and other allowance costs have historically been insignificant and are recognized in earnings in the period such differences are determined. 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 generally 20 years.</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ind w:firstLine="689"/>
        <w:spacing w:after="0" w:line="282"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 Cost of sales consists of the costs of concentrates and/or beverage bases, the costs of raw materials utilized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of products, co-packing fees, repacking 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flavors, ingredients and packaging materials.</w:t>
      </w:r>
    </w:p>
    <w:p>
      <w:pPr>
        <w:sectPr>
          <w:pgSz w:w="11900" w:h="16838" w:orient="portrait"/>
          <w:cols w:equalWidth="0" w:num="1">
            <w:col w:w="11420"/>
          </w:cols>
          <w:pgMar w:left="240" w:top="122" w:right="239" w:bottom="0" w:gutter="0" w:footer="0" w:header="0"/>
        </w:sectPr>
      </w:pPr>
    </w:p>
    <w:bookmarkStart w:id="55" w:name="page56"/>
    <w:bookmarkEnd w:id="55"/>
    <w:p>
      <w:pPr>
        <w:jc w:val="both"/>
        <w:ind w:firstLine="648"/>
        <w:spacing w:after="0" w:line="27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6"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i w:val="1"/>
          <w:iCs w:val="1"/>
          <w:color w:val="auto"/>
        </w:rPr>
        <w:t xml:space="preserve">Freight-Out Costs </w:t>
      </w:r>
      <w:r>
        <w:rPr>
          <w:rFonts w:ascii="Arial" w:cs="Arial" w:eastAsia="Arial" w:hAnsi="Arial"/>
          <w:sz w:val="16"/>
          <w:szCs w:val="16"/>
          <w:color w:val="auto"/>
        </w:rPr>
        <w:t>– For the years ended December 31, 2015, 2014 and 2013, freight-out costs amounted to $87.0 million, $92.7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$84.0 million, respectively, and have been recorded in operating expenses in the accompanying consolidated statements of income.</w:t>
      </w:r>
    </w:p>
    <w:p>
      <w:pPr>
        <w:spacing w:after="0" w:line="9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Advertising and Promotional Expenses </w:t>
      </w:r>
      <w:r>
        <w:rPr>
          <w:rFonts w:ascii="Arial" w:cs="Arial" w:eastAsia="Arial" w:hAnsi="Arial"/>
          <w:sz w:val="18"/>
          <w:szCs w:val="18"/>
          <w:color w:val="auto"/>
        </w:rPr>
        <w:t>– The Company accounts for advertising production costs by expensing such production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periodic performance compliance provisions of the contracts. Advertising and promotional expenses, including but not limited to production costs, amounted to $209.7 million, $171.5 million and $181.8 million for the years ended December 31, 2015, 2014 and 2013, respectively. Advertising and promotional expenses are included in operating expenses in the accompanying consolidated statements of income.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utilizes the liability method of accounting for income taxes as set forth in ASC 740. Under the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accounts for stock-based compensation under the provisions of ASC 718.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(See Note 14).</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Net Income Per Common Share </w:t>
      </w:r>
      <w:r>
        <w:rPr>
          <w:rFonts w:ascii="Arial" w:cs="Arial" w:eastAsia="Arial" w:hAnsi="Arial"/>
          <w:sz w:val="19"/>
          <w:szCs w:val="19"/>
          <w:color w:val="auto"/>
        </w:rPr>
        <w:t>– In accordance with ASC 260, net income per common share, on a basic and diluted basis, is</w:t>
      </w:r>
      <w:r>
        <w:rPr>
          <w:rFonts w:ascii="Arial" w:cs="Arial" w:eastAsia="Arial" w:hAnsi="Arial"/>
          <w:sz w:val="19"/>
          <w:szCs w:val="19"/>
          <w:i w:val="1"/>
          <w:iCs w:val="1"/>
          <w:color w:val="auto"/>
        </w:rPr>
        <w:t xml:space="preserve"> </w:t>
      </w:r>
      <w:r>
        <w:rPr>
          <w:rFonts w:ascii="Arial" w:cs="Arial" w:eastAsia="Arial" w:hAnsi="Arial"/>
          <w:sz w:val="19"/>
          <w:szCs w:val="19"/>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Concentration of Risk – </w:t>
      </w:r>
      <w:r>
        <w:rPr>
          <w:rFonts w:ascii="Arial" w:cs="Arial" w:eastAsia="Arial" w:hAnsi="Arial"/>
          <w:sz w:val="20"/>
          <w:szCs w:val="20"/>
          <w:color w:val="auto"/>
        </w:rPr>
        <w:t>Certain of the Company’s products utilize components (raw materials and/or co-packing services) from a</w:t>
      </w:r>
      <w:r>
        <w:rPr>
          <w:rFonts w:ascii="Arial" w:cs="Arial" w:eastAsia="Arial" w:hAnsi="Arial"/>
          <w:sz w:val="20"/>
          <w:szCs w:val="20"/>
          <w:i w:val="1"/>
          <w:iCs w:val="1"/>
          <w:color w:val="auto"/>
        </w:rPr>
        <w:t xml:space="preserve"> </w:t>
      </w:r>
      <w:r>
        <w:rPr>
          <w:rFonts w:ascii="Arial" w:cs="Arial" w:eastAsia="Arial" w:hAnsi="Arial"/>
          <w:sz w:val="20"/>
          <w:szCs w:val="20"/>
          <w:color w:val="auto"/>
        </w:rPr>
        <w:t>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TCCC, through certain wholly-owned subsidiaries (the “TCCC Subsidiaries”), accounted for approximately 42%, 29% and 29% of the Company’s net sales for the years ended December 31, 2015, 2014 and 2013, respectively.</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and internationally, primarily to full service beverage distributors, retail</w:t>
      </w:r>
      <w:r>
        <w:rPr>
          <w:rFonts w:ascii="Arial" w:cs="Arial" w:eastAsia="Arial" w:hAnsi="Arial"/>
          <w:sz w:val="18"/>
          <w:szCs w:val="18"/>
          <w:i w:val="1"/>
          <w:iCs w:val="1"/>
          <w:color w:val="auto"/>
        </w:rPr>
        <w:t xml:space="preserve"> </w:t>
      </w:r>
      <w:r>
        <w:rPr>
          <w:rFonts w:ascii="Arial" w:cs="Arial" w:eastAsia="Arial" w:hAnsi="Arial"/>
          <w:sz w:val="18"/>
          <w:szCs w:val="18"/>
          <w:color w:val="auto"/>
        </w:rPr>
        <w:t>grocery and specialty chains, wholesalers, club stores, drug chains, mass merchandisers, convenience chains, health food distributors and food service customers. The Company performs ongoing credit evaluations of its customers and generally does not require collateral. The Company maintains reserves for estimated credit losses, and historically, such losses have been within management’s expectations.</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 of the Company’s financial instruments, including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accounts payable and accrued liabilities, approximate fair value due to the relatively short maturity of the respective</w:t>
      </w:r>
    </w:p>
    <w:p>
      <w:pPr>
        <w:sectPr>
          <w:pgSz w:w="11900" w:h="16838" w:orient="portrait"/>
          <w:cols w:equalWidth="0" w:num="1">
            <w:col w:w="11420"/>
          </w:cols>
          <w:pgMar w:left="240" w:top="122" w:right="239" w:bottom="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instruments.</w:t>
      </w:r>
    </w:p>
    <w:p>
      <w:pPr>
        <w:spacing w:after="0" w:line="2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Use of Estimates </w:t>
      </w:r>
      <w:r>
        <w:rPr>
          <w:rFonts w:ascii="Arial" w:cs="Arial" w:eastAsia="Arial" w:hAnsi="Arial"/>
          <w:sz w:val="20"/>
          <w:szCs w:val="20"/>
          <w:color w:val="auto"/>
        </w:rPr>
        <w:t>– The preparation of the consolidated financial statements in conformity with GAAP requires management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Recent Accounting Pronouncements – </w:t>
      </w:r>
      <w:r>
        <w:rPr>
          <w:rFonts w:ascii="Arial" w:cs="Arial" w:eastAsia="Arial" w:hAnsi="Arial"/>
          <w:sz w:val="20"/>
          <w:szCs w:val="20"/>
          <w:color w:val="auto"/>
        </w:rPr>
        <w:t>In November 2015, the FASB issued ASU No. 2015-17, “Income Taxes (Topic 740), Balance</w:t>
      </w:r>
      <w:r>
        <w:rPr>
          <w:rFonts w:ascii="Arial" w:cs="Arial" w:eastAsia="Arial" w:hAnsi="Arial"/>
          <w:sz w:val="20"/>
          <w:szCs w:val="20"/>
          <w:i w:val="1"/>
          <w:iCs w:val="1"/>
          <w:color w:val="auto"/>
        </w:rPr>
        <w:t xml:space="preserve"> </w:t>
      </w:r>
      <w:r>
        <w:rPr>
          <w:rFonts w:ascii="Arial" w:cs="Arial" w:eastAsia="Arial" w:hAnsi="Arial"/>
          <w:sz w:val="20"/>
          <w:szCs w:val="20"/>
          <w:color w:val="auto"/>
        </w:rPr>
        <w:t>Sheet Classification of Deferred Taxes”. The amendments 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new guidance require that deferred tax liabilities and assets be classified as noncurrent in a classified statement of financial position. The guidance is effective for financial statements issued for annual periods beginning after December 15, 2016, and interim periods within those annual periods. Earlier application is permitted for all entities as of the beginning of an interim or annual reporting period. The Company adopted the standards update effective December 31, 2015, electing to apply it retrospectively to all periods presented. As a result, current assets in the consolidated balance sheet as of December 31, 2014 were reduced by $40.3 million.</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2015-11 requires entities to measure inventory at the lower of cost or net realizable value. Net realizable value is defined as the estimated selling prices in the ordinary course of business, less reasonably predictable costs of completion, disposal and transportation. ASU 2015-11 is effective for annual periods, and interim periods within those years, beginning after December 15, 2016. Early adoption is permitted. The adoption of ASU 2015-11 is not expected to have a material impact on the Company’s financial position, results of operations or liquidity.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June 2014, the FASB issued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firstLine="8"/>
        <w:spacing w:after="0" w:line="241" w:lineRule="auto"/>
        <w:tabs>
          <w:tab w:leader="none" w:pos="317"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was to be effective for reporting periods beginning after December 15, 2016. However, on July 9, 2015, the FASB voted to approve a one-year deferral of the effective date. This new</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guidance is effective for the Company beginning January 1, 2018 and can be adopted using either a full retrospective or modified approach.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currently evaluating the impact of ASU 2014-09 on its financial position, results of operations and liquidity.</w:t>
      </w:r>
    </w:p>
    <w:p>
      <w:pPr>
        <w:spacing w:after="0" w:line="213"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ACQUISITIONS AND DIVESTITURES</w:t>
      </w:r>
    </w:p>
    <w:p>
      <w:pPr>
        <w:sectPr>
          <w:pgSz w:w="11900" w:h="16838" w:orient="portrait"/>
          <w:cols w:equalWidth="0" w:num="1">
            <w:col w:w="11420"/>
          </w:cols>
          <w:pgMar w:left="240" w:top="122" w:right="239" w:bottom="0" w:gutter="0" w:footer="0" w:header="0"/>
        </w:sectPr>
      </w:pPr>
    </w:p>
    <w:bookmarkStart w:id="57" w:name="page58"/>
    <w:bookmarkEnd w:id="57"/>
    <w:p>
      <w:pPr>
        <w:jc w:val="both"/>
        <w:ind w:right="20" w:firstLine="648"/>
        <w:spacing w:after="0" w:line="287" w:lineRule="auto"/>
        <w:rPr>
          <w:sz w:val="20"/>
          <w:szCs w:val="20"/>
          <w:color w:val="auto"/>
        </w:rPr>
      </w:pPr>
      <w:r>
        <w:rPr>
          <w:rFonts w:ascii="Arial" w:cs="Arial" w:eastAsia="Arial" w:hAnsi="Arial"/>
          <w:sz w:val="19"/>
          <w:szCs w:val="19"/>
          <w:color w:val="auto"/>
        </w:rPr>
        <w:t>On June 12, 2015, Old Monster completed the transactions contemplated by the definitive agreements entered into with TCCC on August 14, 2014, which provided for a long-term strategic relationship in the global energy drink category (the “TCCC Transaction”).</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Also, on June 12, 2015, Old Monster effected a holding company reorganization in connection with the TCCC Transaction by merging New Laser Merger Corp., a wholly owned subsidiary of the Company, into Old Monster, with Old Monster surviving as a wholly owned subsidiary of the Company (the “Holding Company Reorganization”), and the Company changed its name from New Laser Corporation to “Monster Beverage Corporation.”</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the Holding Company Reorganization, each Old Monster common share, par value $0.005 per share, outstanding immediately prior to the consummation of the Holding Company Reorganization (other than any Old Monster common shares that were owned by Old Monster immediately prior to the closing of the TCCC Transaction, which were cancelled (see Note 13)), was converted automatically into the right to receive one Company common share, par value $0.005 per share. In addition, upon consummation of the Holding Company Reorganization:</w:t>
      </w:r>
    </w:p>
    <w:p>
      <w:pPr>
        <w:spacing w:after="0" w:line="175" w:lineRule="exact"/>
        <w:rPr>
          <w:sz w:val="20"/>
          <w:szCs w:val="20"/>
          <w:color w:val="auto"/>
        </w:rPr>
      </w:pPr>
    </w:p>
    <w:p>
      <w:pPr>
        <w:jc w:val="both"/>
        <w:ind w:left="660" w:hanging="328"/>
        <w:spacing w:after="0" w:line="246" w:lineRule="auto"/>
        <w:tabs>
          <w:tab w:leader="none" w:pos="642" w:val="left"/>
        </w:tabs>
        <w:numPr>
          <w:ilvl w:val="0"/>
          <w:numId w:val="37"/>
        </w:numPr>
        <w:rPr>
          <w:rFonts w:ascii="Arial" w:cs="Arial" w:eastAsia="Arial" w:hAnsi="Arial"/>
          <w:sz w:val="20"/>
          <w:szCs w:val="20"/>
          <w:color w:val="auto"/>
        </w:rPr>
      </w:pPr>
      <w:r>
        <w:rPr>
          <w:rFonts w:ascii="Arial" w:cs="Arial" w:eastAsia="Arial" w:hAnsi="Arial"/>
          <w:sz w:val="20"/>
          <w:szCs w:val="20"/>
          <w:color w:val="auto"/>
        </w:rPr>
        <w:t>each unexercised and unexpired stock option then outstanding under any equity compensation plan of Old Monster, whether or not then exercisable, ceased to represent a right to acquire Old Monster common shares and was converted automatically into a right to acquire the same number of Company common shares, on the same terms and conditions as were applicable under such Old Monster stock option; and</w:t>
      </w:r>
    </w:p>
    <w:p>
      <w:pPr>
        <w:spacing w:after="0" w:line="205" w:lineRule="exact"/>
        <w:rPr>
          <w:rFonts w:ascii="Arial" w:cs="Arial" w:eastAsia="Arial" w:hAnsi="Arial"/>
          <w:sz w:val="20"/>
          <w:szCs w:val="20"/>
          <w:color w:val="auto"/>
        </w:rPr>
      </w:pPr>
    </w:p>
    <w:p>
      <w:pPr>
        <w:jc w:val="both"/>
        <w:ind w:left="660" w:hanging="328"/>
        <w:spacing w:after="0" w:line="244" w:lineRule="auto"/>
        <w:tabs>
          <w:tab w:leader="none" w:pos="777" w:val="left"/>
        </w:tabs>
        <w:numPr>
          <w:ilvl w:val="0"/>
          <w:numId w:val="37"/>
        </w:numPr>
        <w:rPr>
          <w:rFonts w:ascii="Arial" w:cs="Arial" w:eastAsia="Arial" w:hAnsi="Arial"/>
          <w:sz w:val="20"/>
          <w:szCs w:val="20"/>
          <w:color w:val="auto"/>
        </w:rPr>
      </w:pPr>
      <w:r>
        <w:rPr>
          <w:rFonts w:ascii="Arial" w:cs="Arial" w:eastAsia="Arial" w:hAnsi="Arial"/>
          <w:sz w:val="20"/>
          <w:szCs w:val="20"/>
          <w:color w:val="auto"/>
        </w:rPr>
        <w:t>each share of restricted stock and each restricted stock unit of Old Monster granted under all outstanding equity compensation plans ceased to represent or relate to Old Monster common shares and was converted automatically to represent or relate to Company common shares, on the same terms and conditions as were applicable to such Old Monster restricted stock and restricted stock units (including the vesting or other lapse restrictions (without acceleration thereof by virtue of the Holding Company Reorganization and the TCCC Transaction)).</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Promptly following the effective time of the Holding Company Reorganization, Old Monster assigned to the Company all obligations of Old Monster under Old Monster’s equity compensation plans and each stock option agreement, restricted stock award agreement, restricted stock unit award agreement and any similar agreement entered into pursuant to such equity compensation plans. In addition, all obligations of Old Monster under any employment agreements and indemnification agreements were assigned to the Company.</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Immediately after the effective time of the Holding Company Reorganization, (1) the Company issued to TCCC 34,040,534 newly issued Company common shares representing approximately 16.7% of the total number of outstanding Company common shares (after giving effect to such issuance) (the “New Issuance”) and TCCC appointed two individuals to the Company’s Board of Directors, (2) TCCC transferred all of its rights in and to TCCC’s worldwide energy drink business (“KO Energy”) to the Company, (3) Old Monster transferred all of its rights in and to its non-energy drink business (“Monster Non-Energy”) to TCCC, (4) the Company and TCCC amended the distribution coordination agreements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previously existing between them to govern the transition of third parties’ rights to distribute the Company’s energy products in most territories in the U.S. to members of TCCC’s distribution network, which consists of owned or controlled bottlers/distributors and independent bottlers/distributors, and (5) TCCC and one of its subsidiaries made an aggregate net cash payment to the Company of $2.15 billion, $125.0 million of which is currently held in escrow as described below, pursuant to an escrow agreement (the “Escrow Agreement”), subject to release upon the achievement of milestones relating to the transition of distribution rights to TCCC’s distribution network.</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Under the terms of the Escrow Agreement and the transition payment agreement entered into in connection therewith, if the distribution rights in the U.S. that are transitioned to TCCC’s distribution network represent case sales in excess of the following percentages of a target case sale amount agreed to by the parties, amounts in the escrow fund in excess of the applicable amounts below will be released to the Company:</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920" w:type="dxa"/>
            <w:vAlign w:val="bottom"/>
          </w:tcPr>
          <w:p>
            <w:pPr>
              <w:jc w:val="right"/>
              <w:spacing w:after="0"/>
              <w:rPr>
                <w:sz w:val="20"/>
                <w:szCs w:val="20"/>
                <w:color w:val="auto"/>
              </w:rPr>
            </w:pPr>
            <w:r>
              <w:rPr>
                <w:rFonts w:ascii="Arial" w:cs="Arial" w:eastAsia="Arial" w:hAnsi="Arial"/>
                <w:sz w:val="20"/>
                <w:szCs w:val="20"/>
                <w:color w:val="auto"/>
                <w:w w:val="87"/>
              </w:rPr>
              <w:t>Percentage Transitioned</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20"/>
                <w:szCs w:val="20"/>
                <w:color w:val="auto"/>
              </w:rPr>
              <w:t>Escrow Release</w:t>
            </w:r>
          </w:p>
        </w:tc>
      </w:tr>
      <w:tr>
        <w:trPr>
          <w:trHeight w:val="20"/>
        </w:trPr>
        <w:tc>
          <w:tcPr>
            <w:tcW w:w="19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3"/>
        </w:trPr>
        <w:tc>
          <w:tcPr>
            <w:tcW w:w="1920" w:type="dxa"/>
            <w:vAlign w:val="bottom"/>
          </w:tcPr>
          <w:p>
            <w:pPr>
              <w:jc w:val="right"/>
              <w:ind w:right="1121"/>
              <w:spacing w:after="0"/>
              <w:rPr>
                <w:sz w:val="20"/>
                <w:szCs w:val="20"/>
                <w:color w:val="auto"/>
              </w:rPr>
            </w:pPr>
            <w:r>
              <w:rPr>
                <w:rFonts w:ascii="Arial" w:cs="Arial" w:eastAsia="Arial" w:hAnsi="Arial"/>
                <w:sz w:val="20"/>
                <w:szCs w:val="20"/>
                <w:color w:val="auto"/>
              </w:rPr>
              <w:t>40%</w:t>
            </w:r>
          </w:p>
        </w:tc>
        <w:tc>
          <w:tcPr>
            <w:tcW w:w="920" w:type="dxa"/>
            <w:vAlign w:val="bottom"/>
          </w:tcPr>
          <w:p>
            <w:pPr>
              <w:spacing w:after="0"/>
              <w:rPr>
                <w:sz w:val="20"/>
                <w:szCs w:val="20"/>
                <w:color w:val="auto"/>
              </w:rPr>
            </w:pPr>
          </w:p>
        </w:tc>
        <w:tc>
          <w:tcPr>
            <w:tcW w:w="3840" w:type="dxa"/>
            <w:vAlign w:val="bottom"/>
            <w:gridSpan w:val="3"/>
          </w:tcPr>
          <w:p>
            <w:pPr>
              <w:ind w:left="920"/>
              <w:spacing w:after="0"/>
              <w:rPr>
                <w:sz w:val="20"/>
                <w:szCs w:val="20"/>
                <w:color w:val="auto"/>
              </w:rPr>
            </w:pPr>
            <w:r>
              <w:rPr>
                <w:rFonts w:ascii="Arial" w:cs="Arial" w:eastAsia="Arial" w:hAnsi="Arial"/>
                <w:sz w:val="20"/>
                <w:szCs w:val="20"/>
                <w:color w:val="auto"/>
                <w:w w:val="95"/>
              </w:rPr>
              <w:t>Amounts in excess of $375 million</w:t>
            </w:r>
          </w:p>
        </w:tc>
      </w:tr>
      <w:tr>
        <w:trPr>
          <w:trHeight w:val="230"/>
        </w:trPr>
        <w:tc>
          <w:tcPr>
            <w:tcW w:w="1920" w:type="dxa"/>
            <w:vAlign w:val="bottom"/>
          </w:tcPr>
          <w:p>
            <w:pPr>
              <w:jc w:val="right"/>
              <w:ind w:right="1121"/>
              <w:spacing w:after="0"/>
              <w:rPr>
                <w:sz w:val="20"/>
                <w:szCs w:val="20"/>
                <w:color w:val="auto"/>
              </w:rPr>
            </w:pPr>
            <w:r>
              <w:rPr>
                <w:rFonts w:ascii="Arial" w:cs="Arial" w:eastAsia="Arial" w:hAnsi="Arial"/>
                <w:sz w:val="20"/>
                <w:szCs w:val="20"/>
                <w:color w:val="auto"/>
              </w:rPr>
              <w:t>50%</w:t>
            </w:r>
          </w:p>
        </w:tc>
        <w:tc>
          <w:tcPr>
            <w:tcW w:w="920" w:type="dxa"/>
            <w:vAlign w:val="bottom"/>
          </w:tcPr>
          <w:p>
            <w:pPr>
              <w:spacing w:after="0"/>
              <w:rPr>
                <w:sz w:val="19"/>
                <w:szCs w:val="19"/>
                <w:color w:val="auto"/>
              </w:rPr>
            </w:pPr>
          </w:p>
        </w:tc>
        <w:tc>
          <w:tcPr>
            <w:tcW w:w="3840" w:type="dxa"/>
            <w:vAlign w:val="bottom"/>
            <w:gridSpan w:val="3"/>
          </w:tcPr>
          <w:p>
            <w:pPr>
              <w:ind w:left="920"/>
              <w:spacing w:after="0"/>
              <w:rPr>
                <w:sz w:val="20"/>
                <w:szCs w:val="20"/>
                <w:color w:val="auto"/>
              </w:rPr>
            </w:pPr>
            <w:r>
              <w:rPr>
                <w:rFonts w:ascii="Arial" w:cs="Arial" w:eastAsia="Arial" w:hAnsi="Arial"/>
                <w:sz w:val="20"/>
                <w:szCs w:val="20"/>
                <w:color w:val="auto"/>
                <w:w w:val="90"/>
              </w:rPr>
              <w:t>Amounts in excess of $312.5 million</w:t>
            </w:r>
          </w:p>
        </w:tc>
      </w:tr>
      <w:tr>
        <w:trPr>
          <w:trHeight w:val="230"/>
        </w:trPr>
        <w:tc>
          <w:tcPr>
            <w:tcW w:w="1920" w:type="dxa"/>
            <w:vAlign w:val="bottom"/>
          </w:tcPr>
          <w:p>
            <w:pPr>
              <w:jc w:val="right"/>
              <w:ind w:right="1121"/>
              <w:spacing w:after="0"/>
              <w:rPr>
                <w:sz w:val="20"/>
                <w:szCs w:val="20"/>
                <w:color w:val="auto"/>
              </w:rPr>
            </w:pPr>
            <w:r>
              <w:rPr>
                <w:rFonts w:ascii="Arial" w:cs="Arial" w:eastAsia="Arial" w:hAnsi="Arial"/>
                <w:sz w:val="20"/>
                <w:szCs w:val="20"/>
                <w:color w:val="auto"/>
              </w:rPr>
              <w:t>60%</w:t>
            </w:r>
          </w:p>
        </w:tc>
        <w:tc>
          <w:tcPr>
            <w:tcW w:w="920" w:type="dxa"/>
            <w:vAlign w:val="bottom"/>
          </w:tcPr>
          <w:p>
            <w:pPr>
              <w:spacing w:after="0"/>
              <w:rPr>
                <w:sz w:val="19"/>
                <w:szCs w:val="19"/>
                <w:color w:val="auto"/>
              </w:rPr>
            </w:pPr>
          </w:p>
        </w:tc>
        <w:tc>
          <w:tcPr>
            <w:tcW w:w="3840" w:type="dxa"/>
            <w:vAlign w:val="bottom"/>
            <w:gridSpan w:val="3"/>
          </w:tcPr>
          <w:p>
            <w:pPr>
              <w:ind w:left="920"/>
              <w:spacing w:after="0"/>
              <w:rPr>
                <w:sz w:val="20"/>
                <w:szCs w:val="20"/>
                <w:color w:val="auto"/>
              </w:rPr>
            </w:pPr>
            <w:r>
              <w:rPr>
                <w:rFonts w:ascii="Arial" w:cs="Arial" w:eastAsia="Arial" w:hAnsi="Arial"/>
                <w:sz w:val="20"/>
                <w:szCs w:val="20"/>
                <w:color w:val="auto"/>
                <w:w w:val="95"/>
              </w:rPr>
              <w:t>Amounts in excess of $250 million</w:t>
            </w:r>
          </w:p>
        </w:tc>
      </w:tr>
      <w:tr>
        <w:trPr>
          <w:trHeight w:val="230"/>
        </w:trPr>
        <w:tc>
          <w:tcPr>
            <w:tcW w:w="1920" w:type="dxa"/>
            <w:vAlign w:val="bottom"/>
          </w:tcPr>
          <w:p>
            <w:pPr>
              <w:jc w:val="right"/>
              <w:ind w:right="1121"/>
              <w:spacing w:after="0"/>
              <w:rPr>
                <w:sz w:val="20"/>
                <w:szCs w:val="20"/>
                <w:color w:val="auto"/>
              </w:rPr>
            </w:pPr>
            <w:r>
              <w:rPr>
                <w:rFonts w:ascii="Arial" w:cs="Arial" w:eastAsia="Arial" w:hAnsi="Arial"/>
                <w:sz w:val="20"/>
                <w:szCs w:val="20"/>
                <w:color w:val="auto"/>
              </w:rPr>
              <w:t>70%</w:t>
            </w:r>
          </w:p>
        </w:tc>
        <w:tc>
          <w:tcPr>
            <w:tcW w:w="920" w:type="dxa"/>
            <w:vAlign w:val="bottom"/>
          </w:tcPr>
          <w:p>
            <w:pPr>
              <w:spacing w:after="0"/>
              <w:rPr>
                <w:sz w:val="19"/>
                <w:szCs w:val="19"/>
                <w:color w:val="auto"/>
              </w:rPr>
            </w:pPr>
          </w:p>
        </w:tc>
        <w:tc>
          <w:tcPr>
            <w:tcW w:w="3840" w:type="dxa"/>
            <w:vAlign w:val="bottom"/>
            <w:gridSpan w:val="3"/>
          </w:tcPr>
          <w:p>
            <w:pPr>
              <w:ind w:left="920"/>
              <w:spacing w:after="0"/>
              <w:rPr>
                <w:sz w:val="20"/>
                <w:szCs w:val="20"/>
                <w:color w:val="auto"/>
              </w:rPr>
            </w:pPr>
            <w:r>
              <w:rPr>
                <w:rFonts w:ascii="Arial" w:cs="Arial" w:eastAsia="Arial" w:hAnsi="Arial"/>
                <w:sz w:val="20"/>
                <w:szCs w:val="20"/>
                <w:color w:val="auto"/>
                <w:w w:val="90"/>
              </w:rPr>
              <w:t>Amounts in excess of $187.5 million</w:t>
            </w:r>
          </w:p>
        </w:tc>
      </w:tr>
      <w:tr>
        <w:trPr>
          <w:trHeight w:val="230"/>
        </w:trPr>
        <w:tc>
          <w:tcPr>
            <w:tcW w:w="1920" w:type="dxa"/>
            <w:vAlign w:val="bottom"/>
          </w:tcPr>
          <w:p>
            <w:pPr>
              <w:jc w:val="right"/>
              <w:ind w:right="1121"/>
              <w:spacing w:after="0"/>
              <w:rPr>
                <w:sz w:val="20"/>
                <w:szCs w:val="20"/>
                <w:color w:val="auto"/>
              </w:rPr>
            </w:pPr>
            <w:r>
              <w:rPr>
                <w:rFonts w:ascii="Arial" w:cs="Arial" w:eastAsia="Arial" w:hAnsi="Arial"/>
                <w:sz w:val="20"/>
                <w:szCs w:val="20"/>
                <w:color w:val="auto"/>
              </w:rPr>
              <w:t>80%</w:t>
            </w:r>
          </w:p>
        </w:tc>
        <w:tc>
          <w:tcPr>
            <w:tcW w:w="920" w:type="dxa"/>
            <w:vAlign w:val="bottom"/>
          </w:tcPr>
          <w:p>
            <w:pPr>
              <w:spacing w:after="0"/>
              <w:rPr>
                <w:sz w:val="19"/>
                <w:szCs w:val="19"/>
                <w:color w:val="auto"/>
              </w:rPr>
            </w:pPr>
          </w:p>
        </w:tc>
        <w:tc>
          <w:tcPr>
            <w:tcW w:w="3840" w:type="dxa"/>
            <w:vAlign w:val="bottom"/>
            <w:gridSpan w:val="3"/>
          </w:tcPr>
          <w:p>
            <w:pPr>
              <w:ind w:left="920"/>
              <w:spacing w:after="0"/>
              <w:rPr>
                <w:sz w:val="20"/>
                <w:szCs w:val="20"/>
                <w:color w:val="auto"/>
              </w:rPr>
            </w:pPr>
            <w:r>
              <w:rPr>
                <w:rFonts w:ascii="Arial" w:cs="Arial" w:eastAsia="Arial" w:hAnsi="Arial"/>
                <w:sz w:val="20"/>
                <w:szCs w:val="20"/>
                <w:color w:val="auto"/>
                <w:w w:val="95"/>
              </w:rPr>
              <w:t>Amounts in excess of $125 million</w:t>
            </w:r>
          </w:p>
        </w:tc>
      </w:tr>
      <w:tr>
        <w:trPr>
          <w:trHeight w:val="230"/>
        </w:trPr>
        <w:tc>
          <w:tcPr>
            <w:tcW w:w="1920" w:type="dxa"/>
            <w:vAlign w:val="bottom"/>
          </w:tcPr>
          <w:p>
            <w:pPr>
              <w:jc w:val="right"/>
              <w:ind w:right="1121"/>
              <w:spacing w:after="0"/>
              <w:rPr>
                <w:sz w:val="20"/>
                <w:szCs w:val="20"/>
                <w:color w:val="auto"/>
              </w:rPr>
            </w:pPr>
            <w:r>
              <w:rPr>
                <w:rFonts w:ascii="Arial" w:cs="Arial" w:eastAsia="Arial" w:hAnsi="Arial"/>
                <w:sz w:val="20"/>
                <w:szCs w:val="20"/>
                <w:color w:val="auto"/>
              </w:rPr>
              <w:t>90%</w:t>
            </w:r>
          </w:p>
        </w:tc>
        <w:tc>
          <w:tcPr>
            <w:tcW w:w="920" w:type="dxa"/>
            <w:vAlign w:val="bottom"/>
          </w:tcPr>
          <w:p>
            <w:pPr>
              <w:spacing w:after="0"/>
              <w:rPr>
                <w:sz w:val="19"/>
                <w:szCs w:val="19"/>
                <w:color w:val="auto"/>
              </w:rPr>
            </w:pPr>
          </w:p>
        </w:tc>
        <w:tc>
          <w:tcPr>
            <w:tcW w:w="3840" w:type="dxa"/>
            <w:vAlign w:val="bottom"/>
            <w:gridSpan w:val="3"/>
          </w:tcPr>
          <w:p>
            <w:pPr>
              <w:ind w:left="920"/>
              <w:spacing w:after="0"/>
              <w:rPr>
                <w:sz w:val="20"/>
                <w:szCs w:val="20"/>
                <w:color w:val="auto"/>
              </w:rPr>
            </w:pPr>
            <w:r>
              <w:rPr>
                <w:rFonts w:ascii="Arial" w:cs="Arial" w:eastAsia="Arial" w:hAnsi="Arial"/>
                <w:sz w:val="20"/>
                <w:szCs w:val="20"/>
                <w:color w:val="auto"/>
                <w:w w:val="94"/>
              </w:rPr>
              <w:t>Amounts in excess of $62.5 million</w:t>
            </w:r>
          </w:p>
        </w:tc>
      </w:tr>
      <w:tr>
        <w:trPr>
          <w:trHeight w:val="250"/>
        </w:trPr>
        <w:tc>
          <w:tcPr>
            <w:tcW w:w="1920" w:type="dxa"/>
            <w:vAlign w:val="bottom"/>
          </w:tcPr>
          <w:p>
            <w:pPr>
              <w:jc w:val="right"/>
              <w:ind w:right="1121"/>
              <w:spacing w:after="0"/>
              <w:rPr>
                <w:sz w:val="20"/>
                <w:szCs w:val="20"/>
                <w:color w:val="auto"/>
              </w:rPr>
            </w:pPr>
            <w:r>
              <w:rPr>
                <w:rFonts w:ascii="Arial" w:cs="Arial" w:eastAsia="Arial" w:hAnsi="Arial"/>
                <w:sz w:val="20"/>
                <w:szCs w:val="20"/>
                <w:color w:val="auto"/>
              </w:rPr>
              <w:t>95%</w:t>
            </w:r>
          </w:p>
        </w:tc>
        <w:tc>
          <w:tcPr>
            <w:tcW w:w="920" w:type="dxa"/>
            <w:vAlign w:val="bottom"/>
          </w:tcPr>
          <w:p>
            <w:pPr>
              <w:spacing w:after="0"/>
              <w:rPr>
                <w:sz w:val="21"/>
                <w:szCs w:val="21"/>
                <w:color w:val="auto"/>
              </w:rPr>
            </w:pPr>
          </w:p>
        </w:tc>
        <w:tc>
          <w:tcPr>
            <w:tcW w:w="3840" w:type="dxa"/>
            <w:vAlign w:val="bottom"/>
            <w:gridSpan w:val="3"/>
          </w:tcPr>
          <w:p>
            <w:pPr>
              <w:ind w:left="920"/>
              <w:spacing w:after="0"/>
              <w:rPr>
                <w:sz w:val="20"/>
                <w:szCs w:val="20"/>
                <w:color w:val="auto"/>
              </w:rPr>
            </w:pPr>
            <w:r>
              <w:rPr>
                <w:rFonts w:ascii="Arial" w:cs="Arial" w:eastAsia="Arial" w:hAnsi="Arial"/>
                <w:sz w:val="20"/>
                <w:szCs w:val="20"/>
                <w:color w:val="auto"/>
              </w:rPr>
              <w:t>All remaining amounts</w:t>
            </w:r>
          </w:p>
        </w:tc>
      </w:tr>
    </w:tbl>
    <w:p>
      <w:pPr>
        <w:spacing w:after="0" w:line="19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On the one-year anniversary of the closing of the TCCC Transaction, the then-remaining escrow amount, less an amount sufficient to cover any unresolved claims, will be released to TCCC. Any amount described above that becomes payable following the one-year anniversary will be paid directly from TCCC to the Company.</w:t>
      </w:r>
    </w:p>
    <w:p>
      <w:pPr>
        <w:sectPr>
          <w:pgSz w:w="11900" w:h="16838" w:orient="portrait"/>
          <w:cols w:equalWidth="0" w:num="1">
            <w:col w:w="11420"/>
          </w:cols>
          <w:pgMar w:left="240" w:top="352" w:right="239" w:bottom="212" w:gutter="0" w:footer="0" w:header="0"/>
        </w:sectPr>
      </w:pPr>
    </w:p>
    <w:bookmarkStart w:id="58" w:name="page59"/>
    <w:bookmarkEnd w:id="58"/>
    <w:p>
      <w:pPr>
        <w:jc w:val="both"/>
        <w:ind w:firstLine="648"/>
        <w:spacing w:after="0" w:line="261" w:lineRule="auto"/>
        <w:rPr>
          <w:sz w:val="20"/>
          <w:szCs w:val="20"/>
          <w:color w:val="auto"/>
        </w:rPr>
      </w:pPr>
      <w:r>
        <w:rPr>
          <w:rFonts w:ascii="Arial" w:cs="Arial" w:eastAsia="Arial" w:hAnsi="Arial"/>
          <w:sz w:val="19"/>
          <w:szCs w:val="19"/>
          <w:color w:val="auto"/>
        </w:rPr>
        <w:t>TCCC is contractually obligated to authorize payment to the Company of the funds in escrow upon achievement of the milestones referred to above. As of February 29, 2016, distribution rights in the U.S. representing approximately 89% of the target case sales have been transitioned to TCCC’s distribution network. As a result, $125 million is currently held in escrow. The Company expects to commence steps to transition sufficient additional distribution rights, which will, in due course, result in the release of all remaining amounts held in escrow. Therefore, the Company believes that achievement of the milestones is probable.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final TCCC Transaction consideration allocation as of December 31, 2015: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20"/>
                <w:szCs w:val="20"/>
                <w:color w:val="auto"/>
                <w:w w:val="95"/>
              </w:rPr>
              <w:t>Identifiable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Assets Acquired</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20"/>
                <w:szCs w:val="20"/>
                <w:color w:val="auto"/>
                <w:w w:val="94"/>
              </w:rPr>
              <w:t>and Liabilities</w:t>
            </w:r>
          </w:p>
        </w:tc>
        <w:tc>
          <w:tcPr>
            <w:tcW w:w="240" w:type="dxa"/>
            <w:vAlign w:val="bottom"/>
          </w:tcPr>
          <w:p>
            <w:pPr>
              <w:spacing w:after="0"/>
              <w:rPr>
                <w:sz w:val="19"/>
                <w:szCs w:val="19"/>
                <w:color w:val="auto"/>
              </w:rPr>
            </w:pPr>
          </w:p>
        </w:tc>
        <w:tc>
          <w:tcPr>
            <w:tcW w:w="1380" w:type="dxa"/>
            <w:vAlign w:val="bottom"/>
          </w:tcPr>
          <w:p>
            <w:pPr>
              <w:jc w:val="right"/>
              <w:ind w:right="141"/>
              <w:spacing w:after="0"/>
              <w:rPr>
                <w:sz w:val="20"/>
                <w:szCs w:val="20"/>
                <w:color w:val="auto"/>
              </w:rPr>
            </w:pPr>
            <w:r>
              <w:rPr>
                <w:rFonts w:ascii="Arial" w:cs="Arial" w:eastAsia="Arial" w:hAnsi="Arial"/>
                <w:sz w:val="20"/>
                <w:szCs w:val="20"/>
                <w:color w:val="auto"/>
                <w:w w:val="90"/>
              </w:rPr>
              <w:t>Consideration</w:t>
            </w:r>
          </w:p>
        </w:tc>
        <w:tc>
          <w:tcPr>
            <w:tcW w:w="0" w:type="dxa"/>
            <w:vAlign w:val="bottom"/>
          </w:tcPr>
          <w:p>
            <w:pPr>
              <w:spacing w:after="0"/>
              <w:rPr>
                <w:sz w:val="1"/>
                <w:szCs w:val="1"/>
                <w:color w:val="auto"/>
              </w:rPr>
            </w:pPr>
          </w:p>
        </w:tc>
      </w:tr>
      <w:tr>
        <w:trPr>
          <w:trHeight w:val="246"/>
        </w:trPr>
        <w:tc>
          <w:tcPr>
            <w:tcW w:w="7000" w:type="dxa"/>
            <w:vAlign w:val="bottom"/>
            <w:vMerge w:val="restart"/>
          </w:tcPr>
          <w:p>
            <w:pPr>
              <w:spacing w:after="0"/>
              <w:rPr>
                <w:sz w:val="20"/>
                <w:szCs w:val="20"/>
                <w:color w:val="auto"/>
              </w:rPr>
            </w:pPr>
            <w:r>
              <w:rPr>
                <w:rFonts w:ascii="Arial" w:cs="Arial" w:eastAsia="Arial" w:hAnsi="Arial"/>
                <w:sz w:val="20"/>
                <w:szCs w:val="20"/>
                <w:color w:val="auto"/>
              </w:rPr>
              <w:t>Equity issued to TCCC for cash (22.2 million shares issued)</w:t>
            </w:r>
          </w:p>
        </w:tc>
        <w:tc>
          <w:tcPr>
            <w:tcW w:w="200" w:type="dxa"/>
            <w:vAlign w:val="bottom"/>
          </w:tcPr>
          <w:p>
            <w:pPr>
              <w:spacing w:after="0"/>
              <w:rPr>
                <w:sz w:val="21"/>
                <w:szCs w:val="21"/>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Assumed</w:t>
            </w:r>
          </w:p>
        </w:tc>
        <w:tc>
          <w:tcPr>
            <w:tcW w:w="240" w:type="dxa"/>
            <w:vAlign w:val="bottom"/>
          </w:tcPr>
          <w:p>
            <w:pPr>
              <w:spacing w:after="0"/>
              <w:rPr>
                <w:sz w:val="21"/>
                <w:szCs w:val="21"/>
                <w:color w:val="auto"/>
              </w:rPr>
            </w:pPr>
          </w:p>
        </w:tc>
        <w:tc>
          <w:tcPr>
            <w:tcW w:w="1380" w:type="dxa"/>
            <w:vAlign w:val="bottom"/>
          </w:tcPr>
          <w:p>
            <w:pPr>
              <w:jc w:val="right"/>
              <w:ind w:right="241"/>
              <w:spacing w:after="0"/>
              <w:rPr>
                <w:sz w:val="20"/>
                <w:szCs w:val="20"/>
                <w:color w:val="auto"/>
              </w:rPr>
            </w:pPr>
            <w:r>
              <w:rPr>
                <w:rFonts w:ascii="Arial" w:cs="Arial" w:eastAsia="Arial" w:hAnsi="Arial"/>
                <w:sz w:val="20"/>
                <w:szCs w:val="20"/>
                <w:color w:val="auto"/>
                <w:w w:val="98"/>
              </w:rPr>
              <w:t>Transferred</w:t>
            </w:r>
          </w:p>
        </w:tc>
        <w:tc>
          <w:tcPr>
            <w:tcW w:w="0" w:type="dxa"/>
            <w:vAlign w:val="bottom"/>
          </w:tcPr>
          <w:p>
            <w:pPr>
              <w:spacing w:after="0"/>
              <w:rPr>
                <w:sz w:val="1"/>
                <w:szCs w:val="1"/>
                <w:color w:val="auto"/>
              </w:rPr>
            </w:pPr>
          </w:p>
        </w:tc>
      </w:tr>
      <w:tr>
        <w:trPr>
          <w:trHeight w:val="206"/>
        </w:trPr>
        <w:tc>
          <w:tcPr>
            <w:tcW w:w="7000" w:type="dxa"/>
            <w:vAlign w:val="bottom"/>
            <w:vMerge w:val="continue"/>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5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1,647,333</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Equity issued to TCCC for KO Energy (11.8 million shares issued)</w:t>
            </w:r>
          </w:p>
        </w:tc>
        <w:tc>
          <w:tcPr>
            <w:tcW w:w="2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1,521,802</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KO Energy intangibles - trademarks (non-amortizing)</w:t>
            </w:r>
          </w:p>
        </w:tc>
        <w:tc>
          <w:tcPr>
            <w:tcW w:w="2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325,500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KO Energy intangibles - customer relationships (amortizing)</w:t>
            </w:r>
          </w:p>
        </w:tc>
        <w:tc>
          <w:tcPr>
            <w:tcW w:w="2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35,000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KO Energy intangibles - other (non-amortizing)</w:t>
            </w:r>
          </w:p>
        </w:tc>
        <w:tc>
          <w:tcPr>
            <w:tcW w:w="2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13,700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KO Energy inventories</w:t>
            </w:r>
          </w:p>
        </w:tc>
        <w:tc>
          <w:tcPr>
            <w:tcW w:w="2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6,144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KO Energy accounts payable</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(2,758)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Goodwill</w:t>
            </w:r>
          </w:p>
        </w:tc>
        <w:tc>
          <w:tcPr>
            <w:tcW w:w="2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1,279,715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Deferred tax liability</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(135,499)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New and amended U.S. distribution rights transferred to TCCC’s distribution</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network</w:t>
            </w:r>
          </w:p>
        </w:tc>
        <w:tc>
          <w:tcPr>
            <w:tcW w:w="2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304,658</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20"/>
                <w:szCs w:val="20"/>
                <w:color w:val="auto"/>
              </w:rPr>
              <w:t>Monster Non-Energy business transferred to TCCC</w:t>
            </w:r>
          </w:p>
        </w:tc>
        <w:tc>
          <w:tcPr>
            <w:tcW w:w="20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198,009</w:t>
            </w:r>
          </w:p>
        </w:tc>
        <w:tc>
          <w:tcPr>
            <w:tcW w:w="0" w:type="dxa"/>
            <w:vAlign w:val="bottom"/>
          </w:tcPr>
          <w:p>
            <w:pPr>
              <w:spacing w:after="0"/>
              <w:rPr>
                <w:sz w:val="1"/>
                <w:szCs w:val="1"/>
                <w:color w:val="auto"/>
              </w:rPr>
            </w:pPr>
          </w:p>
        </w:tc>
      </w:tr>
      <w:tr>
        <w:trPr>
          <w:trHeight w:val="240"/>
        </w:trPr>
        <w:tc>
          <w:tcPr>
            <w:tcW w:w="7000" w:type="dxa"/>
            <w:vAlign w:val="bottom"/>
          </w:tcPr>
          <w:p>
            <w:pPr>
              <w:spacing w:after="0"/>
              <w:rPr>
                <w:sz w:val="20"/>
                <w:szCs w:val="20"/>
                <w:color w:val="auto"/>
              </w:rPr>
            </w:pPr>
            <w:r>
              <w:rPr>
                <w:rFonts w:ascii="Arial" w:cs="Arial" w:eastAsia="Arial" w:hAnsi="Arial"/>
                <w:sz w:val="20"/>
                <w:szCs w:val="20"/>
                <w:color w:val="auto"/>
              </w:rPr>
              <w:t>Cash and escrow receivable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2,150,000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3,671,802</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3,671,802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fourth quarter of 2015, we identified a measurement period adjustment to the Company’s previous purchase accounting estimates for the TCCC Transaction. The adjustment to the estimated values resulted from an updated assessment of the tax basis of certain KO Energy intangible assets acquired. As a result, both goodwill and the deferred tax liability were decreased by $8.1 million in the December 31, 2015 balances in the above table.</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determined goodwill in accordance with ASC 805-30-30-1, “Business Combinations,” which requires the recognition of goodwill for the excess of the aggregate consideration over the net amounts of identifiable assets acquired and liabilities assumed as of the acquisition date.</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goodwill recorded as part of the TCCC Transaction is not deductible for tax purposes. The goodwill includes access to new geographies, access to new sales channels, including vending and specialty accounts, as well as the opportunity for supply chain optimization.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determined the estimated fair values of KO Energy trademarks, customer relationships and other intangibles as follows:</w:t>
      </w:r>
    </w:p>
    <w:p>
      <w:pPr>
        <w:spacing w:after="0" w:line="252" w:lineRule="exact"/>
        <w:rPr>
          <w:sz w:val="20"/>
          <w:szCs w:val="20"/>
          <w:color w:val="auto"/>
        </w:rPr>
      </w:pPr>
    </w:p>
    <w:p>
      <w:pPr>
        <w:ind w:left="660" w:hanging="328"/>
        <w:spacing w:after="0" w:line="260" w:lineRule="auto"/>
        <w:tabs>
          <w:tab w:leader="none" w:pos="687" w:val="left"/>
        </w:tabs>
        <w:numPr>
          <w:ilvl w:val="0"/>
          <w:numId w:val="38"/>
        </w:numPr>
        <w:rPr>
          <w:rFonts w:ascii="Arial" w:cs="Arial" w:eastAsia="Arial" w:hAnsi="Arial"/>
          <w:sz w:val="20"/>
          <w:szCs w:val="20"/>
          <w:color w:val="auto"/>
        </w:rPr>
      </w:pPr>
      <w:r>
        <w:rPr>
          <w:rFonts w:ascii="Arial" w:cs="Arial" w:eastAsia="Arial" w:hAnsi="Arial"/>
          <w:sz w:val="20"/>
          <w:szCs w:val="20"/>
          <w:color w:val="auto"/>
        </w:rPr>
        <w:t>Trademarks—valued using the relief from royalty method. Royalty rates for the different brands were selected based on brand strength and profitability.</w:t>
      </w:r>
    </w:p>
    <w:p>
      <w:pPr>
        <w:spacing w:after="0" w:line="190" w:lineRule="exact"/>
        <w:rPr>
          <w:rFonts w:ascii="Arial" w:cs="Arial" w:eastAsia="Arial" w:hAnsi="Arial"/>
          <w:sz w:val="20"/>
          <w:szCs w:val="20"/>
          <w:color w:val="auto"/>
        </w:rPr>
      </w:pPr>
    </w:p>
    <w:p>
      <w:pPr>
        <w:ind w:left="660" w:hanging="328"/>
        <w:spacing w:after="0" w:line="260" w:lineRule="auto"/>
        <w:tabs>
          <w:tab w:leader="none" w:pos="741" w:val="left"/>
        </w:tabs>
        <w:numPr>
          <w:ilvl w:val="0"/>
          <w:numId w:val="38"/>
        </w:numPr>
        <w:rPr>
          <w:rFonts w:ascii="Arial" w:cs="Arial" w:eastAsia="Arial" w:hAnsi="Arial"/>
          <w:sz w:val="20"/>
          <w:szCs w:val="20"/>
          <w:color w:val="auto"/>
        </w:rPr>
      </w:pPr>
      <w:r>
        <w:rPr>
          <w:rFonts w:ascii="Arial" w:cs="Arial" w:eastAsia="Arial" w:hAnsi="Arial"/>
          <w:sz w:val="20"/>
          <w:szCs w:val="20"/>
          <w:color w:val="auto"/>
        </w:rPr>
        <w:t>Customer relationships—valued using the with- and-without method assuming that the customer relationships could be rebuilt over a one-year period.</w:t>
      </w:r>
    </w:p>
    <w:p>
      <w:pPr>
        <w:spacing w:after="0" w:line="190"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Other (Trade Secrets/Formulas)—valued using the cost savings method.</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determined the estimated fair value of the “new and amended U.S. distribution rights” transferred to TCCC’s distribution network using the discounted cash flow method. The cash flows were defined as the expected cost savings arising from the new distribution agreements.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59" w:name="page60"/>
    <w:bookmarkEnd w:id="59"/>
    <w:p>
      <w:pPr>
        <w:jc w:val="both"/>
        <w:ind w:firstLine="648"/>
        <w:spacing w:after="0" w:line="247" w:lineRule="auto"/>
        <w:rPr>
          <w:sz w:val="20"/>
          <w:szCs w:val="20"/>
          <w:color w:val="auto"/>
        </w:rPr>
      </w:pPr>
      <w:r>
        <w:rPr>
          <w:rFonts w:ascii="Arial" w:cs="Arial" w:eastAsia="Arial" w:hAnsi="Arial"/>
          <w:sz w:val="20"/>
          <w:szCs w:val="20"/>
          <w:color w:val="auto"/>
        </w:rPr>
        <w:t>The Company determined the estimated fair value of the Monster Non-Energy brands sold utilizing the discounted cash flow method and market multiple method. Market multiples for each brand were selected based on profitability, size and expected growth for each brand. The resulting business enterprise value derived under the income and market approaches was then adjusted for working capital and fixed assets that were not transferred to TCCC.</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Of the approximately 34.0 million shares of the Company’s common stock issued to TCCC in the TCCC Transaction, approximately 11.8 million shares, or 34.8% of the total shares issued, were allocated to the purchase of KO Energy and approximately 22.2 million shares, or 65.2% of the total shares issued, were issued for cash. The 34.8% allocation was based on the relative fair value of KO Energy to the approximate fair value of the 34.0 million shares of Old Monster’s common stock on August 14, 2014. The remaining shares of the Company’s common stock were deemed to be issued for cash. The $2.15 billion of cash and escrow receivable was first allocated to the new and amended U.S. distribution rights and the Monster Non-Energy business based on their respective preliminary fair values, and the residual cash of $1.6 billion was then allocated to the equity issued for cash. On August 14, 2014, the date on which the terms of the TCCC Transaction were agreed to and announced, the closing market price of Old Monster’s common stock was $71.65 per share. The fair value of KO Energy per ASC 820 is approximately $880.1 million, which approximates the negotiated price for KO Energy based on the closing market price of Old Monster’s common stock on August 14, 2014. However, per ASC 805, equity securities issued as consideration in a business combination are to be recorded at fair value as of the closing date. Therefore, the value of the Company’s common stock issued to TCCC in exchange for KO Energy was $128.39 per share, the closing price of the Company’s common stock on June 12, 2015, resulting in a total consideration value transferred for KO Energy of $1.5 billion.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recognized a gain of $161.5 million on the disposal of Monster Non-Energy during the second quarter of 2015.</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unaudited pro forma condensed combined financial information is presented as if the TCCC Transaction had closed 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January 1, 2013: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left="390"/>
              <w:spacing w:after="0"/>
              <w:rPr>
                <w:sz w:val="20"/>
                <w:szCs w:val="20"/>
                <w:color w:val="auto"/>
              </w:rPr>
            </w:pPr>
            <w:r>
              <w:rPr>
                <w:rFonts w:ascii="Arial" w:cs="Arial" w:eastAsia="Arial" w:hAnsi="Arial"/>
                <w:sz w:val="18"/>
                <w:szCs w:val="18"/>
                <w:color w:val="auto"/>
                <w:w w:val="88"/>
              </w:rPr>
              <w:t>Year Ended December 31, 2015</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Monster</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6"/>
          </w:tcPr>
          <w:p>
            <w:pPr>
              <w:ind w:left="20"/>
              <w:spacing w:after="0"/>
              <w:rPr>
                <w:sz w:val="20"/>
                <w:szCs w:val="20"/>
                <w:color w:val="auto"/>
              </w:rPr>
            </w:pPr>
            <w:r>
              <w:rPr>
                <w:rFonts w:ascii="Arial" w:cs="Arial" w:eastAsia="Arial" w:hAnsi="Arial"/>
                <w:sz w:val="18"/>
                <w:szCs w:val="18"/>
                <w:color w:val="auto"/>
              </w:rPr>
              <w:t>Pro Forma Adjustments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Beverage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Disposal of</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Corporation</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Monster Non-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Pro Forma</w:t>
            </w:r>
          </w:p>
        </w:tc>
        <w:tc>
          <w:tcPr>
            <w:tcW w:w="0" w:type="dxa"/>
            <w:vAlign w:val="bottom"/>
          </w:tcPr>
          <w:p>
            <w:pPr>
              <w:spacing w:after="0"/>
              <w:rPr>
                <w:sz w:val="1"/>
                <w:szCs w:val="1"/>
                <w:color w:val="auto"/>
              </w:rPr>
            </w:pPr>
          </w:p>
        </w:tc>
      </w:tr>
      <w:tr>
        <w:trPr>
          <w:trHeight w:val="230"/>
        </w:trPr>
        <w:tc>
          <w:tcPr>
            <w:tcW w:w="20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as reported¹</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KO Energy²</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88"/>
              </w:rPr>
              <w:t>Energy³</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320" w:type="dxa"/>
            <w:vAlign w:val="bottom"/>
          </w:tcPr>
          <w:p>
            <w:pPr>
              <w:ind w:left="300"/>
              <w:spacing w:after="0"/>
              <w:rPr>
                <w:sz w:val="20"/>
                <w:szCs w:val="20"/>
                <w:color w:val="auto"/>
              </w:rPr>
            </w:pPr>
            <w:r>
              <w:rPr>
                <w:rFonts w:ascii="Arial" w:cs="Arial" w:eastAsia="Arial" w:hAnsi="Arial"/>
                <w:sz w:val="18"/>
                <w:szCs w:val="18"/>
                <w:color w:val="auto"/>
              </w:rPr>
              <w:t>Combined</w:t>
            </w:r>
          </w:p>
        </w:tc>
        <w:tc>
          <w:tcPr>
            <w:tcW w:w="0" w:type="dxa"/>
            <w:vAlign w:val="bottom"/>
          </w:tcPr>
          <w:p>
            <w:pPr>
              <w:spacing w:after="0"/>
              <w:rPr>
                <w:sz w:val="1"/>
                <w:szCs w:val="1"/>
                <w:color w:val="auto"/>
              </w:rPr>
            </w:pPr>
          </w:p>
        </w:tc>
      </w:tr>
      <w:tr>
        <w:trPr>
          <w:trHeight w:val="195"/>
        </w:trPr>
        <w:tc>
          <w:tcPr>
            <w:tcW w:w="2000" w:type="dxa"/>
            <w:vAlign w:val="bottom"/>
            <w:vMerge w:val="continue"/>
          </w:tcPr>
          <w:p>
            <w:pPr>
              <w:spacing w:after="0"/>
              <w:rPr>
                <w:sz w:val="16"/>
                <w:szCs w:val="16"/>
                <w:color w:val="auto"/>
              </w:rPr>
            </w:pPr>
          </w:p>
        </w:tc>
        <w:tc>
          <w:tcPr>
            <w:tcW w:w="13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$ 2,722,564</w:t>
            </w:r>
          </w:p>
        </w:tc>
        <w:tc>
          <w:tcPr>
            <w:tcW w:w="28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138,127</w:t>
            </w: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(60,778)</w:t>
            </w: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8,887</w:t>
            </w:r>
          </w:p>
        </w:tc>
        <w:tc>
          <w:tcPr>
            <w:tcW w:w="280" w:type="dxa"/>
            <w:vAlign w:val="bottom"/>
          </w:tcPr>
          <w:p>
            <w:pPr>
              <w:spacing w:after="0"/>
              <w:rPr>
                <w:sz w:val="16"/>
                <w:szCs w:val="16"/>
                <w:color w:val="auto"/>
              </w:rPr>
            </w:pPr>
          </w:p>
        </w:tc>
        <w:tc>
          <w:tcPr>
            <w:tcW w:w="13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$ 2,808,800</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546,733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100,575</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4</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(101,618)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(30,390)</w:t>
            </w: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515,300</w:t>
            </w: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390"/>
              <w:spacing w:after="0"/>
              <w:rPr>
                <w:sz w:val="20"/>
                <w:szCs w:val="20"/>
                <w:color w:val="auto"/>
              </w:rPr>
            </w:pPr>
            <w:r>
              <w:rPr>
                <w:rFonts w:ascii="Arial" w:cs="Arial" w:eastAsia="Arial" w:hAnsi="Arial"/>
                <w:sz w:val="18"/>
                <w:szCs w:val="18"/>
                <w:color w:val="auto"/>
                <w:w w:val="88"/>
              </w:rPr>
              <w:t>Year Ended December 31, 2014</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Monster</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6"/>
          </w:tcPr>
          <w:p>
            <w:pPr>
              <w:ind w:left="20"/>
              <w:spacing w:after="0"/>
              <w:rPr>
                <w:sz w:val="20"/>
                <w:szCs w:val="20"/>
                <w:color w:val="auto"/>
              </w:rPr>
            </w:pPr>
            <w:r>
              <w:rPr>
                <w:rFonts w:ascii="Arial" w:cs="Arial" w:eastAsia="Arial" w:hAnsi="Arial"/>
                <w:sz w:val="18"/>
                <w:szCs w:val="18"/>
                <w:color w:val="auto"/>
              </w:rPr>
              <w:t>Pro Forma Adjustments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Beverage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Disposal of</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Corporation</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Monster Non-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Pro Forma</w:t>
            </w:r>
          </w:p>
        </w:tc>
        <w:tc>
          <w:tcPr>
            <w:tcW w:w="0" w:type="dxa"/>
            <w:vAlign w:val="bottom"/>
          </w:tcPr>
          <w:p>
            <w:pPr>
              <w:spacing w:after="0"/>
              <w:rPr>
                <w:sz w:val="1"/>
                <w:szCs w:val="1"/>
                <w:color w:val="auto"/>
              </w:rPr>
            </w:pPr>
          </w:p>
        </w:tc>
      </w:tr>
      <w:tr>
        <w:trPr>
          <w:trHeight w:val="230"/>
        </w:trPr>
        <w:tc>
          <w:tcPr>
            <w:tcW w:w="20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as reported</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KO Energy</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Energy</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320" w:type="dxa"/>
            <w:vAlign w:val="bottom"/>
          </w:tcPr>
          <w:p>
            <w:pPr>
              <w:ind w:left="300"/>
              <w:spacing w:after="0"/>
              <w:rPr>
                <w:sz w:val="20"/>
                <w:szCs w:val="20"/>
                <w:color w:val="auto"/>
              </w:rPr>
            </w:pPr>
            <w:r>
              <w:rPr>
                <w:rFonts w:ascii="Arial" w:cs="Arial" w:eastAsia="Arial" w:hAnsi="Arial"/>
                <w:sz w:val="18"/>
                <w:szCs w:val="18"/>
                <w:color w:val="auto"/>
              </w:rPr>
              <w:t>Combined</w:t>
            </w:r>
          </w:p>
        </w:tc>
        <w:tc>
          <w:tcPr>
            <w:tcW w:w="0" w:type="dxa"/>
            <w:vAlign w:val="bottom"/>
          </w:tcPr>
          <w:p>
            <w:pPr>
              <w:spacing w:after="0"/>
              <w:rPr>
                <w:sz w:val="1"/>
                <w:szCs w:val="1"/>
                <w:color w:val="auto"/>
              </w:rPr>
            </w:pPr>
          </w:p>
        </w:tc>
      </w:tr>
      <w:tr>
        <w:trPr>
          <w:trHeight w:val="195"/>
        </w:trPr>
        <w:tc>
          <w:tcPr>
            <w:tcW w:w="2000" w:type="dxa"/>
            <w:vAlign w:val="bottom"/>
            <w:vMerge w:val="continue"/>
          </w:tcPr>
          <w:p>
            <w:pPr>
              <w:spacing w:after="0"/>
              <w:rPr>
                <w:sz w:val="16"/>
                <w:szCs w:val="16"/>
                <w:color w:val="auto"/>
              </w:rPr>
            </w:pPr>
          </w:p>
        </w:tc>
        <w:tc>
          <w:tcPr>
            <w:tcW w:w="13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$ 2,464,867</w:t>
            </w:r>
          </w:p>
        </w:tc>
        <w:tc>
          <w:tcPr>
            <w:tcW w:w="28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342,432</w:t>
            </w: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(150,374)</w:t>
            </w: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19,900</w:t>
            </w:r>
          </w:p>
        </w:tc>
        <w:tc>
          <w:tcPr>
            <w:tcW w:w="280" w:type="dxa"/>
            <w:vAlign w:val="bottom"/>
          </w:tcPr>
          <w:p>
            <w:pPr>
              <w:spacing w:after="0"/>
              <w:rPr>
                <w:sz w:val="16"/>
                <w:szCs w:val="16"/>
                <w:color w:val="auto"/>
              </w:rPr>
            </w:pPr>
          </w:p>
        </w:tc>
        <w:tc>
          <w:tcPr>
            <w:tcW w:w="13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$ 2,676,825</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483,185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218,456</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4</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(95,306)</w:t>
            </w: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601,688</w:t>
            </w: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390"/>
              <w:spacing w:after="0"/>
              <w:rPr>
                <w:sz w:val="20"/>
                <w:szCs w:val="20"/>
                <w:color w:val="auto"/>
              </w:rPr>
            </w:pPr>
            <w:r>
              <w:rPr>
                <w:rFonts w:ascii="Arial" w:cs="Arial" w:eastAsia="Arial" w:hAnsi="Arial"/>
                <w:sz w:val="18"/>
                <w:szCs w:val="18"/>
                <w:color w:val="auto"/>
                <w:w w:val="88"/>
              </w:rPr>
              <w:t>Year Ended December 31, 2013</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Monster</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6"/>
          </w:tcPr>
          <w:p>
            <w:pPr>
              <w:ind w:left="20"/>
              <w:spacing w:after="0"/>
              <w:rPr>
                <w:sz w:val="20"/>
                <w:szCs w:val="20"/>
                <w:color w:val="auto"/>
              </w:rPr>
            </w:pPr>
            <w:r>
              <w:rPr>
                <w:rFonts w:ascii="Arial" w:cs="Arial" w:eastAsia="Arial" w:hAnsi="Arial"/>
                <w:sz w:val="18"/>
                <w:szCs w:val="18"/>
                <w:color w:val="auto"/>
              </w:rPr>
              <w:t>Pro Forma Adjustments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Beverage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Disposal of</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Corporation</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Monster Non-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Pro Forma</w:t>
            </w:r>
          </w:p>
        </w:tc>
        <w:tc>
          <w:tcPr>
            <w:tcW w:w="0" w:type="dxa"/>
            <w:vAlign w:val="bottom"/>
          </w:tcPr>
          <w:p>
            <w:pPr>
              <w:spacing w:after="0"/>
              <w:rPr>
                <w:sz w:val="1"/>
                <w:szCs w:val="1"/>
                <w:color w:val="auto"/>
              </w:rPr>
            </w:pPr>
          </w:p>
        </w:tc>
      </w:tr>
      <w:tr>
        <w:trPr>
          <w:trHeight w:val="230"/>
        </w:trPr>
        <w:tc>
          <w:tcPr>
            <w:tcW w:w="20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as reported</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KO Energy</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Energy</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320" w:type="dxa"/>
            <w:vAlign w:val="bottom"/>
          </w:tcPr>
          <w:p>
            <w:pPr>
              <w:ind w:left="300"/>
              <w:spacing w:after="0"/>
              <w:rPr>
                <w:sz w:val="20"/>
                <w:szCs w:val="20"/>
                <w:color w:val="auto"/>
              </w:rPr>
            </w:pPr>
            <w:r>
              <w:rPr>
                <w:rFonts w:ascii="Arial" w:cs="Arial" w:eastAsia="Arial" w:hAnsi="Arial"/>
                <w:sz w:val="18"/>
                <w:szCs w:val="18"/>
                <w:color w:val="auto"/>
              </w:rPr>
              <w:t>Combined</w:t>
            </w:r>
          </w:p>
        </w:tc>
        <w:tc>
          <w:tcPr>
            <w:tcW w:w="0" w:type="dxa"/>
            <w:vAlign w:val="bottom"/>
          </w:tcPr>
          <w:p>
            <w:pPr>
              <w:spacing w:after="0"/>
              <w:rPr>
                <w:sz w:val="1"/>
                <w:szCs w:val="1"/>
                <w:color w:val="auto"/>
              </w:rPr>
            </w:pPr>
          </w:p>
        </w:tc>
      </w:tr>
      <w:tr>
        <w:trPr>
          <w:trHeight w:val="195"/>
        </w:trPr>
        <w:tc>
          <w:tcPr>
            <w:tcW w:w="2000" w:type="dxa"/>
            <w:vAlign w:val="bottom"/>
            <w:vMerge w:val="continue"/>
          </w:tcPr>
          <w:p>
            <w:pPr>
              <w:spacing w:after="0"/>
              <w:rPr>
                <w:sz w:val="16"/>
                <w:szCs w:val="16"/>
                <w:color w:val="auto"/>
              </w:rPr>
            </w:pPr>
          </w:p>
        </w:tc>
        <w:tc>
          <w:tcPr>
            <w:tcW w:w="13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$ 2,246,428</w:t>
            </w:r>
          </w:p>
        </w:tc>
        <w:tc>
          <w:tcPr>
            <w:tcW w:w="28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330,076</w:t>
            </w: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(152,041)</w:t>
            </w: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19,900</w:t>
            </w:r>
          </w:p>
        </w:tc>
        <w:tc>
          <w:tcPr>
            <w:tcW w:w="280" w:type="dxa"/>
            <w:vAlign w:val="bottom"/>
          </w:tcPr>
          <w:p>
            <w:pPr>
              <w:spacing w:after="0"/>
              <w:rPr>
                <w:sz w:val="16"/>
                <w:szCs w:val="16"/>
                <w:color w:val="auto"/>
              </w:rPr>
            </w:pPr>
          </w:p>
        </w:tc>
        <w:tc>
          <w:tcPr>
            <w:tcW w:w="13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$ 2,444,363</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338,661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183,763</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4</w:t>
            </w:r>
          </w:p>
        </w:tc>
        <w:tc>
          <w:tcPr>
            <w:tcW w:w="4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1,922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(85,551)</w:t>
            </w: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438,795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740" w:hanging="80"/>
        <w:spacing w:after="0" w:line="293" w:lineRule="auto"/>
        <w:rPr>
          <w:sz w:val="20"/>
          <w:szCs w:val="20"/>
          <w:color w:val="auto"/>
        </w:rPr>
      </w:pPr>
      <w:r>
        <w:rPr>
          <w:rFonts w:ascii="Arial" w:cs="Arial" w:eastAsia="Arial" w:hAnsi="Arial"/>
          <w:sz w:val="16"/>
          <w:szCs w:val="16"/>
          <w:color w:val="auto"/>
        </w:rPr>
        <w:t>¹Includes net sales of $143.3 million and net income of $55.2 million (tax affected) related to the acquired KO Energy assets since the date of acquisition, June 12, 2015.</w:t>
      </w:r>
    </w:p>
    <w:p>
      <w:pPr>
        <w:spacing w:after="0" w:line="159" w:lineRule="exact"/>
        <w:rPr>
          <w:sz w:val="20"/>
          <w:szCs w:val="20"/>
          <w:color w:val="auto"/>
        </w:rPr>
      </w:pPr>
    </w:p>
    <w:p>
      <w:pPr>
        <w:jc w:val="both"/>
        <w:ind w:left="740" w:hanging="80"/>
        <w:spacing w:after="0" w:line="278" w:lineRule="auto"/>
        <w:rPr>
          <w:sz w:val="20"/>
          <w:szCs w:val="20"/>
          <w:color w:val="auto"/>
        </w:rPr>
      </w:pPr>
      <w:r>
        <w:rPr>
          <w:rFonts w:ascii="Arial" w:cs="Arial" w:eastAsia="Arial" w:hAnsi="Arial"/>
          <w:sz w:val="16"/>
          <w:szCs w:val="16"/>
          <w:color w:val="auto"/>
        </w:rPr>
        <w:t>²Includes results through June 12, 2015, the date the TCCC Transaction was finalized. Net income for KO Energy includes only net revenues and direct operating expenses, rather than full “carve-out” financial statements, because such financial information would not be meaningful given that it is not possible to provide a meaningful allocation of business unit and corporate costs, interest or tax in respect of KO Energy.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³Includes results through June 12, 2015. Net income includes gain recognized on the sale of Monster Non-Energy of $161.5 million.</w:t>
      </w:r>
    </w:p>
    <w:p>
      <w:pPr>
        <w:spacing w:after="0" w:line="221" w:lineRule="exact"/>
        <w:rPr>
          <w:sz w:val="20"/>
          <w:szCs w:val="20"/>
          <w:color w:val="auto"/>
        </w:rPr>
      </w:pPr>
    </w:p>
    <w:p>
      <w:pPr>
        <w:jc w:val="both"/>
        <w:ind w:left="740" w:hanging="80"/>
        <w:spacing w:after="0" w:line="230"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The $100.6 million, $218.5 million and $183.8 million of net income for KO Energy for the years ended December 31, 2015, 2014 and 2013, respectively, are presented before tax. The associated estimated provision for income taxes is included in the “Other” category.</w:t>
      </w:r>
    </w:p>
    <w:p>
      <w:pPr>
        <w:sectPr>
          <w:pgSz w:w="11900" w:h="16838" w:orient="portrait"/>
          <w:cols w:equalWidth="0" w:num="1">
            <w:col w:w="11420"/>
          </w:cols>
          <w:pgMar w:left="240" w:top="122" w:right="239" w:bottom="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Pro-Forma Adjustments – Other include the following:</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9"/>
                <w:szCs w:val="19"/>
                <w:color w:val="auto"/>
                <w:w w:val="87"/>
              </w:rPr>
              <w:t>Year Ended</w:t>
            </w:r>
          </w:p>
        </w:tc>
        <w:tc>
          <w:tcPr>
            <w:tcW w:w="22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9"/>
                <w:szCs w:val="19"/>
                <w:color w:val="auto"/>
                <w:w w:val="85"/>
              </w:rPr>
              <w:t>Year Ended</w:t>
            </w:r>
          </w:p>
        </w:tc>
        <w:tc>
          <w:tcPr>
            <w:tcW w:w="200" w:type="dxa"/>
            <w:vAlign w:val="bottom"/>
          </w:tcPr>
          <w:p>
            <w:pPr>
              <w:spacing w:after="0"/>
              <w:rPr>
                <w:sz w:val="18"/>
                <w:szCs w:val="18"/>
                <w:color w:val="auto"/>
              </w:rPr>
            </w:pPr>
          </w:p>
        </w:tc>
        <w:tc>
          <w:tcPr>
            <w:tcW w:w="1140" w:type="dxa"/>
            <w:vAlign w:val="bottom"/>
          </w:tcPr>
          <w:p>
            <w:pPr>
              <w:jc w:val="center"/>
              <w:ind w:right="105"/>
              <w:spacing w:after="0"/>
              <w:rPr>
                <w:sz w:val="20"/>
                <w:szCs w:val="20"/>
                <w:color w:val="auto"/>
              </w:rPr>
            </w:pPr>
            <w:r>
              <w:rPr>
                <w:rFonts w:ascii="Arial" w:cs="Arial" w:eastAsia="Arial" w:hAnsi="Arial"/>
                <w:sz w:val="19"/>
                <w:szCs w:val="19"/>
                <w:color w:val="auto"/>
                <w:w w:val="85"/>
              </w:rPr>
              <w:t>Year Ended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640" w:type="dxa"/>
            <w:vAlign w:val="bottom"/>
            <w:gridSpan w:val="3"/>
          </w:tcPr>
          <w:p>
            <w:pPr>
              <w:jc w:val="center"/>
              <w:ind w:right="260"/>
              <w:spacing w:after="0" w:line="216" w:lineRule="exact"/>
              <w:rPr>
                <w:sz w:val="20"/>
                <w:szCs w:val="20"/>
                <w:color w:val="auto"/>
              </w:rPr>
            </w:pPr>
            <w:r>
              <w:rPr>
                <w:rFonts w:ascii="Arial" w:cs="Arial" w:eastAsia="Arial" w:hAnsi="Arial"/>
                <w:sz w:val="19"/>
                <w:szCs w:val="19"/>
                <w:color w:val="auto"/>
                <w:w w:val="88"/>
              </w:rPr>
              <w:t>December 31,</w:t>
            </w:r>
          </w:p>
        </w:tc>
        <w:tc>
          <w:tcPr>
            <w:tcW w:w="1660" w:type="dxa"/>
            <w:vAlign w:val="bottom"/>
            <w:gridSpan w:val="3"/>
          </w:tcPr>
          <w:p>
            <w:pPr>
              <w:jc w:val="center"/>
              <w:ind w:right="280"/>
              <w:spacing w:after="0" w:line="216" w:lineRule="exact"/>
              <w:rPr>
                <w:sz w:val="20"/>
                <w:szCs w:val="20"/>
                <w:color w:val="auto"/>
              </w:rPr>
            </w:pPr>
            <w:r>
              <w:rPr>
                <w:rFonts w:ascii="Arial" w:cs="Arial" w:eastAsia="Arial" w:hAnsi="Arial"/>
                <w:sz w:val="19"/>
                <w:szCs w:val="19"/>
                <w:color w:val="auto"/>
                <w:w w:val="88"/>
              </w:rPr>
              <w:t>December 31,</w:t>
            </w:r>
          </w:p>
        </w:tc>
        <w:tc>
          <w:tcPr>
            <w:tcW w:w="13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88"/>
              </w:rPr>
              <w:t>December 31,</w:t>
            </w:r>
          </w:p>
        </w:tc>
        <w:tc>
          <w:tcPr>
            <w:tcW w:w="0" w:type="dxa"/>
            <w:vAlign w:val="bottom"/>
          </w:tcPr>
          <w:p>
            <w:pPr>
              <w:spacing w:after="0"/>
              <w:rPr>
                <w:sz w:val="1"/>
                <w:szCs w:val="1"/>
                <w:color w:val="auto"/>
              </w:rPr>
            </w:pPr>
          </w:p>
        </w:tc>
      </w:tr>
      <w:tr>
        <w:trPr>
          <w:trHeight w:val="238"/>
        </w:trPr>
        <w:tc>
          <w:tcPr>
            <w:tcW w:w="552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9"/>
                <w:szCs w:val="19"/>
                <w:color w:val="auto"/>
                <w:w w:val="90"/>
              </w:rPr>
              <w:t>2015¹</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9"/>
                <w:szCs w:val="19"/>
                <w:color w:val="auto"/>
                <w:w w:val="89"/>
              </w:rPr>
              <w:t>2014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5"/>
              <w:spacing w:after="0"/>
              <w:rPr>
                <w:sz w:val="20"/>
                <w:szCs w:val="20"/>
                <w:color w:val="auto"/>
              </w:rPr>
            </w:pPr>
            <w:r>
              <w:rPr>
                <w:rFonts w:ascii="Arial" w:cs="Arial" w:eastAsia="Arial" w:hAnsi="Arial"/>
                <w:sz w:val="19"/>
                <w:szCs w:val="19"/>
                <w:color w:val="auto"/>
                <w:w w:val="89"/>
              </w:rPr>
              <w:t>2013</w:t>
            </w:r>
          </w:p>
        </w:tc>
        <w:tc>
          <w:tcPr>
            <w:tcW w:w="0" w:type="dxa"/>
            <w:vAlign w:val="bottom"/>
          </w:tcPr>
          <w:p>
            <w:pPr>
              <w:spacing w:after="0"/>
              <w:rPr>
                <w:sz w:val="1"/>
                <w:szCs w:val="1"/>
                <w:color w:val="auto"/>
              </w:rPr>
            </w:pPr>
          </w:p>
        </w:tc>
      </w:tr>
      <w:tr>
        <w:trPr>
          <w:trHeight w:val="174"/>
        </w:trPr>
        <w:tc>
          <w:tcPr>
            <w:tcW w:w="5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520" w:type="dxa"/>
            <w:vAlign w:val="bottom"/>
          </w:tcPr>
          <w:p>
            <w:pPr>
              <w:ind w:left="260"/>
              <w:spacing w:after="0"/>
              <w:rPr>
                <w:sz w:val="20"/>
                <w:szCs w:val="20"/>
                <w:color w:val="auto"/>
              </w:rPr>
            </w:pPr>
            <w:r>
              <w:rPr>
                <w:rFonts w:ascii="Arial" w:cs="Arial" w:eastAsia="Arial" w:hAnsi="Arial"/>
                <w:sz w:val="19"/>
                <w:szCs w:val="19"/>
                <w:color w:val="auto"/>
              </w:rPr>
              <w:t>Amortization of deferred revenue</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ind w:right="25"/>
              <w:spacing w:after="0"/>
              <w:rPr>
                <w:sz w:val="20"/>
                <w:szCs w:val="20"/>
                <w:color w:val="auto"/>
              </w:rPr>
            </w:pPr>
            <w:r>
              <w:rPr>
                <w:rFonts w:ascii="Arial" w:cs="Arial" w:eastAsia="Arial" w:hAnsi="Arial"/>
                <w:sz w:val="19"/>
                <w:szCs w:val="19"/>
                <w:color w:val="auto"/>
              </w:rPr>
              <w:t>8,887</w:t>
            </w:r>
          </w:p>
        </w:tc>
        <w:tc>
          <w:tcPr>
            <w:tcW w:w="2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ind w:right="45"/>
              <w:spacing w:after="0"/>
              <w:rPr>
                <w:sz w:val="20"/>
                <w:szCs w:val="20"/>
                <w:color w:val="auto"/>
              </w:rPr>
            </w:pPr>
            <w:r>
              <w:rPr>
                <w:rFonts w:ascii="Arial" w:cs="Arial" w:eastAsia="Arial" w:hAnsi="Arial"/>
                <w:sz w:val="19"/>
                <w:szCs w:val="19"/>
                <w:color w:val="auto"/>
              </w:rPr>
              <w:t>19,900</w:t>
            </w: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ind w:right="25"/>
              <w:spacing w:after="0"/>
              <w:rPr>
                <w:sz w:val="20"/>
                <w:szCs w:val="20"/>
                <w:color w:val="auto"/>
              </w:rPr>
            </w:pPr>
            <w:r>
              <w:rPr>
                <w:rFonts w:ascii="Arial" w:cs="Arial" w:eastAsia="Arial" w:hAnsi="Arial"/>
                <w:sz w:val="19"/>
                <w:szCs w:val="19"/>
                <w:color w:val="auto"/>
              </w:rPr>
              <w:t>19,900</w:t>
            </w:r>
          </w:p>
        </w:tc>
        <w:tc>
          <w:tcPr>
            <w:tcW w:w="0" w:type="dxa"/>
            <w:vAlign w:val="bottom"/>
          </w:tcPr>
          <w:p>
            <w:pPr>
              <w:spacing w:after="0"/>
              <w:rPr>
                <w:sz w:val="1"/>
                <w:szCs w:val="1"/>
                <w:color w:val="auto"/>
              </w:rPr>
            </w:pPr>
          </w:p>
        </w:tc>
      </w:tr>
      <w:tr>
        <w:trPr>
          <w:trHeight w:val="421"/>
        </w:trPr>
        <w:tc>
          <w:tcPr>
            <w:tcW w:w="5520" w:type="dxa"/>
            <w:vAlign w:val="bottom"/>
          </w:tcPr>
          <w:p>
            <w:pPr>
              <w:spacing w:after="0"/>
              <w:rPr>
                <w:sz w:val="20"/>
                <w:szCs w:val="20"/>
                <w:color w:val="auto"/>
              </w:rPr>
            </w:pPr>
            <w:r>
              <w:rPr>
                <w:rFonts w:ascii="Arial" w:cs="Arial" w:eastAsia="Arial" w:hAnsi="Arial"/>
                <w:sz w:val="19"/>
                <w:szCs w:val="19"/>
                <w:color w:val="auto"/>
              </w:rPr>
              <w:t>Net income: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60"/>
              <w:spacing w:after="0" w:line="216" w:lineRule="exact"/>
              <w:rPr>
                <w:sz w:val="20"/>
                <w:szCs w:val="20"/>
                <w:color w:val="auto"/>
              </w:rPr>
            </w:pPr>
            <w:r>
              <w:rPr>
                <w:rFonts w:ascii="Arial" w:cs="Arial" w:eastAsia="Arial" w:hAnsi="Arial"/>
                <w:sz w:val="19"/>
                <w:szCs w:val="19"/>
                <w:color w:val="auto"/>
              </w:rPr>
              <w:t>Amortization of deferred revenue</w:t>
            </w: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8,887</w:t>
            </w:r>
          </w:p>
        </w:tc>
        <w:tc>
          <w:tcPr>
            <w:tcW w:w="28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6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19,900</w:t>
            </w:r>
          </w:p>
        </w:tc>
        <w:tc>
          <w:tcPr>
            <w:tcW w:w="280" w:type="dxa"/>
            <w:vAlign w:val="bottom"/>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4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19,900</w:t>
            </w:r>
          </w:p>
        </w:tc>
        <w:tc>
          <w:tcPr>
            <w:tcW w:w="0" w:type="dxa"/>
            <w:vAlign w:val="bottom"/>
          </w:tcPr>
          <w:p>
            <w:pPr>
              <w:spacing w:after="0"/>
              <w:rPr>
                <w:sz w:val="1"/>
                <w:szCs w:val="1"/>
                <w:color w:val="auto"/>
              </w:rPr>
            </w:pPr>
          </w:p>
        </w:tc>
      </w:tr>
      <w:tr>
        <w:trPr>
          <w:trHeight w:val="216"/>
        </w:trPr>
        <w:tc>
          <w:tcPr>
            <w:tcW w:w="5520" w:type="dxa"/>
            <w:vAlign w:val="bottom"/>
          </w:tcPr>
          <w:p>
            <w:pPr>
              <w:ind w:left="260"/>
              <w:spacing w:after="0" w:line="216" w:lineRule="exact"/>
              <w:rPr>
                <w:sz w:val="20"/>
                <w:szCs w:val="20"/>
                <w:color w:val="auto"/>
              </w:rPr>
            </w:pPr>
            <w:r>
              <w:rPr>
                <w:rFonts w:ascii="Arial" w:cs="Arial" w:eastAsia="Arial" w:hAnsi="Arial"/>
                <w:sz w:val="19"/>
                <w:szCs w:val="19"/>
                <w:color w:val="auto"/>
              </w:rPr>
              <w:t>To record sales commissions</w:t>
            </w: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(15,470)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(38,352)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(36,969)</w:t>
            </w:r>
          </w:p>
        </w:tc>
        <w:tc>
          <w:tcPr>
            <w:tcW w:w="0" w:type="dxa"/>
            <w:vAlign w:val="bottom"/>
          </w:tcPr>
          <w:p>
            <w:pPr>
              <w:spacing w:after="0"/>
              <w:rPr>
                <w:sz w:val="1"/>
                <w:szCs w:val="1"/>
                <w:color w:val="auto"/>
              </w:rPr>
            </w:pPr>
          </w:p>
        </w:tc>
      </w:tr>
      <w:tr>
        <w:trPr>
          <w:trHeight w:val="240"/>
        </w:trPr>
        <w:tc>
          <w:tcPr>
            <w:tcW w:w="5520" w:type="dxa"/>
            <w:vAlign w:val="bottom"/>
          </w:tcPr>
          <w:p>
            <w:pPr>
              <w:ind w:left="260"/>
              <w:spacing w:after="0"/>
              <w:rPr>
                <w:sz w:val="20"/>
                <w:szCs w:val="20"/>
                <w:color w:val="auto"/>
              </w:rPr>
            </w:pPr>
            <w:r>
              <w:rPr>
                <w:rFonts w:ascii="Arial" w:cs="Arial" w:eastAsia="Arial" w:hAnsi="Arial"/>
                <w:sz w:val="19"/>
                <w:szCs w:val="19"/>
                <w:color w:val="auto"/>
              </w:rPr>
              <w:t>To record amortization of definite lived KO Energy intangibles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(3,126)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(7,000)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(7,000)</w:t>
            </w:r>
          </w:p>
        </w:tc>
        <w:tc>
          <w:tcPr>
            <w:tcW w:w="0" w:type="dxa"/>
            <w:vAlign w:val="bottom"/>
          </w:tcPr>
          <w:p>
            <w:pPr>
              <w:spacing w:after="0"/>
              <w:rPr>
                <w:sz w:val="1"/>
                <w:szCs w:val="1"/>
                <w:color w:val="auto"/>
              </w:rPr>
            </w:pPr>
          </w:p>
        </w:tc>
      </w:tr>
      <w:tr>
        <w:trPr>
          <w:trHeight w:val="284"/>
        </w:trPr>
        <w:tc>
          <w:tcPr>
            <w:tcW w:w="5520" w:type="dxa"/>
            <w:vAlign w:val="bottom"/>
          </w:tcPr>
          <w:p>
            <w:pPr>
              <w:ind w:left="260"/>
              <w:spacing w:after="0"/>
              <w:rPr>
                <w:sz w:val="20"/>
                <w:szCs w:val="20"/>
                <w:color w:val="auto"/>
              </w:rPr>
            </w:pPr>
            <w:r>
              <w:rPr>
                <w:rFonts w:ascii="Arial" w:cs="Arial" w:eastAsia="Arial" w:hAnsi="Arial"/>
                <w:sz w:val="19"/>
                <w:szCs w:val="19"/>
                <w:color w:val="auto"/>
              </w:rPr>
              <w:t>To eliminate TCCC Transaction expenses</w:t>
            </w:r>
          </w:p>
        </w:tc>
        <w:tc>
          <w:tcPr>
            <w:tcW w:w="220" w:type="dxa"/>
            <w:vAlign w:val="bottom"/>
          </w:tcPr>
          <w:p>
            <w:pPr>
              <w:spacing w:after="0"/>
              <w:rPr>
                <w:sz w:val="24"/>
                <w:szCs w:val="24"/>
                <w:color w:val="auto"/>
              </w:rPr>
            </w:pPr>
          </w:p>
        </w:tc>
        <w:tc>
          <w:tcPr>
            <w:tcW w:w="1140" w:type="dxa"/>
            <w:vAlign w:val="bottom"/>
          </w:tcPr>
          <w:p>
            <w:pPr>
              <w:jc w:val="right"/>
              <w:ind w:right="25"/>
              <w:spacing w:after="0"/>
              <w:rPr>
                <w:sz w:val="20"/>
                <w:szCs w:val="20"/>
                <w:color w:val="auto"/>
              </w:rPr>
            </w:pPr>
            <w:r>
              <w:rPr>
                <w:rFonts w:ascii="Arial" w:cs="Arial" w:eastAsia="Arial" w:hAnsi="Arial"/>
                <w:sz w:val="19"/>
                <w:szCs w:val="19"/>
                <w:color w:val="auto"/>
              </w:rPr>
              <w:t>15,495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45"/>
              <w:spacing w:after="0"/>
              <w:rPr>
                <w:sz w:val="20"/>
                <w:szCs w:val="20"/>
                <w:color w:val="auto"/>
              </w:rPr>
            </w:pPr>
            <w:r>
              <w:rPr>
                <w:rFonts w:ascii="Arial" w:cs="Arial" w:eastAsia="Arial" w:hAnsi="Arial"/>
                <w:sz w:val="19"/>
                <w:szCs w:val="19"/>
                <w:color w:val="auto"/>
              </w:rPr>
              <w:t>4,824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4"/>
        </w:trPr>
        <w:tc>
          <w:tcPr>
            <w:tcW w:w="5520" w:type="dxa"/>
            <w:vAlign w:val="bottom"/>
          </w:tcPr>
          <w:p>
            <w:pPr>
              <w:ind w:left="260"/>
              <w:spacing w:after="0"/>
              <w:rPr>
                <w:sz w:val="20"/>
                <w:szCs w:val="20"/>
                <w:color w:val="auto"/>
              </w:rPr>
            </w:pPr>
            <w:r>
              <w:rPr>
                <w:rFonts w:ascii="Arial" w:cs="Arial" w:eastAsia="Arial" w:hAnsi="Arial"/>
                <w:sz w:val="19"/>
                <w:szCs w:val="19"/>
                <w:color w:val="auto"/>
                <w:w w:val="98"/>
              </w:rPr>
              <w:t>Estimated provision for income taxes on pro forma adjustments</w:t>
            </w:r>
          </w:p>
        </w:tc>
        <w:tc>
          <w:tcPr>
            <w:tcW w:w="220" w:type="dxa"/>
            <w:vAlign w:val="bottom"/>
          </w:tcPr>
          <w:p>
            <w:pPr>
              <w:spacing w:after="0"/>
              <w:rPr>
                <w:sz w:val="24"/>
                <w:szCs w:val="24"/>
                <w:color w:val="auto"/>
              </w:rPr>
            </w:pPr>
          </w:p>
        </w:tc>
        <w:tc>
          <w:tcPr>
            <w:tcW w:w="1140" w:type="dxa"/>
            <w:vAlign w:val="bottom"/>
          </w:tcPr>
          <w:p>
            <w:pPr>
              <w:jc w:val="right"/>
              <w:ind w:right="25"/>
              <w:spacing w:after="0"/>
              <w:rPr>
                <w:sz w:val="20"/>
                <w:szCs w:val="20"/>
                <w:color w:val="auto"/>
              </w:rPr>
            </w:pPr>
            <w:r>
              <w:rPr>
                <w:rFonts w:ascii="Arial" w:cs="Arial" w:eastAsia="Arial" w:hAnsi="Arial"/>
                <w:sz w:val="19"/>
                <w:szCs w:val="19"/>
                <w:color w:val="auto"/>
              </w:rPr>
              <w:t>2,545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45"/>
              <w:spacing w:after="0"/>
              <w:rPr>
                <w:sz w:val="20"/>
                <w:szCs w:val="20"/>
                <w:color w:val="auto"/>
              </w:rPr>
            </w:pPr>
            <w:r>
              <w:rPr>
                <w:rFonts w:ascii="Arial" w:cs="Arial" w:eastAsia="Arial" w:hAnsi="Arial"/>
                <w:sz w:val="19"/>
                <w:szCs w:val="19"/>
                <w:color w:val="auto"/>
              </w:rPr>
              <w:t>9,428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5"/>
              <w:spacing w:after="0"/>
              <w:rPr>
                <w:sz w:val="20"/>
                <w:szCs w:val="20"/>
                <w:color w:val="auto"/>
              </w:rPr>
            </w:pPr>
            <w:r>
              <w:rPr>
                <w:rFonts w:ascii="Arial" w:cs="Arial" w:eastAsia="Arial" w:hAnsi="Arial"/>
                <w:sz w:val="19"/>
                <w:szCs w:val="19"/>
                <w:color w:val="auto"/>
              </w:rPr>
              <w:t>9,267</w:t>
            </w:r>
          </w:p>
        </w:tc>
        <w:tc>
          <w:tcPr>
            <w:tcW w:w="0" w:type="dxa"/>
            <w:vAlign w:val="bottom"/>
          </w:tcPr>
          <w:p>
            <w:pPr>
              <w:spacing w:after="0"/>
              <w:rPr>
                <w:sz w:val="1"/>
                <w:szCs w:val="1"/>
                <w:color w:val="auto"/>
              </w:rPr>
            </w:pPr>
          </w:p>
        </w:tc>
      </w:tr>
      <w:tr>
        <w:trPr>
          <w:trHeight w:val="259"/>
        </w:trPr>
        <w:tc>
          <w:tcPr>
            <w:tcW w:w="5520" w:type="dxa"/>
            <w:vAlign w:val="bottom"/>
          </w:tcPr>
          <w:p>
            <w:pPr>
              <w:ind w:left="260"/>
              <w:spacing w:after="0"/>
              <w:rPr>
                <w:sz w:val="20"/>
                <w:szCs w:val="20"/>
                <w:color w:val="auto"/>
              </w:rPr>
            </w:pPr>
            <w:r>
              <w:rPr>
                <w:rFonts w:ascii="Arial" w:cs="Arial" w:eastAsia="Arial" w:hAnsi="Arial"/>
                <w:sz w:val="19"/>
                <w:szCs w:val="19"/>
                <w:color w:val="auto"/>
              </w:rPr>
              <w:t>Estimated provision for income taxes on KO Energy income</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(38,721)</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(84,106)</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(70,749)</w:t>
            </w:r>
          </w:p>
        </w:tc>
        <w:tc>
          <w:tcPr>
            <w:tcW w:w="0" w:type="dxa"/>
            <w:vAlign w:val="bottom"/>
          </w:tcPr>
          <w:p>
            <w:pPr>
              <w:spacing w:after="0"/>
              <w:rPr>
                <w:sz w:val="1"/>
                <w:szCs w:val="1"/>
                <w:color w:val="auto"/>
              </w:rPr>
            </w:pPr>
          </w:p>
        </w:tc>
      </w:tr>
      <w:tr>
        <w:trPr>
          <w:trHeight w:val="22"/>
        </w:trPr>
        <w:tc>
          <w:tcPr>
            <w:tcW w:w="5520" w:type="dxa"/>
            <w:vAlign w:val="bottom"/>
            <w:vMerge w:val="restart"/>
          </w:tcPr>
          <w:p>
            <w:pPr>
              <w:ind w:left="260"/>
              <w:spacing w:after="0"/>
              <w:rPr>
                <w:sz w:val="20"/>
                <w:szCs w:val="20"/>
                <w:color w:val="auto"/>
              </w:rPr>
            </w:pPr>
            <w:r>
              <w:rPr>
                <w:rFonts w:ascii="Arial" w:cs="Arial" w:eastAsia="Arial" w:hAnsi="Arial"/>
                <w:sz w:val="19"/>
                <w:szCs w:val="19"/>
                <w:color w:val="auto"/>
              </w:rPr>
              <w:t>Total</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(30,390)</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(95,306)</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(85,551)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¹Includes amortization of deferred revenue, sales commissions and amortization of intangibles through June 12, 2015, the date the TCCC Transaction was consummated.</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purposes of the unaudited pro forma financial information, a combined U.S. Federal and state statutory tax rate of 38.5% has been used. This rate does not reflect the Company’s expected effective tax rate, which includes other tax charges and benefits, and does not take into account any historical or possible future tax events that may impact the combined company.</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unaudited pro forma financial information is presented for information purposes only and is not intended to represent or be indicative of the combined results of operations that the Company would have reported had the TCCC Transaction been completed as of the date and for the periods presented, and should not be taken as representative of the Company’s consolidated results of operations following the completion of the TCCC Transaction. In addition, the unaudited pro forma financial information is not intended to project the future financial results of operations of the combined company. The unaudited pro forma combined financial information does not reflect any cost savings, operational synergies or revenue enhancements that the combined company may achieve as a result of the TCCC Transaction or the costs to combine the operations or costs necessary to achieve cost savings, operating synergies and revenue enhancements.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5"/>
                <w:szCs w:val="15"/>
                <w:color w:val="auto"/>
                <w:w w:val="92"/>
              </w:rPr>
              <w:t>Continuous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color w:val="auto"/>
                <w:w w:val="92"/>
              </w:rPr>
              <w:t>Continuous</w:t>
            </w: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91"/>
              </w:rPr>
              <w:t>Unrealized</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94"/>
              </w:rPr>
              <w:t>Unrealized</w:t>
            </w: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91"/>
              </w:rPr>
              <w:t>Loss Position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91"/>
              </w:rPr>
              <w:t>Loss Position</w:t>
            </w: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rPr>
              <w:t>Holding</w:t>
            </w:r>
          </w:p>
        </w:tc>
        <w:tc>
          <w:tcPr>
            <w:tcW w:w="280" w:type="dxa"/>
            <w:vAlign w:val="bottom"/>
          </w:tcPr>
          <w:p>
            <w:pPr>
              <w:spacing w:after="0"/>
              <w:rPr>
                <w:sz w:val="14"/>
                <w:szCs w:val="14"/>
                <w:color w:val="auto"/>
              </w:rPr>
            </w:pPr>
          </w:p>
        </w:tc>
        <w:tc>
          <w:tcPr>
            <w:tcW w:w="106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line="162" w:lineRule="exact"/>
              <w:rPr>
                <w:sz w:val="20"/>
                <w:szCs w:val="20"/>
                <w:color w:val="auto"/>
              </w:rPr>
            </w:pPr>
            <w:r>
              <w:rPr>
                <w:rFonts w:ascii="Arial" w:cs="Arial" w:eastAsia="Arial" w:hAnsi="Arial"/>
                <w:sz w:val="15"/>
                <w:szCs w:val="15"/>
                <w:color w:val="auto"/>
                <w:w w:val="88"/>
              </w:rPr>
              <w:t>less than 12</w:t>
            </w:r>
          </w:p>
        </w:tc>
        <w:tc>
          <w:tcPr>
            <w:tcW w:w="124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0"/>
              </w:rPr>
              <w:t>greater than 12</w:t>
            </w:r>
          </w:p>
        </w:tc>
      </w:tr>
      <w:tr>
        <w:trPr>
          <w:trHeight w:val="182"/>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December 31, 2015</w:t>
            </w: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4"/>
              </w:rPr>
              <w:t>Losses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93"/>
              </w:rPr>
              <w:t>Months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color w:val="auto"/>
                <w:w w:val="93"/>
              </w:rPr>
              <w:t>Months</w:t>
            </w:r>
          </w:p>
        </w:tc>
      </w:tr>
      <w:tr>
        <w:trPr>
          <w:trHeight w:val="149"/>
        </w:trPr>
        <w:tc>
          <w:tcPr>
            <w:tcW w:w="3120" w:type="dxa"/>
            <w:vAlign w:val="bottom"/>
          </w:tcPr>
          <w:p>
            <w:pPr>
              <w:ind w:left="40"/>
              <w:spacing w:after="0" w:line="149" w:lineRule="exact"/>
              <w:rPr>
                <w:sz w:val="20"/>
                <w:szCs w:val="20"/>
                <w:color w:val="auto"/>
              </w:rPr>
            </w:pPr>
            <w:r>
              <w:rPr>
                <w:rFonts w:ascii="Arial" w:cs="Arial" w:eastAsia="Arial" w:hAnsi="Arial"/>
                <w:sz w:val="15"/>
                <w:szCs w:val="15"/>
                <w:b w:val="1"/>
                <w:bCs w:val="1"/>
                <w:color w:val="auto"/>
              </w:rPr>
              <w:t>Held-to-Maturity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120" w:type="dxa"/>
            <w:vAlign w:val="bottom"/>
          </w:tcPr>
          <w:p>
            <w:pPr>
              <w:ind w:left="40"/>
              <w:spacing w:after="0" w:line="162" w:lineRule="exact"/>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120" w:type="dxa"/>
            <w:vAlign w:val="bottom"/>
          </w:tcPr>
          <w:p>
            <w:pPr>
              <w:ind w:left="220"/>
              <w:spacing w:after="0" w:line="162" w:lineRule="exact"/>
              <w:rPr>
                <w:sz w:val="20"/>
                <w:szCs w:val="20"/>
                <w:color w:val="auto"/>
              </w:rPr>
            </w:pPr>
            <w:r>
              <w:rPr>
                <w:rFonts w:ascii="Arial" w:cs="Arial" w:eastAsia="Arial" w:hAnsi="Arial"/>
                <w:sz w:val="15"/>
                <w:szCs w:val="15"/>
                <w:color w:val="auto"/>
              </w:rPr>
              <w:t>Commercial paper</w:t>
            </w: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3,978</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3,978</w:t>
            </w:r>
          </w:p>
        </w:tc>
        <w:tc>
          <w:tcPr>
            <w:tcW w:w="2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2"/>
        </w:trPr>
        <w:tc>
          <w:tcPr>
            <w:tcW w:w="3120" w:type="dxa"/>
            <w:vAlign w:val="bottom"/>
          </w:tcPr>
          <w:p>
            <w:pPr>
              <w:ind w:left="220"/>
              <w:spacing w:after="0" w:line="162" w:lineRule="exact"/>
              <w:rPr>
                <w:sz w:val="20"/>
                <w:szCs w:val="20"/>
                <w:color w:val="auto"/>
              </w:rPr>
            </w:pPr>
            <w:r>
              <w:rPr>
                <w:rFonts w:ascii="Arial" w:cs="Arial" w:eastAsia="Arial" w:hAnsi="Arial"/>
                <w:sz w:val="15"/>
                <w:szCs w:val="15"/>
                <w:color w:val="auto"/>
              </w:rPr>
              <w:t>Municipal securities</w:t>
            </w:r>
          </w:p>
        </w:tc>
        <w:tc>
          <w:tcPr>
            <w:tcW w:w="160" w:type="dxa"/>
            <w:vAlign w:val="bottom"/>
          </w:tcPr>
          <w:p>
            <w:pPr>
              <w:spacing w:after="0"/>
              <w:rPr>
                <w:sz w:val="14"/>
                <w:szCs w:val="14"/>
                <w:color w:val="auto"/>
              </w:rPr>
            </w:pPr>
          </w:p>
        </w:tc>
        <w:tc>
          <w:tcPr>
            <w:tcW w:w="12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709,207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63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192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709,078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192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1"/>
        </w:trPr>
        <w:tc>
          <w:tcPr>
            <w:tcW w:w="3120" w:type="dxa"/>
            <w:vAlign w:val="bottom"/>
          </w:tcPr>
          <w:p>
            <w:pPr>
              <w:ind w:left="220"/>
              <w:spacing w:after="0" w:line="161" w:lineRule="exact"/>
              <w:rPr>
                <w:sz w:val="20"/>
                <w:szCs w:val="20"/>
                <w:color w:val="auto"/>
              </w:rPr>
            </w:pPr>
            <w:r>
              <w:rPr>
                <w:rFonts w:ascii="Arial" w:cs="Arial" w:eastAsia="Arial" w:hAnsi="Arial"/>
                <w:sz w:val="15"/>
                <w:szCs w:val="15"/>
                <w:color w:val="auto"/>
              </w:rPr>
              <w:t>U.S. government agency securities</w:t>
            </w:r>
          </w:p>
        </w:tc>
        <w:tc>
          <w:tcPr>
            <w:tcW w:w="160" w:type="dxa"/>
            <w:vAlign w:val="bottom"/>
          </w:tcPr>
          <w:p>
            <w:pPr>
              <w:spacing w:after="0"/>
              <w:rPr>
                <w:sz w:val="14"/>
                <w:szCs w:val="14"/>
                <w:color w:val="auto"/>
              </w:rPr>
            </w:pPr>
          </w:p>
        </w:tc>
        <w:tc>
          <w:tcPr>
            <w:tcW w:w="1220" w:type="dxa"/>
            <w:vAlign w:val="bottom"/>
          </w:tcPr>
          <w:p>
            <w:pPr>
              <w:jc w:val="right"/>
              <w:ind w:right="63"/>
              <w:spacing w:after="0" w:line="161" w:lineRule="exact"/>
              <w:rPr>
                <w:sz w:val="20"/>
                <w:szCs w:val="20"/>
                <w:color w:val="auto"/>
              </w:rPr>
            </w:pPr>
            <w:r>
              <w:rPr>
                <w:rFonts w:ascii="Arial" w:cs="Arial" w:eastAsia="Arial" w:hAnsi="Arial"/>
                <w:sz w:val="15"/>
                <w:szCs w:val="15"/>
                <w:color w:val="auto"/>
              </w:rPr>
              <w:t>23,369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43"/>
              <w:spacing w:after="0" w:line="161"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3"/>
              <w:spacing w:after="0" w:line="161" w:lineRule="exact"/>
              <w:rPr>
                <w:sz w:val="20"/>
                <w:szCs w:val="20"/>
                <w:color w:val="auto"/>
              </w:rPr>
            </w:pPr>
            <w:r>
              <w:rPr>
                <w:rFonts w:ascii="Arial" w:cs="Arial" w:eastAsia="Arial" w:hAnsi="Arial"/>
                <w:sz w:val="15"/>
                <w:szCs w:val="15"/>
                <w:color w:val="auto"/>
              </w:rPr>
              <w:t>58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3"/>
              <w:spacing w:after="0" w:line="161" w:lineRule="exact"/>
              <w:rPr>
                <w:sz w:val="20"/>
                <w:szCs w:val="20"/>
                <w:color w:val="auto"/>
              </w:rPr>
            </w:pPr>
            <w:r>
              <w:rPr>
                <w:rFonts w:ascii="Arial" w:cs="Arial" w:eastAsia="Arial" w:hAnsi="Arial"/>
                <w:sz w:val="15"/>
                <w:szCs w:val="15"/>
                <w:color w:val="auto"/>
              </w:rPr>
              <w:t>23,311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1" w:lineRule="exact"/>
              <w:rPr>
                <w:sz w:val="20"/>
                <w:szCs w:val="20"/>
                <w:color w:val="auto"/>
              </w:rPr>
            </w:pPr>
            <w:r>
              <w:rPr>
                <w:rFonts w:ascii="Arial" w:cs="Arial" w:eastAsia="Arial" w:hAnsi="Arial"/>
                <w:sz w:val="15"/>
                <w:szCs w:val="15"/>
                <w:color w:val="auto"/>
              </w:rPr>
              <w:t>58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3"/>
              <w:spacing w:after="0" w:line="161"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217"/>
        </w:trPr>
        <w:tc>
          <w:tcPr>
            <w:tcW w:w="3120" w:type="dxa"/>
            <w:vAlign w:val="bottom"/>
          </w:tcPr>
          <w:p>
            <w:pPr>
              <w:ind w:left="220"/>
              <w:spacing w:after="0"/>
              <w:rPr>
                <w:sz w:val="20"/>
                <w:szCs w:val="20"/>
                <w:color w:val="auto"/>
              </w:rPr>
            </w:pPr>
            <w:r>
              <w:rPr>
                <w:rFonts w:ascii="Arial" w:cs="Arial" w:eastAsia="Arial" w:hAnsi="Arial"/>
                <w:sz w:val="15"/>
                <w:szCs w:val="15"/>
                <w:color w:val="auto"/>
              </w:rPr>
              <w:t>U.S. Treasuries</w:t>
            </w:r>
          </w:p>
        </w:tc>
        <w:tc>
          <w:tcPr>
            <w:tcW w:w="16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8,056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8,043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r>
      <w:tr>
        <w:trPr>
          <w:trHeight w:val="162"/>
        </w:trPr>
        <w:tc>
          <w:tcPr>
            <w:tcW w:w="3120" w:type="dxa"/>
            <w:vAlign w:val="bottom"/>
          </w:tcPr>
          <w:p>
            <w:pPr>
              <w:ind w:left="40"/>
              <w:spacing w:after="0" w:line="162" w:lineRule="exact"/>
              <w:rPr>
                <w:sz w:val="20"/>
                <w:szCs w:val="20"/>
                <w:color w:val="auto"/>
              </w:rPr>
            </w:pPr>
            <w:r>
              <w:rPr>
                <w:rFonts w:ascii="Arial" w:cs="Arial" w:eastAsia="Arial" w:hAnsi="Arial"/>
                <w:sz w:val="15"/>
                <w:szCs w:val="15"/>
                <w:color w:val="auto"/>
              </w:rPr>
              <w:t>Long-term:</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120" w:type="dxa"/>
            <w:vAlign w:val="bottom"/>
          </w:tcPr>
          <w:p>
            <w:pPr>
              <w:ind w:left="220"/>
              <w:spacing w:after="0" w:line="162" w:lineRule="exact"/>
              <w:rPr>
                <w:sz w:val="20"/>
                <w:szCs w:val="20"/>
                <w:color w:val="auto"/>
              </w:rPr>
            </w:pPr>
            <w:r>
              <w:rPr>
                <w:rFonts w:ascii="Arial" w:cs="Arial" w:eastAsia="Arial" w:hAnsi="Arial"/>
                <w:sz w:val="15"/>
                <w:szCs w:val="15"/>
                <w:color w:val="auto"/>
              </w:rPr>
              <w:t>Municipal securities</w:t>
            </w:r>
          </w:p>
        </w:tc>
        <w:tc>
          <w:tcPr>
            <w:tcW w:w="160" w:type="dxa"/>
            <w:vAlign w:val="bottom"/>
          </w:tcPr>
          <w:p>
            <w:pPr>
              <w:spacing w:after="0"/>
              <w:rPr>
                <w:sz w:val="14"/>
                <w:szCs w:val="14"/>
                <w:color w:val="auto"/>
              </w:rPr>
            </w:pPr>
          </w:p>
        </w:tc>
        <w:tc>
          <w:tcPr>
            <w:tcW w:w="12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11,071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11,063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9"/>
        </w:trPr>
        <w:tc>
          <w:tcPr>
            <w:tcW w:w="3120" w:type="dxa"/>
            <w:vAlign w:val="bottom"/>
          </w:tcPr>
          <w:p>
            <w:pPr>
              <w:ind w:left="220"/>
              <w:spacing w:after="0" w:line="162" w:lineRule="exact"/>
              <w:rPr>
                <w:sz w:val="20"/>
                <w:szCs w:val="20"/>
                <w:color w:val="auto"/>
              </w:rPr>
            </w:pPr>
            <w:r>
              <w:rPr>
                <w:rFonts w:ascii="Arial" w:cs="Arial" w:eastAsia="Arial" w:hAnsi="Arial"/>
                <w:sz w:val="15"/>
                <w:szCs w:val="15"/>
                <w:color w:val="auto"/>
              </w:rPr>
              <w:t>U.S. government agency securities</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4,277</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25</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4,252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25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2"/>
        </w:trPr>
        <w:tc>
          <w:tcPr>
            <w:tcW w:w="3120" w:type="dxa"/>
            <w:vAlign w:val="bottom"/>
          </w:tcPr>
          <w:p>
            <w:pPr>
              <w:ind w:left="600"/>
              <w:spacing w:after="0" w:line="162" w:lineRule="exact"/>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759,958</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63</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296</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759,725</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296</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5"/>
                <w:szCs w:val="15"/>
                <w:color w:val="auto"/>
                <w:w w:val="92"/>
              </w:rPr>
              <w:t>Continuous</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color w:val="auto"/>
                <w:w w:val="92"/>
              </w:rPr>
              <w:t>Continuous</w:t>
            </w: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91"/>
              </w:rPr>
              <w:t>Unrealized</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94"/>
              </w:rPr>
              <w:t>Unrealized</w:t>
            </w: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Arial" w:cs="Arial" w:eastAsia="Arial" w:hAnsi="Arial"/>
                <w:sz w:val="15"/>
                <w:szCs w:val="15"/>
                <w:color w:val="auto"/>
                <w:w w:val="91"/>
              </w:rPr>
              <w:t>Loss Position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91"/>
              </w:rPr>
              <w:t>Loss Position</w:t>
            </w: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rPr>
              <w:t>Holding</w:t>
            </w:r>
          </w:p>
        </w:tc>
        <w:tc>
          <w:tcPr>
            <w:tcW w:w="280" w:type="dxa"/>
            <w:vAlign w:val="bottom"/>
          </w:tcPr>
          <w:p>
            <w:pPr>
              <w:spacing w:after="0"/>
              <w:rPr>
                <w:sz w:val="14"/>
                <w:szCs w:val="14"/>
                <w:color w:val="auto"/>
              </w:rPr>
            </w:pPr>
          </w:p>
        </w:tc>
        <w:tc>
          <w:tcPr>
            <w:tcW w:w="106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line="162" w:lineRule="exact"/>
              <w:rPr>
                <w:sz w:val="20"/>
                <w:szCs w:val="20"/>
                <w:color w:val="auto"/>
              </w:rPr>
            </w:pPr>
            <w:r>
              <w:rPr>
                <w:rFonts w:ascii="Arial" w:cs="Arial" w:eastAsia="Arial" w:hAnsi="Arial"/>
                <w:sz w:val="15"/>
                <w:szCs w:val="15"/>
                <w:color w:val="auto"/>
                <w:w w:val="88"/>
              </w:rPr>
              <w:t>less than 12</w:t>
            </w:r>
          </w:p>
        </w:tc>
        <w:tc>
          <w:tcPr>
            <w:tcW w:w="124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0"/>
              </w:rPr>
              <w:t>greater than 12</w:t>
            </w:r>
          </w:p>
        </w:tc>
      </w:tr>
      <w:tr>
        <w:trPr>
          <w:trHeight w:val="182"/>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December 31, 2014</w:t>
            </w: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4"/>
              </w:rPr>
              <w:t>Losses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93"/>
              </w:rPr>
              <w:t>Months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color w:val="auto"/>
                <w:w w:val="93"/>
              </w:rPr>
              <w:t>Months</w:t>
            </w:r>
          </w:p>
        </w:tc>
      </w:tr>
      <w:tr>
        <w:trPr>
          <w:trHeight w:val="149"/>
        </w:trPr>
        <w:tc>
          <w:tcPr>
            <w:tcW w:w="3120" w:type="dxa"/>
            <w:vAlign w:val="bottom"/>
          </w:tcPr>
          <w:p>
            <w:pPr>
              <w:ind w:left="40"/>
              <w:spacing w:after="0" w:line="149" w:lineRule="exact"/>
              <w:rPr>
                <w:sz w:val="20"/>
                <w:szCs w:val="20"/>
                <w:color w:val="auto"/>
              </w:rPr>
            </w:pPr>
            <w:r>
              <w:rPr>
                <w:rFonts w:ascii="Arial" w:cs="Arial" w:eastAsia="Arial" w:hAnsi="Arial"/>
                <w:sz w:val="15"/>
                <w:szCs w:val="15"/>
                <w:b w:val="1"/>
                <w:bCs w:val="1"/>
                <w:color w:val="auto"/>
              </w:rPr>
              <w:t>Held-to-Maturity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120" w:type="dxa"/>
            <w:vAlign w:val="bottom"/>
          </w:tcPr>
          <w:p>
            <w:pPr>
              <w:ind w:left="40"/>
              <w:spacing w:after="0" w:line="162" w:lineRule="exact"/>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4"/>
        </w:trPr>
        <w:tc>
          <w:tcPr>
            <w:tcW w:w="3120" w:type="dxa"/>
            <w:vAlign w:val="bottom"/>
          </w:tcPr>
          <w:p>
            <w:pPr>
              <w:ind w:left="220"/>
              <w:spacing w:after="0"/>
              <w:rPr>
                <w:sz w:val="20"/>
                <w:szCs w:val="20"/>
                <w:color w:val="auto"/>
              </w:rPr>
            </w:pPr>
            <w:r>
              <w:rPr>
                <w:rFonts w:ascii="Arial" w:cs="Arial" w:eastAsia="Arial" w:hAnsi="Arial"/>
                <w:sz w:val="15"/>
                <w:szCs w:val="15"/>
                <w:color w:val="auto"/>
              </w:rPr>
              <w:t>Commercial paper</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3"/>
              <w:spacing w:after="0"/>
              <w:rPr>
                <w:sz w:val="20"/>
                <w:szCs w:val="20"/>
                <w:color w:val="auto"/>
              </w:rPr>
            </w:pPr>
            <w:r>
              <w:rPr>
                <w:rFonts w:ascii="Arial" w:cs="Arial" w:eastAsia="Arial" w:hAnsi="Arial"/>
                <w:sz w:val="15"/>
                <w:szCs w:val="15"/>
                <w:color w:val="auto"/>
              </w:rPr>
              <w:t>19,482</w:t>
            </w:r>
          </w:p>
        </w:tc>
        <w:tc>
          <w:tcPr>
            <w:tcW w:w="2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6"/>
                <w:szCs w:val="16"/>
                <w:color w:val="auto"/>
              </w:rPr>
            </w:pP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19,480</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bl>
    <w:p>
      <w:pPr>
        <w:sectPr>
          <w:pgSz w:w="11900" w:h="16838" w:orient="portrait"/>
          <w:cols w:equalWidth="0" w:num="1">
            <w:col w:w="11420"/>
          </w:cols>
          <w:pgMar w:left="240" w:top="368" w:right="239" w:bottom="0" w:gutter="0" w:footer="0" w:header="0"/>
        </w:sectPr>
      </w:pPr>
    </w:p>
    <w:bookmarkStart w:id="61" w:name="page62"/>
    <w:bookmarkEnd w:id="6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08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46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5"/>
                <w:szCs w:val="15"/>
                <w:color w:val="auto"/>
              </w:rPr>
              <w:t>744,542</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105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744,647</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08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460" w:type="dxa"/>
            <w:vAlign w:val="bottom"/>
          </w:tcPr>
          <w:p>
            <w:pPr>
              <w:spacing w:after="0"/>
              <w:rPr>
                <w:sz w:val="14"/>
                <w:szCs w:val="14"/>
                <w:color w:val="auto"/>
              </w:rPr>
            </w:pPr>
          </w:p>
        </w:tc>
        <w:tc>
          <w:tcPr>
            <w:tcW w:w="9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9,199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9,198</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08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80" w:type="dxa"/>
            <w:vAlign w:val="bottom"/>
          </w:tcPr>
          <w:p>
            <w:pPr>
              <w:ind w:left="180"/>
              <w:spacing w:after="0" w:line="158" w:lineRule="exact"/>
              <w:rPr>
                <w:sz w:val="20"/>
                <w:szCs w:val="20"/>
                <w:color w:val="auto"/>
              </w:rPr>
            </w:pPr>
            <w:r>
              <w:rPr>
                <w:rFonts w:ascii="Arial" w:cs="Arial" w:eastAsia="Arial" w:hAnsi="Arial"/>
                <w:sz w:val="15"/>
                <w:szCs w:val="15"/>
                <w:color w:val="auto"/>
              </w:rPr>
              <w:t>Municipal securities</w:t>
            </w:r>
          </w:p>
        </w:tc>
        <w:tc>
          <w:tcPr>
            <w:tcW w:w="460" w:type="dxa"/>
            <w:vAlign w:val="bottom"/>
          </w:tcPr>
          <w:p>
            <w:pPr>
              <w:spacing w:after="0"/>
              <w:rPr>
                <w:sz w:val="13"/>
                <w:szCs w:val="13"/>
                <w:color w:val="auto"/>
              </w:rPr>
            </w:pPr>
          </w:p>
        </w:tc>
        <w:tc>
          <w:tcPr>
            <w:tcW w:w="920" w:type="dxa"/>
            <w:vAlign w:val="bottom"/>
          </w:tcPr>
          <w:p>
            <w:pPr>
              <w:jc w:val="right"/>
              <w:ind w:right="63"/>
              <w:spacing w:after="0" w:line="158" w:lineRule="exact"/>
              <w:rPr>
                <w:sz w:val="20"/>
                <w:szCs w:val="20"/>
                <w:color w:val="auto"/>
              </w:rPr>
            </w:pPr>
            <w:r>
              <w:rPr>
                <w:rFonts w:ascii="Arial" w:cs="Arial" w:eastAsia="Arial" w:hAnsi="Arial"/>
                <w:sz w:val="15"/>
                <w:szCs w:val="15"/>
                <w:color w:val="auto"/>
              </w:rPr>
              <w:t>42,940</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ind w:right="43"/>
              <w:spacing w:after="0" w:line="158" w:lineRule="exact"/>
              <w:rPr>
                <w:sz w:val="20"/>
                <w:szCs w:val="20"/>
                <w:color w:val="auto"/>
              </w:rPr>
            </w:pPr>
            <w:r>
              <w:rPr>
                <w:rFonts w:ascii="Arial" w:cs="Arial" w:eastAsia="Arial" w:hAnsi="Arial"/>
                <w:sz w:val="15"/>
                <w:szCs w:val="15"/>
                <w:color w:val="auto"/>
              </w:rPr>
              <w:t>10</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jc w:val="right"/>
              <w:ind w:right="43"/>
              <w:spacing w:after="0" w:line="158"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ind w:right="63"/>
              <w:spacing w:after="0" w:line="158" w:lineRule="exact"/>
              <w:rPr>
                <w:sz w:val="20"/>
                <w:szCs w:val="20"/>
                <w:color w:val="auto"/>
              </w:rPr>
            </w:pPr>
            <w:r>
              <w:rPr>
                <w:rFonts w:ascii="Arial" w:cs="Arial" w:eastAsia="Arial" w:hAnsi="Arial"/>
                <w:sz w:val="15"/>
                <w:szCs w:val="15"/>
                <w:color w:val="auto"/>
              </w:rPr>
              <w:t>42,950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jc w:val="right"/>
              <w:ind w:right="43"/>
              <w:spacing w:after="0" w:line="158"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jc w:val="right"/>
              <w:ind w:right="63"/>
              <w:spacing w:after="0" w:line="15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3080" w:type="dxa"/>
            <w:vAlign w:val="bottom"/>
          </w:tcPr>
          <w:p>
            <w:pPr>
              <w:spacing w:after="0" w:line="167" w:lineRule="exact"/>
              <w:rPr>
                <w:sz w:val="20"/>
                <w:szCs w:val="20"/>
                <w:color w:val="auto"/>
              </w:rPr>
            </w:pPr>
            <w:r>
              <w:rPr>
                <w:rFonts w:ascii="Arial" w:cs="Arial" w:eastAsia="Arial" w:hAnsi="Arial"/>
                <w:sz w:val="15"/>
                <w:szCs w:val="15"/>
                <w:b w:val="1"/>
                <w:bCs w:val="1"/>
                <w:color w:val="auto"/>
              </w:rPr>
              <w:t>Available-for-sale</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4,001</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4,001</w:t>
            </w: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080" w:type="dxa"/>
            <w:vAlign w:val="bottom"/>
          </w:tcPr>
          <w:p>
            <w:pPr>
              <w:ind w:left="500"/>
              <w:spacing w:after="0" w:line="162" w:lineRule="exact"/>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tcPr>
          <w:p>
            <w:pPr>
              <w:jc w:val="right"/>
              <w:ind w:right="223"/>
              <w:spacing w:after="0" w:line="162"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820,164</w:t>
            </w:r>
          </w:p>
        </w:tc>
        <w:tc>
          <w:tcPr>
            <w:tcW w:w="220" w:type="dxa"/>
            <w:vAlign w:val="bottom"/>
          </w:tcPr>
          <w:p>
            <w:pPr>
              <w:spacing w:after="0"/>
              <w:rPr>
                <w:sz w:val="14"/>
                <w:szCs w:val="14"/>
                <w:color w:val="auto"/>
              </w:rPr>
            </w:pPr>
          </w:p>
        </w:tc>
        <w:tc>
          <w:tcPr>
            <w:tcW w:w="480" w:type="dxa"/>
            <w:vAlign w:val="bottom"/>
            <w:tcBorders>
              <w:bottom w:val="single" w:sz="8" w:color="auto"/>
            </w:tcBorders>
          </w:tcPr>
          <w:p>
            <w:pPr>
              <w:jc w:val="right"/>
              <w:ind w:right="243"/>
              <w:spacing w:after="0" w:line="162"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115</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ind w:right="323"/>
              <w:spacing w:after="0" w:line="162"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820,276</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323"/>
              <w:spacing w:after="0" w:line="162"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323"/>
              <w:spacing w:after="0" w:line="162"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line="142" w:lineRule="exact"/>
              <w:rPr>
                <w:sz w:val="20"/>
                <w:szCs w:val="20"/>
                <w:color w:val="auto"/>
              </w:rPr>
            </w:pPr>
            <w:r>
              <w:rPr>
                <w:rFonts w:ascii="Arial" w:cs="Arial" w:eastAsia="Arial" w:hAnsi="Arial"/>
                <w:sz w:val="15"/>
                <w:szCs w:val="15"/>
                <w:b w:val="1"/>
                <w:bCs w:val="1"/>
                <w:color w:val="auto"/>
              </w:rPr>
              <w:t>Trading</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3,910</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560"/>
              <w:spacing w:after="0" w:line="162" w:lineRule="exact"/>
              <w:rPr>
                <w:sz w:val="20"/>
                <w:szCs w:val="20"/>
                <w:color w:val="auto"/>
              </w:rPr>
            </w:pPr>
            <w:r>
              <w:rPr>
                <w:rFonts w:ascii="Arial" w:cs="Arial" w:eastAsia="Arial" w:hAnsi="Arial"/>
                <w:sz w:val="15"/>
                <w:szCs w:val="15"/>
                <w:color w:val="auto"/>
              </w:rPr>
              <w:t>Total</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824,186</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years ended December 31, 2015 and 2014, realized gains or losses recognized on the sale of investments were not significant. During the year ended December 31, 2013, the Company recognized $2.5 million of realized gains on the sale of available-for-sale investments. Realized gains or losses on the sale of all other investments during the year ended December 31, 2013 were not significant.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a net gain through earnings on its trading securities as follows for the years ended: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00" w:type="dxa"/>
            <w:vAlign w:val="bottom"/>
            <w:vMerge w:val="restart"/>
          </w:tcPr>
          <w:p>
            <w:pPr>
              <w:spacing w:after="0"/>
              <w:rPr>
                <w:sz w:val="20"/>
                <w:szCs w:val="20"/>
                <w:color w:val="auto"/>
              </w:rPr>
            </w:pPr>
            <w:r>
              <w:rPr>
                <w:rFonts w:ascii="Arial" w:cs="Arial" w:eastAsia="Arial" w:hAnsi="Arial"/>
                <w:sz w:val="20"/>
                <w:szCs w:val="20"/>
                <w:color w:val="auto"/>
              </w:rPr>
              <w:t>Gain (loss) on transfer from available-for-sale to trading</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2015</w:t>
            </w:r>
          </w:p>
        </w:tc>
        <w:tc>
          <w:tcPr>
            <w:tcW w:w="4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5500" w:type="dxa"/>
            <w:vAlign w:val="bottom"/>
            <w:vMerge w:val="continue"/>
          </w:tcPr>
          <w:p>
            <w:pPr>
              <w:spacing w:after="0"/>
              <w:rPr>
                <w:sz w:val="17"/>
                <w:szCs w:val="17"/>
                <w:color w:val="auto"/>
              </w:rPr>
            </w:pPr>
          </w:p>
        </w:tc>
        <w:tc>
          <w:tcPr>
            <w:tcW w:w="920" w:type="dxa"/>
            <w:vAlign w:val="bottom"/>
          </w:tcPr>
          <w:p>
            <w:pPr>
              <w:jc w:val="right"/>
              <w:ind w:right="62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Gain on trading securities sold</w:t>
            </w:r>
          </w:p>
        </w:tc>
        <w:tc>
          <w:tcPr>
            <w:tcW w:w="920" w:type="dxa"/>
            <w:vAlign w:val="bottom"/>
          </w:tcPr>
          <w:p>
            <w:pPr>
              <w:spacing w:after="0"/>
              <w:rPr>
                <w:sz w:val="19"/>
                <w:szCs w:val="19"/>
                <w:color w:val="auto"/>
              </w:rPr>
            </w:pPr>
          </w:p>
        </w:tc>
        <w:tc>
          <w:tcPr>
            <w:tcW w:w="440" w:type="dxa"/>
            <w:vAlign w:val="bottom"/>
          </w:tcPr>
          <w:p>
            <w:pPr>
              <w:jc w:val="right"/>
              <w:ind w:right="21"/>
              <w:spacing w:after="0"/>
              <w:rPr>
                <w:sz w:val="20"/>
                <w:szCs w:val="20"/>
                <w:color w:val="auto"/>
              </w:rPr>
            </w:pPr>
            <w:r>
              <w:rPr>
                <w:rFonts w:ascii="Arial" w:cs="Arial" w:eastAsia="Arial" w:hAnsi="Arial"/>
                <w:sz w:val="20"/>
                <w:szCs w:val="20"/>
                <w:color w:val="auto"/>
                <w:w w:val="89"/>
              </w:rPr>
              <w:t>250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978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255</w:t>
            </w:r>
          </w:p>
        </w:tc>
        <w:tc>
          <w:tcPr>
            <w:tcW w:w="0" w:type="dxa"/>
            <w:vAlign w:val="bottom"/>
          </w:tcPr>
          <w:p>
            <w:pPr>
              <w:spacing w:after="0"/>
              <w:rPr>
                <w:sz w:val="1"/>
                <w:szCs w:val="1"/>
                <w:color w:val="auto"/>
              </w:rPr>
            </w:pPr>
          </w:p>
        </w:tc>
      </w:tr>
      <w:tr>
        <w:trPr>
          <w:trHeight w:val="240"/>
        </w:trPr>
        <w:tc>
          <w:tcPr>
            <w:tcW w:w="5500" w:type="dxa"/>
            <w:vAlign w:val="bottom"/>
          </w:tcPr>
          <w:p>
            <w:pPr>
              <w:spacing w:after="0"/>
              <w:rPr>
                <w:sz w:val="20"/>
                <w:szCs w:val="20"/>
                <w:color w:val="auto"/>
              </w:rPr>
            </w:pPr>
            <w:r>
              <w:rPr>
                <w:rFonts w:ascii="Arial" w:cs="Arial" w:eastAsia="Arial" w:hAnsi="Arial"/>
                <w:sz w:val="20"/>
                <w:szCs w:val="20"/>
                <w:color w:val="auto"/>
              </w:rPr>
              <w:t>(Loss) gain on trading securities held</w:t>
            </w: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816</w:t>
            </w:r>
          </w:p>
        </w:tc>
        <w:tc>
          <w:tcPr>
            <w:tcW w:w="0" w:type="dxa"/>
            <w:vAlign w:val="bottom"/>
          </w:tcPr>
          <w:p>
            <w:pPr>
              <w:spacing w:after="0"/>
              <w:rPr>
                <w:sz w:val="1"/>
                <w:szCs w:val="1"/>
                <w:color w:val="auto"/>
              </w:rPr>
            </w:pPr>
          </w:p>
        </w:tc>
      </w:tr>
      <w:tr>
        <w:trPr>
          <w:trHeight w:val="230"/>
        </w:trPr>
        <w:tc>
          <w:tcPr>
            <w:tcW w:w="5500" w:type="dxa"/>
            <w:vAlign w:val="bottom"/>
          </w:tcPr>
          <w:p>
            <w:pPr>
              <w:spacing w:after="0" w:line="220" w:lineRule="exact"/>
              <w:rPr>
                <w:sz w:val="20"/>
                <w:szCs w:val="20"/>
                <w:color w:val="auto"/>
              </w:rPr>
            </w:pPr>
            <w:r>
              <w:rPr>
                <w:rFonts w:ascii="Arial" w:cs="Arial" w:eastAsia="Arial" w:hAnsi="Arial"/>
                <w:sz w:val="20"/>
                <w:szCs w:val="20"/>
                <w:color w:val="auto"/>
              </w:rPr>
              <w:t>Gain on trading securites</w:t>
            </w:r>
          </w:p>
        </w:tc>
        <w:tc>
          <w:tcPr>
            <w:tcW w:w="9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250</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801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1,071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investments at December 31, 2015 and 2014 in commercial paper,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 All of the Company’s investments at December 31, 2014 in municipal, educational or other public body securities with an auction reset feature (“auction rate securities”) also carried investment grade credit ratings.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05"/>
              <w:spacing w:after="0"/>
              <w:rPr>
                <w:sz w:val="20"/>
                <w:szCs w:val="20"/>
                <w:color w:val="auto"/>
              </w:rPr>
            </w:pPr>
            <w:r>
              <w:rPr>
                <w:rFonts w:ascii="Arial" w:cs="Arial" w:eastAsia="Arial" w:hAnsi="Arial"/>
                <w:sz w:val="19"/>
                <w:szCs w:val="19"/>
                <w:color w:val="auto"/>
              </w:rPr>
              <w:t>December 31, 2015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9"/>
                <w:szCs w:val="19"/>
                <w:color w:val="auto"/>
              </w:rPr>
              <w:t>December 31, 2014</w:t>
            </w:r>
          </w:p>
        </w:tc>
        <w:tc>
          <w:tcPr>
            <w:tcW w:w="0" w:type="dxa"/>
            <w:vAlign w:val="bottom"/>
          </w:tcPr>
          <w:p>
            <w:pPr>
              <w:spacing w:after="0"/>
              <w:rPr>
                <w:sz w:val="1"/>
                <w:szCs w:val="1"/>
                <w:color w:val="auto"/>
              </w:rPr>
            </w:pPr>
          </w:p>
        </w:tc>
      </w:tr>
      <w:tr>
        <w:trPr>
          <w:trHeight w:val="426"/>
        </w:trPr>
        <w:tc>
          <w:tcPr>
            <w:tcW w:w="454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2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120" w:type="dxa"/>
            <w:vAlign w:val="bottom"/>
          </w:tcPr>
          <w:p>
            <w:pPr>
              <w:jc w:val="right"/>
              <w:ind w:right="205"/>
              <w:spacing w:after="0"/>
              <w:rPr>
                <w:sz w:val="20"/>
                <w:szCs w:val="20"/>
                <w:color w:val="auto"/>
              </w:rPr>
            </w:pPr>
            <w:r>
              <w:rPr>
                <w:rFonts w:ascii="Arial" w:cs="Arial" w:eastAsia="Arial" w:hAnsi="Arial"/>
                <w:sz w:val="19"/>
                <w:szCs w:val="19"/>
                <w:color w:val="auto"/>
                <w:w w:val="92"/>
              </w:rPr>
              <w:t>Fair Value</w:t>
            </w:r>
          </w:p>
        </w:tc>
        <w:tc>
          <w:tcPr>
            <w:tcW w:w="0" w:type="dxa"/>
            <w:vAlign w:val="bottom"/>
          </w:tcPr>
          <w:p>
            <w:pPr>
              <w:spacing w:after="0"/>
              <w:rPr>
                <w:sz w:val="1"/>
                <w:szCs w:val="1"/>
                <w:color w:val="auto"/>
              </w:rPr>
            </w:pPr>
          </w:p>
        </w:tc>
      </w:tr>
      <w:tr>
        <w:trPr>
          <w:trHeight w:val="174"/>
        </w:trPr>
        <w:tc>
          <w:tcPr>
            <w:tcW w:w="454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Arial" w:cs="Arial" w:eastAsia="Arial" w:hAnsi="Arial"/>
                <w:sz w:val="19"/>
                <w:szCs w:val="19"/>
                <w:color w:val="auto"/>
              </w:rPr>
              <w:t>Commercial paper</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3,978</w:t>
            </w:r>
          </w:p>
        </w:tc>
        <w:tc>
          <w:tcPr>
            <w:tcW w:w="30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3,978</w:t>
            </w:r>
          </w:p>
        </w:tc>
        <w:tc>
          <w:tcPr>
            <w:tcW w:w="280" w:type="dxa"/>
            <w:vAlign w:val="bottom"/>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19,482</w:t>
            </w:r>
          </w:p>
        </w:tc>
        <w:tc>
          <w:tcPr>
            <w:tcW w:w="28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19,480</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Arial" w:cs="Arial" w:eastAsia="Arial" w:hAnsi="Arial"/>
                <w:sz w:val="19"/>
                <w:szCs w:val="19"/>
                <w:color w:val="auto"/>
              </w:rPr>
              <w:t>Municipal securities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709,207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709,078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744,542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744,647</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Arial" w:cs="Arial" w:eastAsia="Arial" w:hAnsi="Arial"/>
                <w:sz w:val="19"/>
                <w:szCs w:val="19"/>
                <w:color w:val="auto"/>
              </w:rPr>
              <w:t>U.S. government agency securities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23,369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23,311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9,199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9,198</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Arial" w:cs="Arial" w:eastAsia="Arial" w:hAnsi="Arial"/>
                <w:sz w:val="19"/>
                <w:szCs w:val="19"/>
                <w:color w:val="auto"/>
              </w:rPr>
              <w:t>U.S. Treasuries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8,056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8,043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Arial" w:cs="Arial" w:eastAsia="Arial" w:hAnsi="Arial"/>
                <w:sz w:val="19"/>
                <w:szCs w:val="19"/>
                <w:color w:val="auto"/>
              </w:rPr>
              <w:t>Municipal securities</w:t>
            </w:r>
          </w:p>
        </w:tc>
        <w:tc>
          <w:tcPr>
            <w:tcW w:w="180" w:type="dxa"/>
            <w:vAlign w:val="bottom"/>
          </w:tcPr>
          <w:p>
            <w:pPr>
              <w:spacing w:after="0"/>
              <w:rPr>
                <w:sz w:val="18"/>
                <w:szCs w:val="18"/>
                <w:color w:val="auto"/>
              </w:rPr>
            </w:pPr>
          </w:p>
        </w:tc>
        <w:tc>
          <w:tcPr>
            <w:tcW w:w="14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11,071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11,063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42,940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42,950</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Arial" w:cs="Arial" w:eastAsia="Arial" w:hAnsi="Arial"/>
                <w:sz w:val="19"/>
                <w:szCs w:val="19"/>
                <w:color w:val="auto"/>
              </w:rPr>
              <w:t>U.S. government agency securities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4,277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4,252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Arial" w:cs="Arial" w:eastAsia="Arial" w:hAnsi="Arial"/>
                <w:sz w:val="19"/>
                <w:szCs w:val="19"/>
                <w:color w:val="auto"/>
              </w:rPr>
              <w:t>Auction rate securities</w:t>
            </w:r>
          </w:p>
        </w:tc>
        <w:tc>
          <w:tcPr>
            <w:tcW w:w="180" w:type="dxa"/>
            <w:vAlign w:val="bottom"/>
          </w:tcPr>
          <w:p>
            <w:pPr>
              <w:spacing w:after="0"/>
              <w:rPr>
                <w:sz w:val="18"/>
                <w:szCs w:val="18"/>
                <w:color w:val="auto"/>
              </w:rPr>
            </w:pPr>
          </w:p>
        </w:tc>
        <w:tc>
          <w:tcPr>
            <w:tcW w:w="14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3,910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3,910</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Arial" w:cs="Arial" w:eastAsia="Arial" w:hAnsi="Arial"/>
                <w:sz w:val="19"/>
                <w:szCs w:val="19"/>
                <w:color w:val="auto"/>
              </w:rPr>
              <w:t>Variable rate demand notes</w:t>
            </w:r>
          </w:p>
        </w:tc>
        <w:tc>
          <w:tcPr>
            <w:tcW w:w="180" w:type="dxa"/>
            <w:vAlign w:val="bottom"/>
          </w:tcPr>
          <w:p>
            <w:pPr>
              <w:spacing w:after="0"/>
              <w:rPr>
                <w:sz w:val="18"/>
                <w:szCs w:val="18"/>
                <w:color w:val="auto"/>
              </w:rPr>
            </w:pPr>
          </w:p>
        </w:tc>
        <w:tc>
          <w:tcPr>
            <w:tcW w:w="14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4,001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4,001</w:t>
            </w:r>
          </w:p>
        </w:tc>
        <w:tc>
          <w:tcPr>
            <w:tcW w:w="0" w:type="dxa"/>
            <w:vAlign w:val="bottom"/>
          </w:tcPr>
          <w:p>
            <w:pPr>
              <w:spacing w:after="0"/>
              <w:rPr>
                <w:sz w:val="1"/>
                <w:szCs w:val="1"/>
                <w:color w:val="auto"/>
              </w:rPr>
            </w:pPr>
          </w:p>
        </w:tc>
      </w:tr>
      <w:tr>
        <w:trPr>
          <w:trHeight w:val="22"/>
        </w:trPr>
        <w:tc>
          <w:tcPr>
            <w:tcW w:w="4540" w:type="dxa"/>
            <w:vAlign w:val="bottom"/>
            <w:vMerge w:val="restart"/>
          </w:tcPr>
          <w:p>
            <w:pPr>
              <w:ind w:left="140"/>
              <w:spacing w:after="0"/>
              <w:rPr>
                <w:sz w:val="20"/>
                <w:szCs w:val="20"/>
                <w:color w:val="auto"/>
              </w:rPr>
            </w:pPr>
            <w:r>
              <w:rPr>
                <w:rFonts w:ascii="Arial" w:cs="Arial" w:eastAsia="Arial" w:hAnsi="Arial"/>
                <w:sz w:val="19"/>
                <w:szCs w:val="19"/>
                <w:color w:val="auto"/>
              </w:rPr>
              <w:t>Total</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2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759,958</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759,725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0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824,074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824,186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ectPr>
          <w:pgSz w:w="11900" w:h="16838" w:orient="portrait"/>
          <w:cols w:equalWidth="0" w:num="1">
            <w:col w:w="11420"/>
          </w:cols>
          <w:pgMar w:left="240" w:top="116" w:right="239" w:bottom="249"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249" w:gutter="0" w:footer="0" w:header="0"/>
          <w:type w:val="continuous"/>
        </w:sectPr>
      </w:pPr>
    </w:p>
    <w:bookmarkStart w:id="62" w:name="page63"/>
    <w:bookmarkEnd w:id="62"/>
    <w:p>
      <w:pPr>
        <w:spacing w:after="0" w:line="2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0"/>
          <w:szCs w:val="20"/>
          <w:color w:val="auto"/>
        </w:rPr>
      </w:pPr>
    </w:p>
    <w:p>
      <w:pPr>
        <w:jc w:val="both"/>
        <w:ind w:left="660" w:hanging="328"/>
        <w:spacing w:after="0" w:line="253" w:lineRule="auto"/>
        <w:tabs>
          <w:tab w:leader="none" w:pos="642"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December 31, 2015</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3</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40" w:type="dxa"/>
            <w:vAlign w:val="bottom"/>
          </w:tcPr>
          <w:p>
            <w:pPr>
              <w:ind w:left="40"/>
              <w:spacing w:after="0" w:line="207" w:lineRule="exact"/>
              <w:rPr>
                <w:sz w:val="20"/>
                <w:szCs w:val="20"/>
                <w:color w:val="auto"/>
              </w:rPr>
            </w:pPr>
            <w:r>
              <w:rPr>
                <w:rFonts w:ascii="Arial" w:cs="Arial" w:eastAsia="Arial" w:hAnsi="Arial"/>
                <w:sz w:val="20"/>
                <w:szCs w:val="20"/>
                <w:color w:val="auto"/>
              </w:rPr>
              <w:t>Cash</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line="207" w:lineRule="exact"/>
              <w:rPr>
                <w:sz w:val="20"/>
                <w:szCs w:val="20"/>
                <w:color w:val="auto"/>
              </w:rPr>
            </w:pPr>
            <w:r>
              <w:rPr>
                <w:rFonts w:ascii="Arial" w:cs="Arial" w:eastAsia="Arial" w:hAnsi="Arial"/>
                <w:sz w:val="20"/>
                <w:szCs w:val="20"/>
                <w:color w:val="auto"/>
              </w:rPr>
              <w:t>255,723</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255,723</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664,005</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664,005</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Certificates of deposit</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85,007</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85,007</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Commercial paper</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430,605</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430,605</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U.S. Treasuries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260,035</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260,035</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731,744</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731,744</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U.S. government agency securities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508,256</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508,256</w:t>
            </w:r>
          </w:p>
        </w:tc>
        <w:tc>
          <w:tcPr>
            <w:tcW w:w="0" w:type="dxa"/>
            <w:vAlign w:val="bottom"/>
          </w:tcPr>
          <w:p>
            <w:pPr>
              <w:spacing w:after="0"/>
              <w:rPr>
                <w:sz w:val="1"/>
                <w:szCs w:val="1"/>
                <w:color w:val="auto"/>
              </w:rPr>
            </w:pPr>
          </w:p>
        </w:tc>
      </w:tr>
      <w:tr>
        <w:trPr>
          <w:trHeight w:val="240"/>
        </w:trPr>
        <w:tc>
          <w:tcPr>
            <w:tcW w:w="5040" w:type="dxa"/>
            <w:vAlign w:val="bottom"/>
          </w:tcPr>
          <w:p>
            <w:pPr>
              <w:ind w:left="40"/>
              <w:spacing w:after="0"/>
              <w:rPr>
                <w:sz w:val="20"/>
                <w:szCs w:val="20"/>
                <w:color w:val="auto"/>
              </w:rPr>
            </w:pPr>
            <w:r>
              <w:rPr>
                <w:rFonts w:ascii="Arial" w:cs="Arial" w:eastAsia="Arial" w:hAnsi="Arial"/>
                <w:sz w:val="20"/>
                <w:szCs w:val="20"/>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919,728</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2,015,430</w:t>
            </w: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2,935,158</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20"/>
                <w:szCs w:val="20"/>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919,728</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1,255,689</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2,175,417</w:t>
            </w: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Short-term investments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744,610</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744,610</w:t>
            </w: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371</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Investments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15,348</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15,348</w:t>
            </w:r>
          </w:p>
        </w:tc>
        <w:tc>
          <w:tcPr>
            <w:tcW w:w="0" w:type="dxa"/>
            <w:vAlign w:val="bottom"/>
          </w:tcPr>
          <w:p>
            <w:pPr>
              <w:spacing w:after="0"/>
              <w:rPr>
                <w:sz w:val="1"/>
                <w:szCs w:val="1"/>
                <w:color w:val="auto"/>
              </w:rPr>
            </w:pPr>
          </w:p>
        </w:tc>
      </w:tr>
      <w:tr>
        <w:trPr>
          <w:trHeight w:val="240"/>
        </w:trPr>
        <w:tc>
          <w:tcPr>
            <w:tcW w:w="5040" w:type="dxa"/>
            <w:vAlign w:val="bottom"/>
          </w:tcPr>
          <w:p>
            <w:pPr>
              <w:ind w:left="80"/>
              <w:spacing w:after="0"/>
              <w:rPr>
                <w:sz w:val="20"/>
                <w:szCs w:val="20"/>
                <w:color w:val="auto"/>
              </w:rPr>
            </w:pPr>
            <w:r>
              <w:rPr>
                <w:rFonts w:ascii="Arial" w:cs="Arial" w:eastAsia="Arial" w:hAnsi="Arial"/>
                <w:sz w:val="20"/>
                <w:szCs w:val="20"/>
                <w:color w:val="auto"/>
              </w:rPr>
              <w:t>Accrued liabilities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(588)</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(588)</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919,728</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2,015,430</w:t>
            </w: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2,935,158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December 31, 2014</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3</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40" w:type="dxa"/>
            <w:vAlign w:val="bottom"/>
          </w:tcPr>
          <w:p>
            <w:pPr>
              <w:ind w:left="40"/>
              <w:spacing w:after="0" w:line="207" w:lineRule="exact"/>
              <w:rPr>
                <w:sz w:val="20"/>
                <w:szCs w:val="20"/>
                <w:color w:val="auto"/>
              </w:rPr>
            </w:pPr>
            <w:r>
              <w:rPr>
                <w:rFonts w:ascii="Arial" w:cs="Arial" w:eastAsia="Arial" w:hAnsi="Arial"/>
                <w:sz w:val="20"/>
                <w:szCs w:val="20"/>
                <w:color w:val="auto"/>
              </w:rPr>
              <w:t>Cash</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line="207" w:lineRule="exact"/>
              <w:rPr>
                <w:sz w:val="20"/>
                <w:szCs w:val="20"/>
                <w:color w:val="auto"/>
              </w:rPr>
            </w:pPr>
            <w:r>
              <w:rPr>
                <w:rFonts w:ascii="Arial" w:cs="Arial" w:eastAsia="Arial" w:hAnsi="Arial"/>
                <w:sz w:val="20"/>
                <w:szCs w:val="20"/>
                <w:color w:val="auto"/>
              </w:rPr>
              <w:t>196,090</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196,090</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106,928</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106,928</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Commercial paper</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19,482</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19,482</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854,787</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854,787</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U.S. government agency securities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9,199</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9,199</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Variable rate demand notes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4,001</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4,001</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Auction rate securities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3,910</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3,910</w:t>
            </w:r>
          </w:p>
        </w:tc>
        <w:tc>
          <w:tcPr>
            <w:tcW w:w="0" w:type="dxa"/>
            <w:vAlign w:val="bottom"/>
          </w:tcPr>
          <w:p>
            <w:pPr>
              <w:spacing w:after="0"/>
              <w:rPr>
                <w:sz w:val="1"/>
                <w:szCs w:val="1"/>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20"/>
                <w:szCs w:val="20"/>
                <w:color w:val="auto"/>
              </w:rPr>
              <w:t>Put option related to auction rate securities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250</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250</w:t>
            </w:r>
          </w:p>
        </w:tc>
        <w:tc>
          <w:tcPr>
            <w:tcW w:w="0" w:type="dxa"/>
            <w:vAlign w:val="bottom"/>
          </w:tcPr>
          <w:p>
            <w:pPr>
              <w:spacing w:after="0"/>
              <w:rPr>
                <w:sz w:val="1"/>
                <w:szCs w:val="1"/>
                <w:color w:val="auto"/>
              </w:rPr>
            </w:pPr>
          </w:p>
        </w:tc>
      </w:tr>
      <w:tr>
        <w:trPr>
          <w:trHeight w:val="240"/>
        </w:trPr>
        <w:tc>
          <w:tcPr>
            <w:tcW w:w="5040" w:type="dxa"/>
            <w:vAlign w:val="bottom"/>
          </w:tcPr>
          <w:p>
            <w:pPr>
              <w:ind w:left="40"/>
              <w:spacing w:after="0"/>
              <w:rPr>
                <w:sz w:val="20"/>
                <w:szCs w:val="20"/>
                <w:color w:val="auto"/>
              </w:rPr>
            </w:pPr>
            <w:r>
              <w:rPr>
                <w:rFonts w:ascii="Arial" w:cs="Arial" w:eastAsia="Arial" w:hAnsi="Arial"/>
                <w:sz w:val="20"/>
                <w:szCs w:val="20"/>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303,018</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887,217</w:t>
            </w: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4,160</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1,194,395</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20"/>
                <w:szCs w:val="20"/>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303,018</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67,305</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370,323</w:t>
            </w: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Short-term investments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777,224</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3,910</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781,134</w:t>
            </w: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83</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Investments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42,940</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42,940</w:t>
            </w:r>
          </w:p>
        </w:tc>
        <w:tc>
          <w:tcPr>
            <w:tcW w:w="0" w:type="dxa"/>
            <w:vAlign w:val="bottom"/>
          </w:tcPr>
          <w:p>
            <w:pPr>
              <w:spacing w:after="0"/>
              <w:rPr>
                <w:sz w:val="1"/>
                <w:szCs w:val="1"/>
                <w:color w:val="auto"/>
              </w:rPr>
            </w:pPr>
          </w:p>
        </w:tc>
      </w:tr>
      <w:tr>
        <w:trPr>
          <w:trHeight w:val="230"/>
        </w:trPr>
        <w:tc>
          <w:tcPr>
            <w:tcW w:w="5040" w:type="dxa"/>
            <w:vAlign w:val="bottom"/>
          </w:tcPr>
          <w:p>
            <w:pPr>
              <w:ind w:left="80"/>
              <w:spacing w:after="0"/>
              <w:rPr>
                <w:sz w:val="20"/>
                <w:szCs w:val="20"/>
                <w:color w:val="auto"/>
              </w:rPr>
            </w:pPr>
            <w:r>
              <w:rPr>
                <w:rFonts w:ascii="Arial" w:cs="Arial" w:eastAsia="Arial" w:hAnsi="Arial"/>
                <w:sz w:val="20"/>
                <w:szCs w:val="20"/>
                <w:color w:val="auto"/>
              </w:rPr>
              <w:t>Prepaid expenses and other current assets</w:t>
            </w:r>
          </w:p>
        </w:tc>
        <w:tc>
          <w:tcPr>
            <w:tcW w:w="36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250</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250</w:t>
            </w:r>
          </w:p>
        </w:tc>
        <w:tc>
          <w:tcPr>
            <w:tcW w:w="0" w:type="dxa"/>
            <w:vAlign w:val="bottom"/>
          </w:tcPr>
          <w:p>
            <w:pPr>
              <w:spacing w:after="0"/>
              <w:rPr>
                <w:sz w:val="1"/>
                <w:szCs w:val="1"/>
                <w:color w:val="auto"/>
              </w:rPr>
            </w:pPr>
          </w:p>
        </w:tc>
      </w:tr>
      <w:tr>
        <w:trPr>
          <w:trHeight w:val="240"/>
        </w:trPr>
        <w:tc>
          <w:tcPr>
            <w:tcW w:w="5040" w:type="dxa"/>
            <w:vAlign w:val="bottom"/>
          </w:tcPr>
          <w:p>
            <w:pPr>
              <w:ind w:left="80"/>
              <w:spacing w:after="0"/>
              <w:rPr>
                <w:sz w:val="20"/>
                <w:szCs w:val="20"/>
                <w:color w:val="auto"/>
              </w:rPr>
            </w:pPr>
            <w:r>
              <w:rPr>
                <w:rFonts w:ascii="Arial" w:cs="Arial" w:eastAsia="Arial" w:hAnsi="Arial"/>
                <w:sz w:val="20"/>
                <w:szCs w:val="20"/>
                <w:color w:val="auto"/>
              </w:rPr>
              <w:t>Accrued liabilities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303,018</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887,217</w:t>
            </w: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4,160</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1,194,395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w:t>
      </w:r>
    </w:p>
    <w:p>
      <w:pPr>
        <w:sectPr>
          <w:pgSz w:w="11900" w:h="16858" w:orient="portrait"/>
          <w:cols w:equalWidth="0" w:num="1">
            <w:col w:w="11420"/>
          </w:cols>
          <w:pgMar w:left="240" w:top="125" w:right="239" w:bottom="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9"/>
          <w:szCs w:val="19"/>
          <w:color w:val="auto"/>
        </w:rPr>
        <w:t>identical securities. The Company’s valuation of its Level 2 investments, which include commercial paper, certificates of deposit, U.S. treasuries, municipal securities, U.S. government agency securities and VRDNs, is based on other observable inputs, specifically a market approach which utilizes valuation models, pricing systems, mathematical tools and other relevant information for the same or similar securities. The Company’s valuation of its Level 2 foreign exchange contracts is based on quoted market prices of the same or similar instruments, adjusted for counterparty risk. There were no transfers between Level 1 and Level 2 measurements during the years ended December 31, 2015 and 2014, and there were no changes in the Company’s valuation techniques.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Level 3 assets were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year ended December 31, 2015.</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presents quantitative information related to the significant unobservable inputs utilized in the Company’s Level 3 recurring fair value measurements as of December 31,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vMerge w:val="restart"/>
          </w:tcPr>
          <w:p>
            <w:pPr>
              <w:spacing w:after="0"/>
              <w:rPr>
                <w:sz w:val="20"/>
                <w:szCs w:val="20"/>
                <w:color w:val="auto"/>
              </w:rPr>
            </w:pPr>
            <w:r>
              <w:rPr>
                <w:rFonts w:ascii="Arial" w:cs="Arial" w:eastAsia="Arial" w:hAnsi="Arial"/>
                <w:sz w:val="19"/>
                <w:szCs w:val="19"/>
                <w:color w:val="auto"/>
              </w:rPr>
              <w:t>Auction Rate Securities</w:t>
            </w:r>
          </w:p>
        </w:tc>
        <w:tc>
          <w:tcPr>
            <w:tcW w:w="2540" w:type="dxa"/>
            <w:vAlign w:val="bottom"/>
            <w:tcBorders>
              <w:bottom w:val="single" w:sz="8" w:color="auto"/>
            </w:tcBorders>
          </w:tcPr>
          <w:p>
            <w:pPr>
              <w:ind w:left="500"/>
              <w:spacing w:after="0"/>
              <w:rPr>
                <w:sz w:val="20"/>
                <w:szCs w:val="20"/>
                <w:color w:val="auto"/>
              </w:rPr>
            </w:pPr>
            <w:r>
              <w:rPr>
                <w:rFonts w:ascii="Arial" w:cs="Arial" w:eastAsia="Arial" w:hAnsi="Arial"/>
                <w:sz w:val="19"/>
                <w:szCs w:val="19"/>
                <w:color w:val="auto"/>
              </w:rPr>
              <w:t>Valuation Technique</w:t>
            </w:r>
          </w:p>
        </w:tc>
        <w:tc>
          <w:tcPr>
            <w:tcW w:w="220" w:type="dxa"/>
            <w:vAlign w:val="bottom"/>
          </w:tcPr>
          <w:p>
            <w:pPr>
              <w:spacing w:after="0"/>
              <w:rPr>
                <w:sz w:val="20"/>
                <w:szCs w:val="20"/>
                <w:color w:val="auto"/>
              </w:rPr>
            </w:pPr>
          </w:p>
        </w:tc>
        <w:tc>
          <w:tcPr>
            <w:tcW w:w="2880" w:type="dxa"/>
            <w:vAlign w:val="bottom"/>
            <w:tcBorders>
              <w:bottom w:val="single" w:sz="8" w:color="auto"/>
            </w:tcBorders>
          </w:tcPr>
          <w:p>
            <w:pPr>
              <w:ind w:left="700"/>
              <w:spacing w:after="0"/>
              <w:rPr>
                <w:sz w:val="20"/>
                <w:szCs w:val="20"/>
                <w:color w:val="auto"/>
              </w:rPr>
            </w:pPr>
            <w:r>
              <w:rPr>
                <w:rFonts w:ascii="Arial" w:cs="Arial" w:eastAsia="Arial" w:hAnsi="Arial"/>
                <w:sz w:val="19"/>
                <w:szCs w:val="19"/>
                <w:color w:val="auto"/>
              </w:rPr>
              <w:t>Unobservable Input</w:t>
            </w:r>
          </w:p>
        </w:tc>
        <w:tc>
          <w:tcPr>
            <w:tcW w:w="220" w:type="dxa"/>
            <w:vAlign w:val="bottom"/>
          </w:tcPr>
          <w:p>
            <w:pPr>
              <w:spacing w:after="0"/>
              <w:rPr>
                <w:sz w:val="20"/>
                <w:szCs w:val="20"/>
                <w:color w:val="auto"/>
              </w:rPr>
            </w:pPr>
          </w:p>
        </w:tc>
        <w:tc>
          <w:tcPr>
            <w:tcW w:w="2920" w:type="dxa"/>
            <w:vAlign w:val="bottom"/>
            <w:tcBorders>
              <w:bottom w:val="single" w:sz="8" w:color="auto"/>
            </w:tcBorders>
          </w:tcPr>
          <w:p>
            <w:pPr>
              <w:ind w:left="420"/>
              <w:spacing w:after="0"/>
              <w:rPr>
                <w:sz w:val="20"/>
                <w:szCs w:val="20"/>
                <w:color w:val="auto"/>
              </w:rPr>
            </w:pPr>
            <w:r>
              <w:rPr>
                <w:rFonts w:ascii="Arial" w:cs="Arial" w:eastAsia="Arial" w:hAnsi="Arial"/>
                <w:sz w:val="19"/>
                <w:szCs w:val="19"/>
                <w:color w:val="auto"/>
              </w:rPr>
              <w:t>Range (Weighted-Average)</w:t>
            </w:r>
          </w:p>
        </w:tc>
        <w:tc>
          <w:tcPr>
            <w:tcW w:w="0" w:type="dxa"/>
            <w:vAlign w:val="bottom"/>
          </w:tcPr>
          <w:p>
            <w:pPr>
              <w:spacing w:after="0"/>
              <w:rPr>
                <w:sz w:val="1"/>
                <w:szCs w:val="1"/>
                <w:color w:val="auto"/>
              </w:rPr>
            </w:pPr>
          </w:p>
        </w:tc>
      </w:tr>
      <w:tr>
        <w:trPr>
          <w:trHeight w:val="187"/>
        </w:trPr>
        <w:tc>
          <w:tcPr>
            <w:tcW w:w="2640" w:type="dxa"/>
            <w:vAlign w:val="bottom"/>
            <w:vMerge w:val="continue"/>
          </w:tcPr>
          <w:p>
            <w:pPr>
              <w:spacing w:after="0"/>
              <w:rPr>
                <w:sz w:val="16"/>
                <w:szCs w:val="16"/>
                <w:color w:val="auto"/>
              </w:rPr>
            </w:pPr>
          </w:p>
        </w:tc>
        <w:tc>
          <w:tcPr>
            <w:tcW w:w="2540" w:type="dxa"/>
            <w:vAlign w:val="bottom"/>
          </w:tcPr>
          <w:p>
            <w:pPr>
              <w:spacing w:after="0" w:line="187" w:lineRule="exact"/>
              <w:rPr>
                <w:sz w:val="20"/>
                <w:szCs w:val="20"/>
                <w:color w:val="auto"/>
              </w:rPr>
            </w:pPr>
            <w:r>
              <w:rPr>
                <w:rFonts w:ascii="Arial" w:cs="Arial" w:eastAsia="Arial" w:hAnsi="Arial"/>
                <w:sz w:val="19"/>
                <w:szCs w:val="19"/>
                <w:color w:val="auto"/>
              </w:rPr>
              <w:t>Discounted cash flow</w:t>
            </w:r>
          </w:p>
        </w:tc>
        <w:tc>
          <w:tcPr>
            <w:tcW w:w="220" w:type="dxa"/>
            <w:vAlign w:val="bottom"/>
          </w:tcPr>
          <w:p>
            <w:pPr>
              <w:spacing w:after="0"/>
              <w:rPr>
                <w:sz w:val="16"/>
                <w:szCs w:val="16"/>
                <w:color w:val="auto"/>
              </w:rPr>
            </w:pPr>
          </w:p>
        </w:tc>
        <w:tc>
          <w:tcPr>
            <w:tcW w:w="2880" w:type="dxa"/>
            <w:vAlign w:val="bottom"/>
          </w:tcPr>
          <w:p>
            <w:pPr>
              <w:spacing w:after="0" w:line="187" w:lineRule="exact"/>
              <w:rPr>
                <w:sz w:val="20"/>
                <w:szCs w:val="20"/>
                <w:color w:val="auto"/>
              </w:rPr>
            </w:pPr>
            <w:r>
              <w:rPr>
                <w:rFonts w:ascii="Arial" w:cs="Arial" w:eastAsia="Arial" w:hAnsi="Arial"/>
                <w:sz w:val="19"/>
                <w:szCs w:val="19"/>
                <w:color w:val="auto"/>
              </w:rPr>
              <w:t>Maximum rate probability</w:t>
            </w:r>
          </w:p>
        </w:tc>
        <w:tc>
          <w:tcPr>
            <w:tcW w:w="220" w:type="dxa"/>
            <w:vAlign w:val="bottom"/>
          </w:tcPr>
          <w:p>
            <w:pPr>
              <w:spacing w:after="0"/>
              <w:rPr>
                <w:sz w:val="16"/>
                <w:szCs w:val="16"/>
                <w:color w:val="auto"/>
              </w:rPr>
            </w:pPr>
          </w:p>
        </w:tc>
        <w:tc>
          <w:tcPr>
            <w:tcW w:w="2920" w:type="dxa"/>
            <w:vAlign w:val="bottom"/>
          </w:tcPr>
          <w:p>
            <w:pPr>
              <w:spacing w:after="0" w:line="187" w:lineRule="exact"/>
              <w:rPr>
                <w:sz w:val="20"/>
                <w:szCs w:val="20"/>
                <w:color w:val="auto"/>
              </w:rPr>
            </w:pPr>
            <w:r>
              <w:rPr>
                <w:rFonts w:ascii="Arial" w:cs="Arial" w:eastAsia="Arial" w:hAnsi="Arial"/>
                <w:sz w:val="19"/>
                <w:szCs w:val="19"/>
                <w:color w:val="auto"/>
              </w:rPr>
              <w:t>1.37%-3.02% (2.58%)</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0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Principal returned probability</w:t>
            </w:r>
          </w:p>
        </w:tc>
        <w:tc>
          <w:tcPr>
            <w:tcW w:w="314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84.78%-94.07% (87.05%)</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0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Default probability</w:t>
            </w:r>
          </w:p>
        </w:tc>
        <w:tc>
          <w:tcPr>
            <w:tcW w:w="314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4.56%-12.21% (10.37%)</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0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Liquidity risk</w:t>
            </w:r>
          </w:p>
        </w:tc>
        <w:tc>
          <w:tcPr>
            <w:tcW w:w="3140" w:type="dxa"/>
            <w:vAlign w:val="bottom"/>
            <w:gridSpan w:val="2"/>
          </w:tcPr>
          <w:p>
            <w:pPr>
              <w:ind w:left="220"/>
              <w:spacing w:after="0" w:line="216" w:lineRule="exact"/>
              <w:rPr>
                <w:sz w:val="20"/>
                <w:szCs w:val="20"/>
                <w:color w:val="auto"/>
              </w:rPr>
            </w:pPr>
            <w:r>
              <w:rPr>
                <w:rFonts w:ascii="Arial" w:cs="Arial" w:eastAsia="Arial" w:hAnsi="Arial"/>
                <w:sz w:val="19"/>
                <w:szCs w:val="19"/>
                <w:color w:val="auto"/>
              </w:rPr>
              <w:t>2.50%-2.50% (2.50%)</w:t>
            </w:r>
          </w:p>
        </w:tc>
        <w:tc>
          <w:tcPr>
            <w:tcW w:w="0" w:type="dxa"/>
            <w:vAlign w:val="bottom"/>
          </w:tcPr>
          <w:p>
            <w:pPr>
              <w:spacing w:after="0"/>
              <w:rPr>
                <w:sz w:val="1"/>
                <w:szCs w:val="1"/>
                <w:color w:val="auto"/>
              </w:rPr>
            </w:pPr>
          </w:p>
        </w:tc>
      </w:tr>
      <w:tr>
        <w:trPr>
          <w:trHeight w:val="240"/>
        </w:trPr>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100" w:type="dxa"/>
            <w:vAlign w:val="bottom"/>
            <w:gridSpan w:val="2"/>
          </w:tcPr>
          <w:p>
            <w:pPr>
              <w:ind w:left="220"/>
              <w:spacing w:after="0"/>
              <w:rPr>
                <w:sz w:val="20"/>
                <w:szCs w:val="20"/>
                <w:color w:val="auto"/>
              </w:rPr>
            </w:pPr>
            <w:r>
              <w:rPr>
                <w:rFonts w:ascii="Arial" w:cs="Arial" w:eastAsia="Arial" w:hAnsi="Arial"/>
                <w:sz w:val="19"/>
                <w:szCs w:val="19"/>
                <w:color w:val="auto"/>
              </w:rPr>
              <w:t>Recovery rate</w:t>
            </w:r>
          </w:p>
        </w:tc>
        <w:tc>
          <w:tcPr>
            <w:tcW w:w="3140" w:type="dxa"/>
            <w:vAlign w:val="bottom"/>
            <w:gridSpan w:val="2"/>
          </w:tcPr>
          <w:p>
            <w:pPr>
              <w:ind w:left="220"/>
              <w:spacing w:after="0"/>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Arial" w:cs="Arial" w:eastAsia="Arial" w:hAnsi="Arial"/>
                <w:sz w:val="19"/>
                <w:szCs w:val="19"/>
                <w:color w:val="auto"/>
              </w:rPr>
              <w:t>Put Options</w:t>
            </w:r>
          </w:p>
        </w:tc>
        <w:tc>
          <w:tcPr>
            <w:tcW w:w="2540" w:type="dxa"/>
            <w:vAlign w:val="bottom"/>
          </w:tcPr>
          <w:p>
            <w:pPr>
              <w:spacing w:after="0"/>
              <w:rPr>
                <w:sz w:val="20"/>
                <w:szCs w:val="20"/>
                <w:color w:val="auto"/>
              </w:rPr>
            </w:pPr>
            <w:r>
              <w:rPr>
                <w:rFonts w:ascii="Arial" w:cs="Arial" w:eastAsia="Arial" w:hAnsi="Arial"/>
                <w:sz w:val="19"/>
                <w:szCs w:val="19"/>
                <w:color w:val="auto"/>
              </w:rPr>
              <w:t>Discounted cash flow</w:t>
            </w:r>
          </w:p>
        </w:tc>
        <w:tc>
          <w:tcPr>
            <w:tcW w:w="3100" w:type="dxa"/>
            <w:vAlign w:val="bottom"/>
            <w:gridSpan w:val="2"/>
          </w:tcPr>
          <w:p>
            <w:pPr>
              <w:ind w:left="220"/>
              <w:spacing w:after="0"/>
              <w:rPr>
                <w:sz w:val="20"/>
                <w:szCs w:val="20"/>
                <w:color w:val="auto"/>
              </w:rPr>
            </w:pPr>
            <w:r>
              <w:rPr>
                <w:rFonts w:ascii="Arial" w:cs="Arial" w:eastAsia="Arial" w:hAnsi="Arial"/>
                <w:sz w:val="19"/>
                <w:szCs w:val="19"/>
                <w:color w:val="auto"/>
              </w:rPr>
              <w:t>Counterparty risk</w:t>
            </w:r>
          </w:p>
        </w:tc>
        <w:tc>
          <w:tcPr>
            <w:tcW w:w="3140" w:type="dxa"/>
            <w:vAlign w:val="bottom"/>
            <w:gridSpan w:val="2"/>
          </w:tcPr>
          <w:p>
            <w:pPr>
              <w:ind w:left="220"/>
              <w:spacing w:after="0"/>
              <w:rPr>
                <w:sz w:val="20"/>
                <w:szCs w:val="20"/>
                <w:color w:val="auto"/>
              </w:rPr>
            </w:pPr>
            <w:r>
              <w:rPr>
                <w:rFonts w:ascii="Arial" w:cs="Arial" w:eastAsia="Arial" w:hAnsi="Arial"/>
                <w:sz w:val="19"/>
                <w:szCs w:val="19"/>
                <w:color w:val="auto"/>
              </w:rPr>
              <w:t>0.73%-0.79% (0.74%)</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At December 31, 2015, the Company held no auction rate securities. At December 31, 2014, the Company held auction rate securities with a face value of $4.2 million (amortized cost basis of $3.9 million). A Level 3 valuation was performed on the Company’s auction rate securities as of December 31, 2014 resulting in a fair value of $3.9 million for the Company’s trading auction rate securities (after a $0.3 million impairment), which are included in short-term and long-term investments.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provides a summary reconciliation of the Company’s financial assets that are recorded at fair value on a recurring basis using significant unobservable inputs (Level 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ind w:left="460"/>
              <w:spacing w:after="0"/>
              <w:rPr>
                <w:sz w:val="20"/>
                <w:szCs w:val="20"/>
                <w:color w:val="auto"/>
              </w:rPr>
            </w:pPr>
            <w:r>
              <w:rPr>
                <w:rFonts w:ascii="Arial" w:cs="Arial" w:eastAsia="Arial" w:hAnsi="Arial"/>
                <w:sz w:val="20"/>
                <w:szCs w:val="20"/>
                <w:color w:val="auto"/>
                <w:w w:val="95"/>
              </w:rPr>
              <w:t>December 31, 2015</w:t>
            </w:r>
          </w:p>
        </w:tc>
        <w:tc>
          <w:tcPr>
            <w:tcW w:w="6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ind w:left="440"/>
              <w:spacing w:after="0"/>
              <w:rPr>
                <w:sz w:val="20"/>
                <w:szCs w:val="20"/>
                <w:color w:val="auto"/>
              </w:rPr>
            </w:pPr>
            <w:r>
              <w:rPr>
                <w:rFonts w:ascii="Arial" w:cs="Arial" w:eastAsia="Arial" w:hAnsi="Arial"/>
                <w:sz w:val="20"/>
                <w:szCs w:val="20"/>
                <w:color w:val="auto"/>
                <w:w w:val="92"/>
              </w:rPr>
              <w:t>December 31, 2014</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20"/>
                <w:szCs w:val="20"/>
                <w:color w:val="auto"/>
                <w:w w:val="95"/>
              </w:rPr>
              <w:t>Auction</w:t>
            </w: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Auction</w:t>
            </w: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20"/>
                <w:szCs w:val="20"/>
                <w:color w:val="auto"/>
                <w:w w:val="85"/>
              </w:rPr>
              <w:t>Rate</w:t>
            </w: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20"/>
                <w:szCs w:val="20"/>
                <w:color w:val="auto"/>
                <w:w w:val="85"/>
              </w:rPr>
              <w:t>Rate</w:t>
            </w: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00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80" w:type="dxa"/>
            <w:vAlign w:val="bottom"/>
          </w:tcPr>
          <w:p>
            <w:pPr>
              <w:spacing w:after="0"/>
              <w:rPr>
                <w:sz w:val="23"/>
                <w:szCs w:val="23"/>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Securities</w:t>
            </w:r>
          </w:p>
        </w:tc>
        <w:tc>
          <w:tcPr>
            <w:tcW w:w="1640" w:type="dxa"/>
            <w:vAlign w:val="bottom"/>
            <w:gridSpan w:val="3"/>
          </w:tcPr>
          <w:p>
            <w:pPr>
              <w:ind w:left="220"/>
              <w:spacing w:after="0"/>
              <w:rPr>
                <w:sz w:val="20"/>
                <w:szCs w:val="20"/>
                <w:color w:val="auto"/>
              </w:rPr>
            </w:pPr>
            <w:r>
              <w:rPr>
                <w:rFonts w:ascii="Arial" w:cs="Arial" w:eastAsia="Arial" w:hAnsi="Arial"/>
                <w:sz w:val="20"/>
                <w:szCs w:val="20"/>
                <w:color w:val="auto"/>
              </w:rPr>
              <w:t>Put Options</w:t>
            </w:r>
          </w:p>
        </w:tc>
        <w:tc>
          <w:tcPr>
            <w:tcW w:w="280" w:type="dxa"/>
            <w:vAlign w:val="bottom"/>
          </w:tcPr>
          <w:p>
            <w:pPr>
              <w:spacing w:after="0"/>
              <w:rPr>
                <w:sz w:val="23"/>
                <w:szCs w:val="23"/>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Securities</w:t>
            </w:r>
          </w:p>
        </w:tc>
        <w:tc>
          <w:tcPr>
            <w:tcW w:w="1360" w:type="dxa"/>
            <w:vAlign w:val="bottom"/>
            <w:gridSpan w:val="2"/>
          </w:tcPr>
          <w:p>
            <w:pPr>
              <w:ind w:left="200"/>
              <w:spacing w:after="0"/>
              <w:rPr>
                <w:sz w:val="20"/>
                <w:szCs w:val="20"/>
                <w:color w:val="auto"/>
              </w:rPr>
            </w:pPr>
            <w:r>
              <w:rPr>
                <w:rFonts w:ascii="Arial" w:cs="Arial" w:eastAsia="Arial" w:hAnsi="Arial"/>
                <w:sz w:val="20"/>
                <w:szCs w:val="20"/>
                <w:color w:val="auto"/>
              </w:rPr>
              <w:t>Put Options</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3,910</w:t>
            </w:r>
          </w:p>
        </w:tc>
        <w:tc>
          <w:tcPr>
            <w:tcW w:w="300" w:type="dxa"/>
            <w:vAlign w:val="bottom"/>
          </w:tcPr>
          <w:p>
            <w:pPr>
              <w:spacing w:after="0"/>
              <w:rPr>
                <w:sz w:val="17"/>
                <w:szCs w:val="17"/>
                <w:color w:val="auto"/>
              </w:rPr>
            </w:pPr>
          </w:p>
        </w:tc>
        <w:tc>
          <w:tcPr>
            <w:tcW w:w="760" w:type="dxa"/>
            <w:vAlign w:val="bottom"/>
            <w:tcBorders>
              <w:top w:val="single" w:sz="8" w:color="auto"/>
            </w:tcBorders>
          </w:tcPr>
          <w:p>
            <w:pPr>
              <w:ind w:left="200"/>
              <w:spacing w:after="0" w:line="207" w:lineRule="exact"/>
              <w:rPr>
                <w:sz w:val="20"/>
                <w:szCs w:val="20"/>
                <w:color w:val="auto"/>
              </w:rPr>
            </w:pPr>
            <w:r>
              <w:rPr>
                <w:rFonts w:ascii="Arial" w:cs="Arial" w:eastAsia="Arial" w:hAnsi="Arial"/>
                <w:sz w:val="20"/>
                <w:szCs w:val="20"/>
                <w:color w:val="auto"/>
              </w:rPr>
              <w:t>$</w:t>
            </w:r>
          </w:p>
        </w:tc>
        <w:tc>
          <w:tcPr>
            <w:tcW w:w="6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250</w:t>
            </w:r>
          </w:p>
        </w:tc>
        <w:tc>
          <w:tcPr>
            <w:tcW w:w="280" w:type="dxa"/>
            <w:vAlign w:val="bottom"/>
          </w:tcPr>
          <w:p>
            <w:pPr>
              <w:spacing w:after="0"/>
              <w:rPr>
                <w:sz w:val="17"/>
                <w:szCs w:val="17"/>
                <w:color w:val="auto"/>
              </w:rPr>
            </w:pPr>
          </w:p>
        </w:tc>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16,184</w:t>
            </w:r>
          </w:p>
        </w:tc>
        <w:tc>
          <w:tcPr>
            <w:tcW w:w="280" w:type="dxa"/>
            <w:vAlign w:val="bottom"/>
          </w:tcPr>
          <w:p>
            <w:pPr>
              <w:spacing w:after="0"/>
              <w:rPr>
                <w:sz w:val="17"/>
                <w:szCs w:val="17"/>
                <w:color w:val="auto"/>
              </w:rPr>
            </w:pPr>
          </w:p>
        </w:tc>
        <w:tc>
          <w:tcPr>
            <w:tcW w:w="720" w:type="dxa"/>
            <w:vAlign w:val="bottom"/>
            <w:tcBorders>
              <w:top w:val="single" w:sz="8" w:color="auto"/>
            </w:tcBorders>
          </w:tcPr>
          <w:p>
            <w:pPr>
              <w:ind w:left="180"/>
              <w:spacing w:after="0" w:line="207" w:lineRule="exact"/>
              <w:rPr>
                <w:sz w:val="20"/>
                <w:szCs w:val="20"/>
                <w:color w:val="auto"/>
              </w:rPr>
            </w:pPr>
            <w:r>
              <w:rPr>
                <w:rFonts w:ascii="Arial" w:cs="Arial" w:eastAsia="Arial" w:hAnsi="Arial"/>
                <w:sz w:val="20"/>
                <w:szCs w:val="20"/>
                <w:color w:val="auto"/>
              </w:rPr>
              <w:t>$</w:t>
            </w:r>
          </w:p>
        </w:tc>
        <w:tc>
          <w:tcPr>
            <w:tcW w:w="6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w w:val="99"/>
              </w:rPr>
              <w:t>1,092</w:t>
            </w: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20"/>
                <w:szCs w:val="20"/>
                <w:color w:val="auto"/>
              </w:rPr>
              <w:t>Transfers into Level 3</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20"/>
                <w:szCs w:val="20"/>
                <w:color w:val="auto"/>
              </w:rPr>
              <w:t>Transfers out of Level 3</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20"/>
                <w:szCs w:val="20"/>
                <w:color w:val="auto"/>
              </w:rPr>
              <w:t>Total gains (losses) for the period: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480"/>
              <w:spacing w:after="0"/>
              <w:rPr>
                <w:sz w:val="20"/>
                <w:szCs w:val="20"/>
                <w:color w:val="auto"/>
              </w:rPr>
            </w:pPr>
            <w:r>
              <w:rPr>
                <w:rFonts w:ascii="Arial" w:cs="Arial" w:eastAsia="Arial" w:hAnsi="Arial"/>
                <w:sz w:val="20"/>
                <w:szCs w:val="20"/>
                <w:color w:val="auto"/>
              </w:rPr>
              <w:t>Included in earnings</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250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(250)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801</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(842)</w:t>
            </w:r>
          </w:p>
        </w:tc>
        <w:tc>
          <w:tcPr>
            <w:tcW w:w="0" w:type="dxa"/>
            <w:vAlign w:val="bottom"/>
          </w:tcPr>
          <w:p>
            <w:pPr>
              <w:spacing w:after="0"/>
              <w:rPr>
                <w:sz w:val="1"/>
                <w:szCs w:val="1"/>
                <w:color w:val="auto"/>
              </w:rPr>
            </w:pPr>
          </w:p>
        </w:tc>
      </w:tr>
      <w:tr>
        <w:trPr>
          <w:trHeight w:val="230"/>
        </w:trPr>
        <w:tc>
          <w:tcPr>
            <w:tcW w:w="5000" w:type="dxa"/>
            <w:vAlign w:val="bottom"/>
          </w:tcPr>
          <w:p>
            <w:pPr>
              <w:ind w:left="480"/>
              <w:spacing w:after="0"/>
              <w:rPr>
                <w:sz w:val="20"/>
                <w:szCs w:val="20"/>
                <w:color w:val="auto"/>
              </w:rPr>
            </w:pPr>
            <w:r>
              <w:rPr>
                <w:rFonts w:ascii="Arial" w:cs="Arial" w:eastAsia="Arial" w:hAnsi="Arial"/>
                <w:sz w:val="20"/>
                <w:szCs w:val="20"/>
                <w:color w:val="auto"/>
              </w:rPr>
              <w:t>Included in other comprehensive income</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000" w:type="dxa"/>
            <w:vAlign w:val="bottom"/>
          </w:tcPr>
          <w:p>
            <w:pPr>
              <w:ind w:left="260"/>
              <w:spacing w:after="0"/>
              <w:rPr>
                <w:sz w:val="20"/>
                <w:szCs w:val="20"/>
                <w:color w:val="auto"/>
              </w:rPr>
            </w:pPr>
            <w:r>
              <w:rPr>
                <w:rFonts w:ascii="Arial" w:cs="Arial" w:eastAsia="Arial" w:hAnsi="Arial"/>
                <w:sz w:val="20"/>
                <w:szCs w:val="20"/>
                <w:color w:val="auto"/>
              </w:rPr>
              <w:t>Settlements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(4,160)</w:t>
            </w:r>
          </w:p>
        </w:tc>
        <w:tc>
          <w:tcPr>
            <w:tcW w:w="3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(13,075)</w:t>
            </w:r>
          </w:p>
        </w:tc>
        <w:tc>
          <w:tcPr>
            <w:tcW w:w="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line="220" w:lineRule="exact"/>
              <w:rPr>
                <w:sz w:val="20"/>
                <w:szCs w:val="20"/>
                <w:color w:val="auto"/>
              </w:rPr>
            </w:pPr>
            <w:r>
              <w:rPr>
                <w:rFonts w:ascii="Arial" w:cs="Arial" w:eastAsia="Arial" w:hAnsi="Arial"/>
                <w:sz w:val="20"/>
                <w:szCs w:val="20"/>
                <w:color w:val="auto"/>
              </w:rPr>
              <w:t>Closing Balance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3,910</w:t>
            </w:r>
          </w:p>
        </w:tc>
        <w:tc>
          <w:tcPr>
            <w:tcW w:w="280" w:type="dxa"/>
            <w:vAlign w:val="bottom"/>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250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The Company entered into forward currency exchange contracts with financial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53" w:gutter="0" w:footer="0" w:header="0"/>
        </w:sectPr>
      </w:pPr>
    </w:p>
    <w:bookmarkStart w:id="64" w:name="page65"/>
    <w:bookmarkEnd w:id="64"/>
    <w:p>
      <w:pPr>
        <w:jc w:val="both"/>
        <w:ind w:right="40"/>
        <w:spacing w:after="0" w:line="247" w:lineRule="auto"/>
        <w:rPr>
          <w:sz w:val="20"/>
          <w:szCs w:val="20"/>
          <w:color w:val="auto"/>
        </w:rPr>
      </w:pPr>
      <w:r>
        <w:rPr>
          <w:rFonts w:ascii="Arial" w:cs="Arial" w:eastAsia="Arial" w:hAnsi="Arial"/>
          <w:sz w:val="20"/>
          <w:szCs w:val="20"/>
          <w:color w:val="auto"/>
        </w:rPr>
        <w:t>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as of December 31, 2015 have terms of one month or less. The Company does not enter into forward currency exchange contracts for speculation or trading purposes.</w:t>
      </w:r>
    </w:p>
    <w:p>
      <w:pPr>
        <w:spacing w:after="0" w:line="202"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9"/>
          <w:szCs w:val="19"/>
          <w:color w:val="auto"/>
        </w:rPr>
        <w:t>The Company has not designated its foreign currency exchange contracts as hedge transactions under ASC 815. Therefore, gains and losses on the Company’s foreign currency exchange contracts are recognized in other expense, net, in the consolidated statements of income, and are largely offset by the changes in the fair value of the underlying economically hedged item.</w:t>
      </w:r>
    </w:p>
    <w:p>
      <w:pPr>
        <w:spacing w:after="0" w:line="184"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consolidated balance sheets consist of the following at:</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4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December 31, 2015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9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9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400" w:type="dxa"/>
            <w:vAlign w:val="bottom"/>
          </w:tcPr>
          <w:p>
            <w:pPr>
              <w:spacing w:after="0"/>
              <w:rPr>
                <w:sz w:val="23"/>
                <w:szCs w:val="23"/>
                <w:color w:val="auto"/>
              </w:rPr>
            </w:pPr>
          </w:p>
        </w:tc>
        <w:tc>
          <w:tcPr>
            <w:tcW w:w="1600" w:type="dxa"/>
            <w:vAlign w:val="bottom"/>
            <w:gridSpan w:val="2"/>
          </w:tcPr>
          <w:p>
            <w:pPr>
              <w:ind w:left="120"/>
              <w:spacing w:after="0"/>
              <w:rPr>
                <w:sz w:val="20"/>
                <w:szCs w:val="20"/>
                <w:color w:val="auto"/>
              </w:rPr>
            </w:pPr>
            <w:r>
              <w:rPr>
                <w:rFonts w:ascii="Arial" w:cs="Arial" w:eastAsia="Arial" w:hAnsi="Arial"/>
                <w:sz w:val="20"/>
                <w:szCs w:val="20"/>
                <w:color w:val="auto"/>
              </w:rPr>
              <w:t>Notional</w:t>
            </w:r>
          </w:p>
        </w:tc>
        <w:tc>
          <w:tcPr>
            <w:tcW w:w="360" w:type="dxa"/>
            <w:vAlign w:val="bottom"/>
          </w:tcPr>
          <w:p>
            <w:pPr>
              <w:spacing w:after="0"/>
              <w:rPr>
                <w:sz w:val="23"/>
                <w:szCs w:val="23"/>
                <w:color w:val="auto"/>
              </w:rPr>
            </w:pPr>
          </w:p>
        </w:tc>
        <w:tc>
          <w:tcPr>
            <w:tcW w:w="1340" w:type="dxa"/>
            <w:vAlign w:val="bottom"/>
          </w:tcPr>
          <w:p>
            <w:pPr>
              <w:jc w:val="right"/>
              <w:ind w:right="58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3"/>
                <w:szCs w:val="23"/>
                <w:color w:val="auto"/>
              </w:rPr>
            </w:pPr>
          </w:p>
        </w:tc>
        <w:tc>
          <w:tcPr>
            <w:tcW w:w="250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Balance Sheet Location</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4940" w:type="dxa"/>
            <w:vAlign w:val="bottom"/>
            <w:gridSpan w:val="2"/>
          </w:tcPr>
          <w:p>
            <w:pPr>
              <w:ind w:left="40"/>
              <w:spacing w:after="0"/>
              <w:rPr>
                <w:sz w:val="20"/>
                <w:szCs w:val="20"/>
                <w:color w:val="auto"/>
              </w:rPr>
            </w:pPr>
            <w:r>
              <w:rPr>
                <w:rFonts w:ascii="Arial" w:cs="Arial" w:eastAsia="Arial" w:hAnsi="Arial"/>
                <w:sz w:val="20"/>
                <w:szCs w:val="20"/>
                <w:color w:val="auto"/>
              </w:rPr>
              <w:t>Assets: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GBP</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18,146</w:t>
            </w:r>
          </w:p>
        </w:tc>
        <w:tc>
          <w:tcPr>
            <w:tcW w:w="280" w:type="dxa"/>
            <w:vAlign w:val="bottom"/>
          </w:tcPr>
          <w:p>
            <w:pPr>
              <w:spacing w:after="0"/>
              <w:rPr>
                <w:sz w:val="19"/>
                <w:szCs w:val="19"/>
                <w:color w:val="auto"/>
              </w:rPr>
            </w:pP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168</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ZAR</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17,411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144</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RUB</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2,173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9</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BRL</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2,478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49</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COP</w:t>
            </w:r>
          </w:p>
        </w:tc>
        <w:tc>
          <w:tcPr>
            <w:tcW w:w="400" w:type="dxa"/>
            <w:vAlign w:val="bottom"/>
          </w:tcPr>
          <w:p>
            <w:pPr>
              <w:spacing w:after="0"/>
              <w:rPr>
                <w:sz w:val="21"/>
                <w:szCs w:val="21"/>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1,351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7"/>
        </w:trPr>
        <w:tc>
          <w:tcPr>
            <w:tcW w:w="4940" w:type="dxa"/>
            <w:vAlign w:val="bottom"/>
            <w:gridSpan w:val="2"/>
          </w:tcPr>
          <w:p>
            <w:pPr>
              <w:ind w:left="40"/>
              <w:spacing w:after="0"/>
              <w:rPr>
                <w:sz w:val="20"/>
                <w:szCs w:val="20"/>
                <w:color w:val="auto"/>
              </w:rPr>
            </w:pPr>
            <w:r>
              <w:rPr>
                <w:rFonts w:ascii="Arial" w:cs="Arial" w:eastAsia="Arial" w:hAnsi="Arial"/>
                <w:sz w:val="20"/>
                <w:szCs w:val="20"/>
                <w:color w:val="auto"/>
              </w:rPr>
              <w:t>Liabilities: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EUR/pay USD</w:t>
            </w: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39,578</w:t>
            </w:r>
          </w:p>
        </w:tc>
        <w:tc>
          <w:tcPr>
            <w:tcW w:w="280" w:type="dxa"/>
            <w:vAlign w:val="bottom"/>
          </w:tcPr>
          <w:p>
            <w:pPr>
              <w:spacing w:after="0"/>
              <w:rPr>
                <w:sz w:val="19"/>
                <w:szCs w:val="19"/>
                <w:color w:val="auto"/>
              </w:rPr>
            </w:pP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(429)</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AUD</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14,040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(82)</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CAD</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2,804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(15)</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JPY</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2,495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MXN</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8,122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(15)</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SGD/pay USD</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3,837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(30)</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NZD</w:t>
            </w:r>
          </w:p>
        </w:tc>
        <w:tc>
          <w:tcPr>
            <w:tcW w:w="4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1,978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40" w:type="dxa"/>
            <w:vAlign w:val="bottom"/>
            <w:gridSpan w:val="2"/>
          </w:tcPr>
          <w:p>
            <w:pPr>
              <w:ind w:left="840"/>
              <w:spacing w:after="0"/>
              <w:rPr>
                <w:sz w:val="20"/>
                <w:szCs w:val="20"/>
                <w:color w:val="auto"/>
              </w:rPr>
            </w:pPr>
            <w:r>
              <w:rPr>
                <w:rFonts w:ascii="Arial" w:cs="Arial" w:eastAsia="Arial" w:hAnsi="Arial"/>
                <w:sz w:val="20"/>
                <w:szCs w:val="20"/>
                <w:color w:val="auto"/>
              </w:rPr>
              <w:t>Receive USD/pay CLP</w:t>
            </w:r>
          </w:p>
        </w:tc>
        <w:tc>
          <w:tcPr>
            <w:tcW w:w="400" w:type="dxa"/>
            <w:vAlign w:val="bottom"/>
          </w:tcPr>
          <w:p>
            <w:pPr>
              <w:spacing w:after="0"/>
              <w:rPr>
                <w:sz w:val="21"/>
                <w:szCs w:val="21"/>
                <w:color w:val="auto"/>
              </w:rPr>
            </w:pPr>
          </w:p>
        </w:tc>
        <w:tc>
          <w:tcPr>
            <w:tcW w:w="1320" w:type="dxa"/>
            <w:vAlign w:val="bottom"/>
          </w:tcPr>
          <w:p>
            <w:pPr>
              <w:jc w:val="right"/>
              <w:ind w:right="22"/>
              <w:spacing w:after="0"/>
              <w:rPr>
                <w:sz w:val="20"/>
                <w:szCs w:val="20"/>
                <w:color w:val="auto"/>
              </w:rPr>
            </w:pPr>
            <w:r>
              <w:rPr>
                <w:rFonts w:ascii="Arial" w:cs="Arial" w:eastAsia="Arial" w:hAnsi="Arial"/>
                <w:sz w:val="20"/>
                <w:szCs w:val="20"/>
                <w:color w:val="auto"/>
              </w:rPr>
              <w:t>3,519</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w:t>
            </w:r>
          </w:p>
        </w:tc>
        <w:tc>
          <w:tcPr>
            <w:tcW w:w="278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762"/>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40" w:type="dxa"/>
            <w:vAlign w:val="bottom"/>
            <w:gridSpan w:val="2"/>
            <w:vMerge w:val="restart"/>
          </w:tcPr>
          <w:p>
            <w:pPr>
              <w:jc w:val="center"/>
              <w:ind w:right="280"/>
              <w:spacing w:after="0"/>
              <w:rPr>
                <w:sz w:val="20"/>
                <w:szCs w:val="20"/>
                <w:color w:val="auto"/>
              </w:rPr>
            </w:pPr>
            <w:r>
              <w:rPr>
                <w:rFonts w:ascii="Arial" w:cs="Arial" w:eastAsia="Arial" w:hAnsi="Arial"/>
                <w:sz w:val="20"/>
                <w:szCs w:val="20"/>
                <w:color w:val="auto"/>
                <w:w w:val="88"/>
              </w:rPr>
              <w:t>Derivatives not designated as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December 31, 2014</w:t>
            </w:r>
          </w:p>
        </w:tc>
        <w:tc>
          <w:tcPr>
            <w:tcW w:w="0" w:type="dxa"/>
            <w:vAlign w:val="bottom"/>
          </w:tcPr>
          <w:p>
            <w:pPr>
              <w:spacing w:after="0"/>
              <w:rPr>
                <w:sz w:val="1"/>
                <w:szCs w:val="1"/>
                <w:color w:val="auto"/>
              </w:rPr>
            </w:pPr>
          </w:p>
        </w:tc>
      </w:tr>
      <w:tr>
        <w:trPr>
          <w:trHeight w:val="214"/>
        </w:trPr>
        <w:tc>
          <w:tcPr>
            <w:tcW w:w="48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hedging instruments under</w:t>
            </w:r>
          </w:p>
        </w:tc>
        <w:tc>
          <w:tcPr>
            <w:tcW w:w="380" w:type="dxa"/>
            <w:vAlign w:val="bottom"/>
          </w:tcPr>
          <w:p>
            <w:pPr>
              <w:spacing w:after="0"/>
              <w:rPr>
                <w:sz w:val="23"/>
                <w:szCs w:val="23"/>
                <w:color w:val="auto"/>
              </w:rPr>
            </w:pPr>
          </w:p>
        </w:tc>
        <w:tc>
          <w:tcPr>
            <w:tcW w:w="1600" w:type="dxa"/>
            <w:vAlign w:val="bottom"/>
            <w:gridSpan w:val="2"/>
          </w:tcPr>
          <w:p>
            <w:pPr>
              <w:ind w:left="12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23"/>
                <w:szCs w:val="23"/>
                <w:color w:val="auto"/>
              </w:rPr>
            </w:pPr>
          </w:p>
        </w:tc>
        <w:tc>
          <w:tcPr>
            <w:tcW w:w="1600" w:type="dxa"/>
            <w:vAlign w:val="bottom"/>
            <w:gridSpan w:val="2"/>
          </w:tcPr>
          <w:p>
            <w:pPr>
              <w:ind w:left="300"/>
              <w:spacing w:after="0"/>
              <w:rPr>
                <w:sz w:val="20"/>
                <w:szCs w:val="20"/>
                <w:color w:val="auto"/>
              </w:rPr>
            </w:pPr>
            <w:r>
              <w:rPr>
                <w:rFonts w:ascii="Arial" w:cs="Arial" w:eastAsia="Arial" w:hAnsi="Arial"/>
                <w:sz w:val="20"/>
                <w:szCs w:val="20"/>
                <w:color w:val="auto"/>
              </w:rPr>
              <w:t>Fair</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3"/>
                <w:szCs w:val="23"/>
                <w:color w:val="auto"/>
              </w:rPr>
            </w:pPr>
          </w:p>
        </w:tc>
        <w:tc>
          <w:tcPr>
            <w:tcW w:w="252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Balance Sheet Location</w:t>
            </w:r>
          </w:p>
        </w:tc>
        <w:tc>
          <w:tcPr>
            <w:tcW w:w="0" w:type="dxa"/>
            <w:vAlign w:val="bottom"/>
          </w:tcPr>
          <w:p>
            <w:pPr>
              <w:spacing w:after="0"/>
              <w:rPr>
                <w:sz w:val="1"/>
                <w:szCs w:val="1"/>
                <w:color w:val="auto"/>
              </w:rPr>
            </w:pPr>
          </w:p>
        </w:tc>
      </w:tr>
      <w:tr>
        <w:trPr>
          <w:trHeight w:val="314"/>
        </w:trPr>
        <w:tc>
          <w:tcPr>
            <w:tcW w:w="4840" w:type="dxa"/>
            <w:vAlign w:val="bottom"/>
            <w:gridSpan w:val="2"/>
          </w:tcPr>
          <w:p>
            <w:pPr>
              <w:ind w:left="40"/>
              <w:spacing w:after="0"/>
              <w:rPr>
                <w:sz w:val="20"/>
                <w:szCs w:val="20"/>
                <w:color w:val="auto"/>
              </w:rPr>
            </w:pPr>
            <w:r>
              <w:rPr>
                <w:rFonts w:ascii="Arial" w:cs="Arial" w:eastAsia="Arial" w:hAnsi="Arial"/>
                <w:sz w:val="20"/>
                <w:szCs w:val="20"/>
                <w:color w:val="auto"/>
              </w:rPr>
              <w:t>Assets: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400"/>
              <w:spacing w:after="0"/>
              <w:rPr>
                <w:sz w:val="20"/>
                <w:szCs w:val="20"/>
                <w:color w:val="auto"/>
              </w:rPr>
            </w:pPr>
            <w:r>
              <w:rPr>
                <w:rFonts w:ascii="Arial" w:cs="Arial" w:eastAsia="Arial" w:hAnsi="Arial"/>
                <w:sz w:val="20"/>
                <w:szCs w:val="20"/>
                <w:color w:val="auto"/>
              </w:rPr>
              <w:t>Foreign currency exchange contracts: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40" w:type="dxa"/>
            <w:vAlign w:val="bottom"/>
            <w:gridSpan w:val="2"/>
          </w:tcPr>
          <w:p>
            <w:pPr>
              <w:ind w:left="860"/>
              <w:spacing w:after="0"/>
              <w:rPr>
                <w:sz w:val="20"/>
                <w:szCs w:val="20"/>
                <w:color w:val="auto"/>
              </w:rPr>
            </w:pPr>
            <w:r>
              <w:rPr>
                <w:rFonts w:ascii="Arial" w:cs="Arial" w:eastAsia="Arial" w:hAnsi="Arial"/>
                <w:sz w:val="20"/>
                <w:szCs w:val="20"/>
                <w:color w:val="auto"/>
              </w:rPr>
              <w:t>Receive CAD/pay USD</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19,940</w:t>
            </w:r>
          </w:p>
        </w:tc>
        <w:tc>
          <w:tcPr>
            <w:tcW w:w="280" w:type="dxa"/>
            <w:vAlign w:val="bottom"/>
          </w:tcPr>
          <w:p>
            <w:pPr>
              <w:spacing w:after="0"/>
              <w:rPr>
                <w:sz w:val="21"/>
                <w:szCs w:val="21"/>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83</w:t>
            </w:r>
          </w:p>
        </w:tc>
        <w:tc>
          <w:tcPr>
            <w:tcW w:w="280" w:type="dxa"/>
            <w:vAlign w:val="bottom"/>
          </w:tcPr>
          <w:p>
            <w:pPr>
              <w:spacing w:after="0"/>
              <w:rPr>
                <w:sz w:val="21"/>
                <w:szCs w:val="21"/>
                <w:color w:val="auto"/>
              </w:rPr>
            </w:pPr>
          </w:p>
        </w:tc>
        <w:tc>
          <w:tcPr>
            <w:tcW w:w="25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438"/>
        </w:trPr>
        <w:tc>
          <w:tcPr>
            <w:tcW w:w="4840" w:type="dxa"/>
            <w:vAlign w:val="bottom"/>
            <w:gridSpan w:val="2"/>
          </w:tcPr>
          <w:p>
            <w:pPr>
              <w:ind w:left="40"/>
              <w:spacing w:after="0"/>
              <w:rPr>
                <w:sz w:val="20"/>
                <w:szCs w:val="20"/>
                <w:color w:val="auto"/>
              </w:rPr>
            </w:pPr>
            <w:r>
              <w:rPr>
                <w:rFonts w:ascii="Arial" w:cs="Arial" w:eastAsia="Arial" w:hAnsi="Arial"/>
                <w:sz w:val="20"/>
                <w:szCs w:val="20"/>
                <w:color w:val="auto"/>
              </w:rPr>
              <w:t>Liabilities: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400"/>
              <w:spacing w:after="0"/>
              <w:rPr>
                <w:sz w:val="20"/>
                <w:szCs w:val="20"/>
                <w:color w:val="auto"/>
              </w:rPr>
            </w:pPr>
            <w:r>
              <w:rPr>
                <w:rFonts w:ascii="Arial" w:cs="Arial" w:eastAsia="Arial" w:hAnsi="Arial"/>
                <w:sz w:val="20"/>
                <w:szCs w:val="20"/>
                <w:color w:val="auto"/>
              </w:rPr>
              <w:t>Foreign currency exchange contracts: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860"/>
              <w:spacing w:after="0"/>
              <w:rPr>
                <w:sz w:val="20"/>
                <w:szCs w:val="20"/>
                <w:color w:val="auto"/>
              </w:rPr>
            </w:pPr>
            <w:r>
              <w:rPr>
                <w:rFonts w:ascii="Arial" w:cs="Arial" w:eastAsia="Arial" w:hAnsi="Arial"/>
                <w:sz w:val="20"/>
                <w:szCs w:val="20"/>
                <w:color w:val="auto"/>
              </w:rPr>
              <w:t>Receive EUR/pay USD</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13,265</w:t>
            </w:r>
          </w:p>
        </w:tc>
        <w:tc>
          <w:tcPr>
            <w:tcW w:w="280" w:type="dxa"/>
            <w:vAlign w:val="bottom"/>
          </w:tcPr>
          <w:p>
            <w:pPr>
              <w:spacing w:after="0"/>
              <w:rPr>
                <w:sz w:val="19"/>
                <w:szCs w:val="19"/>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(75)</w:t>
            </w:r>
          </w:p>
        </w:tc>
        <w:tc>
          <w:tcPr>
            <w:tcW w:w="2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4840" w:type="dxa"/>
            <w:vAlign w:val="bottom"/>
            <w:gridSpan w:val="2"/>
          </w:tcPr>
          <w:p>
            <w:pPr>
              <w:ind w:left="860"/>
              <w:spacing w:after="0"/>
              <w:rPr>
                <w:sz w:val="20"/>
                <w:szCs w:val="20"/>
                <w:color w:val="auto"/>
              </w:rPr>
            </w:pPr>
            <w:r>
              <w:rPr>
                <w:rFonts w:ascii="Arial" w:cs="Arial" w:eastAsia="Arial" w:hAnsi="Arial"/>
                <w:sz w:val="20"/>
                <w:szCs w:val="20"/>
                <w:color w:val="auto"/>
              </w:rPr>
              <w:t>Receive USD/pay AUD</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8,343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(48)</w:t>
            </w:r>
          </w:p>
        </w:tc>
        <w:tc>
          <w:tcPr>
            <w:tcW w:w="2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4840" w:type="dxa"/>
            <w:vAlign w:val="bottom"/>
            <w:gridSpan w:val="2"/>
          </w:tcPr>
          <w:p>
            <w:pPr>
              <w:ind w:left="860"/>
              <w:spacing w:after="0"/>
              <w:rPr>
                <w:sz w:val="20"/>
                <w:szCs w:val="20"/>
                <w:color w:val="auto"/>
              </w:rPr>
            </w:pPr>
            <w:r>
              <w:rPr>
                <w:rFonts w:ascii="Arial" w:cs="Arial" w:eastAsia="Arial" w:hAnsi="Arial"/>
                <w:sz w:val="20"/>
                <w:szCs w:val="20"/>
                <w:color w:val="auto"/>
              </w:rPr>
              <w:t>Receive USD/pay JPY</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10,620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(84)</w:t>
            </w:r>
          </w:p>
        </w:tc>
        <w:tc>
          <w:tcPr>
            <w:tcW w:w="2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4840" w:type="dxa"/>
            <w:vAlign w:val="bottom"/>
            <w:gridSpan w:val="2"/>
          </w:tcPr>
          <w:p>
            <w:pPr>
              <w:ind w:left="860"/>
              <w:spacing w:after="0"/>
              <w:rPr>
                <w:sz w:val="20"/>
                <w:szCs w:val="20"/>
                <w:color w:val="auto"/>
              </w:rPr>
            </w:pPr>
            <w:r>
              <w:rPr>
                <w:rFonts w:ascii="Arial" w:cs="Arial" w:eastAsia="Arial" w:hAnsi="Arial"/>
                <w:sz w:val="20"/>
                <w:szCs w:val="20"/>
                <w:color w:val="auto"/>
              </w:rPr>
              <w:t>Receive USD/pay ZAR</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14,760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(105)</w:t>
            </w:r>
          </w:p>
        </w:tc>
        <w:tc>
          <w:tcPr>
            <w:tcW w:w="2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4840" w:type="dxa"/>
            <w:vAlign w:val="bottom"/>
            <w:gridSpan w:val="2"/>
          </w:tcPr>
          <w:p>
            <w:pPr>
              <w:ind w:left="860"/>
              <w:spacing w:after="0"/>
              <w:rPr>
                <w:sz w:val="20"/>
                <w:szCs w:val="20"/>
                <w:color w:val="auto"/>
              </w:rPr>
            </w:pPr>
            <w:r>
              <w:rPr>
                <w:rFonts w:ascii="Arial" w:cs="Arial" w:eastAsia="Arial" w:hAnsi="Arial"/>
                <w:sz w:val="20"/>
                <w:szCs w:val="20"/>
                <w:color w:val="auto"/>
              </w:rPr>
              <w:t>Receive USD/pay MXN</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4,961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4840" w:type="dxa"/>
            <w:vAlign w:val="bottom"/>
            <w:gridSpan w:val="2"/>
          </w:tcPr>
          <w:p>
            <w:pPr>
              <w:ind w:left="860"/>
              <w:spacing w:after="0"/>
              <w:rPr>
                <w:sz w:val="20"/>
                <w:szCs w:val="20"/>
                <w:color w:val="auto"/>
              </w:rPr>
            </w:pPr>
            <w:r>
              <w:rPr>
                <w:rFonts w:ascii="Arial" w:cs="Arial" w:eastAsia="Arial" w:hAnsi="Arial"/>
                <w:sz w:val="20"/>
                <w:szCs w:val="20"/>
                <w:color w:val="auto"/>
              </w:rPr>
              <w:t>Receive USD/pay CLP</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2,685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w:t>
            </w:r>
          </w:p>
        </w:tc>
        <w:tc>
          <w:tcPr>
            <w:tcW w:w="2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50"/>
        </w:trPr>
        <w:tc>
          <w:tcPr>
            <w:tcW w:w="4840" w:type="dxa"/>
            <w:vAlign w:val="bottom"/>
            <w:gridSpan w:val="2"/>
          </w:tcPr>
          <w:p>
            <w:pPr>
              <w:ind w:left="860"/>
              <w:spacing w:after="0"/>
              <w:rPr>
                <w:sz w:val="20"/>
                <w:szCs w:val="20"/>
                <w:color w:val="auto"/>
              </w:rPr>
            </w:pPr>
            <w:r>
              <w:rPr>
                <w:rFonts w:ascii="Arial" w:cs="Arial" w:eastAsia="Arial" w:hAnsi="Arial"/>
                <w:sz w:val="20"/>
                <w:szCs w:val="20"/>
                <w:color w:val="auto"/>
              </w:rPr>
              <w:t>Receive USD/pay COP</w:t>
            </w:r>
          </w:p>
        </w:tc>
        <w:tc>
          <w:tcPr>
            <w:tcW w:w="3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20"/>
                <w:szCs w:val="20"/>
                <w:color w:val="auto"/>
              </w:rPr>
              <w:t>2,845</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21"/>
                <w:szCs w:val="21"/>
                <w:color w:val="auto"/>
              </w:rPr>
            </w:pPr>
          </w:p>
        </w:tc>
        <w:tc>
          <w:tcPr>
            <w:tcW w:w="2520" w:type="dxa"/>
            <w:vAlign w:val="bottom"/>
          </w:tcPr>
          <w:p>
            <w:pPr>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gain on derivative instruments in the consolidated statements of income were as follows:</w:t>
      </w:r>
    </w:p>
    <w:p>
      <w:pPr>
        <w:spacing w:after="0" w:line="229" w:lineRule="exact"/>
        <w:rPr>
          <w:sz w:val="20"/>
          <w:szCs w:val="20"/>
          <w:color w:val="auto"/>
        </w:rPr>
      </w:pPr>
    </w:p>
    <w:p>
      <w:pPr>
        <w:jc w:val="center"/>
        <w:ind w:left="7900"/>
        <w:spacing w:after="0"/>
        <w:rPr>
          <w:sz w:val="20"/>
          <w:szCs w:val="20"/>
          <w:color w:val="auto"/>
        </w:rPr>
      </w:pPr>
      <w:r>
        <w:rPr>
          <w:rFonts w:ascii="Arial" w:cs="Arial" w:eastAsia="Arial" w:hAnsi="Arial"/>
          <w:sz w:val="20"/>
          <w:szCs w:val="20"/>
          <w:color w:val="auto"/>
        </w:rPr>
        <w:t>Amount of gain</w:t>
      </w:r>
    </w:p>
    <w:p>
      <w:pPr>
        <w:spacing w:after="0" w:line="40" w:lineRule="exact"/>
        <w:rPr>
          <w:sz w:val="20"/>
          <w:szCs w:val="20"/>
          <w:color w:val="auto"/>
        </w:rPr>
      </w:pPr>
    </w:p>
    <w:p>
      <w:pPr>
        <w:jc w:val="center"/>
        <w:ind w:left="7900"/>
        <w:spacing w:after="0"/>
        <w:rPr>
          <w:sz w:val="20"/>
          <w:szCs w:val="20"/>
          <w:color w:val="auto"/>
        </w:rPr>
      </w:pPr>
      <w:r>
        <w:rPr>
          <w:rFonts w:ascii="Arial" w:cs="Arial" w:eastAsia="Arial" w:hAnsi="Arial"/>
          <w:sz w:val="20"/>
          <w:szCs w:val="20"/>
          <w:color w:val="auto"/>
        </w:rPr>
        <w:t>recognized in income on</w:t>
      </w:r>
    </w:p>
    <w:p>
      <w:pPr>
        <w:sectPr>
          <w:pgSz w:w="11900" w:h="16838" w:orient="portrait"/>
          <w:cols w:equalWidth="0" w:num="1">
            <w:col w:w="11460"/>
          </w:cols>
          <w:pgMar w:left="240" w:top="122" w:right="199"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8"/>
        </w:trPr>
        <w:tc>
          <w:tcPr>
            <w:tcW w:w="3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800"/>
              <w:spacing w:after="0"/>
              <w:rPr>
                <w:sz w:val="20"/>
                <w:szCs w:val="20"/>
                <w:color w:val="auto"/>
              </w:rPr>
            </w:pPr>
            <w:r>
              <w:rPr>
                <w:rFonts w:ascii="Arial" w:cs="Arial" w:eastAsia="Arial" w:hAnsi="Arial"/>
                <w:sz w:val="20"/>
                <w:szCs w:val="20"/>
                <w:color w:val="auto"/>
              </w:rPr>
              <w:t>derivatives</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gridSpan w:val="2"/>
            <w:vMerge w:val="restart"/>
          </w:tcPr>
          <w:p>
            <w:pPr>
              <w:jc w:val="center"/>
              <w:ind w:right="200"/>
              <w:spacing w:after="0"/>
              <w:rPr>
                <w:sz w:val="20"/>
                <w:szCs w:val="20"/>
                <w:color w:val="auto"/>
              </w:rPr>
            </w:pPr>
            <w:r>
              <w:rPr>
                <w:rFonts w:ascii="Arial" w:cs="Arial" w:eastAsia="Arial" w:hAnsi="Arial"/>
                <w:sz w:val="20"/>
                <w:szCs w:val="20"/>
                <w:color w:val="auto"/>
                <w:w w:val="88"/>
              </w:rPr>
              <w:t>Derivatives not designated as</w:t>
            </w:r>
          </w:p>
        </w:tc>
        <w:tc>
          <w:tcPr>
            <w:tcW w:w="3900" w:type="dxa"/>
            <w:vAlign w:val="bottom"/>
            <w:gridSpan w:val="2"/>
            <w:vMerge w:val="restart"/>
          </w:tcPr>
          <w:p>
            <w:pPr>
              <w:jc w:val="center"/>
              <w:ind w:right="220"/>
              <w:spacing w:after="0"/>
              <w:rPr>
                <w:sz w:val="20"/>
                <w:szCs w:val="20"/>
                <w:color w:val="auto"/>
              </w:rPr>
            </w:pPr>
            <w:r>
              <w:rPr>
                <w:rFonts w:ascii="Arial" w:cs="Arial" w:eastAsia="Arial" w:hAnsi="Arial"/>
                <w:sz w:val="20"/>
                <w:szCs w:val="20"/>
                <w:color w:val="auto"/>
                <w:w w:val="93"/>
              </w:rPr>
              <w:t>Location of gain</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780"/>
              <w:spacing w:after="0" w:line="223" w:lineRule="exact"/>
              <w:rPr>
                <w:sz w:val="20"/>
                <w:szCs w:val="20"/>
                <w:color w:val="auto"/>
              </w:rPr>
            </w:pPr>
            <w:r>
              <w:rPr>
                <w:rFonts w:ascii="Arial" w:cs="Arial" w:eastAsia="Arial" w:hAnsi="Arial"/>
                <w:sz w:val="20"/>
                <w:szCs w:val="20"/>
                <w:color w:val="auto"/>
                <w:w w:val="94"/>
              </w:rPr>
              <w:t>Year ended</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20" w:type="dxa"/>
            <w:vAlign w:val="bottom"/>
            <w:gridSpan w:val="2"/>
            <w:vMerge w:val="continue"/>
          </w:tcPr>
          <w:p>
            <w:pPr>
              <w:spacing w:after="0"/>
              <w:rPr>
                <w:sz w:val="18"/>
                <w:szCs w:val="18"/>
                <w:color w:val="auto"/>
              </w:rPr>
            </w:pPr>
          </w:p>
        </w:tc>
        <w:tc>
          <w:tcPr>
            <w:tcW w:w="39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hedging instruments under</w:t>
            </w: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90"/>
              </w:rPr>
              <w:t>recognized in income on</w:t>
            </w:r>
          </w:p>
        </w:tc>
        <w:tc>
          <w:tcPr>
            <w:tcW w:w="1760" w:type="dxa"/>
            <w:vAlign w:val="bottom"/>
            <w:gridSpan w:val="3"/>
          </w:tcPr>
          <w:p>
            <w:pPr>
              <w:jc w:val="center"/>
              <w:ind w:right="220"/>
              <w:spacing w:after="0"/>
              <w:rPr>
                <w:sz w:val="20"/>
                <w:szCs w:val="20"/>
                <w:color w:val="auto"/>
              </w:rPr>
            </w:pPr>
            <w:r>
              <w:rPr>
                <w:rFonts w:ascii="Arial" w:cs="Arial" w:eastAsia="Arial" w:hAnsi="Arial"/>
                <w:sz w:val="20"/>
                <w:szCs w:val="20"/>
                <w:color w:val="auto"/>
                <w:w w:val="87"/>
              </w:rPr>
              <w:t>December 31,</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w w:val="87"/>
              </w:rPr>
              <w:t>December 31,</w:t>
            </w:r>
          </w:p>
        </w:tc>
        <w:tc>
          <w:tcPr>
            <w:tcW w:w="0" w:type="dxa"/>
            <w:vAlign w:val="bottom"/>
          </w:tcPr>
          <w:p>
            <w:pPr>
              <w:spacing w:after="0"/>
              <w:rPr>
                <w:sz w:val="1"/>
                <w:szCs w:val="1"/>
                <w:color w:val="auto"/>
              </w:rPr>
            </w:pPr>
          </w:p>
        </w:tc>
      </w:tr>
      <w:tr>
        <w:trPr>
          <w:trHeight w:val="266"/>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20" w:type="dxa"/>
            <w:vAlign w:val="bottom"/>
          </w:tcPr>
          <w:p>
            <w:pPr>
              <w:spacing w:after="0"/>
              <w:rPr>
                <w:sz w:val="23"/>
                <w:szCs w:val="23"/>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2015</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345"/>
        </w:trPr>
        <w:tc>
          <w:tcPr>
            <w:tcW w:w="412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6"/>
              </w:rPr>
              <w:t>Other expense, net</w:t>
            </w: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2,503</w:t>
            </w:r>
          </w:p>
        </w:tc>
        <w:tc>
          <w:tcPr>
            <w:tcW w:w="220" w:type="dxa"/>
            <w:vAlign w:val="bottom"/>
          </w:tcPr>
          <w:p>
            <w:pPr>
              <w:spacing w:after="0"/>
              <w:rPr>
                <w:sz w:val="24"/>
                <w:szCs w:val="24"/>
                <w:color w:val="auto"/>
              </w:rPr>
            </w:pP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1,424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60" w:type="dxa"/>
            <w:vAlign w:val="bottom"/>
            <w:vMerge w:val="restart"/>
          </w:tcPr>
          <w:p>
            <w:pPr>
              <w:ind w:left="680"/>
              <w:spacing w:after="0"/>
              <w:rPr>
                <w:sz w:val="20"/>
                <w:szCs w:val="20"/>
                <w:color w:val="auto"/>
              </w:rPr>
            </w:pPr>
            <w:r>
              <w:rPr>
                <w:rFonts w:ascii="Arial" w:cs="Arial" w:eastAsia="Arial" w:hAnsi="Arial"/>
                <w:sz w:val="20"/>
                <w:szCs w:val="20"/>
                <w:color w:val="auto"/>
              </w:rPr>
              <w:t>Raw materials</w:t>
            </w:r>
          </w:p>
        </w:tc>
        <w:tc>
          <w:tcPr>
            <w:tcW w:w="37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2015</w:t>
            </w:r>
          </w:p>
        </w:tc>
        <w:tc>
          <w:tcPr>
            <w:tcW w:w="4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2014</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76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4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52,043</w:t>
            </w:r>
          </w:p>
        </w:tc>
        <w:tc>
          <w:tcPr>
            <w:tcW w:w="440" w:type="dxa"/>
            <w:vAlign w:val="bottom"/>
          </w:tcPr>
          <w:p>
            <w:pPr>
              <w:spacing w:after="0"/>
              <w:rPr>
                <w:sz w:val="17"/>
                <w:szCs w:val="17"/>
                <w:color w:val="auto"/>
              </w:rPr>
            </w:pPr>
          </w:p>
        </w:tc>
        <w:tc>
          <w:tcPr>
            <w:tcW w:w="44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59,938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760" w:type="dxa"/>
            <w:vAlign w:val="bottom"/>
          </w:tcPr>
          <w:p>
            <w:pPr>
              <w:ind w:left="680"/>
              <w:spacing w:after="0"/>
              <w:rPr>
                <w:sz w:val="20"/>
                <w:szCs w:val="20"/>
                <w:color w:val="auto"/>
              </w:rPr>
            </w:pPr>
            <w:r>
              <w:rPr>
                <w:rFonts w:ascii="Arial" w:cs="Arial" w:eastAsia="Arial" w:hAnsi="Arial"/>
                <w:sz w:val="20"/>
                <w:szCs w:val="20"/>
                <w:color w:val="auto"/>
              </w:rPr>
              <w:t>Finished goods</w:t>
            </w:r>
          </w:p>
        </w:tc>
        <w:tc>
          <w:tcPr>
            <w:tcW w:w="37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104,078</w:t>
            </w:r>
          </w:p>
        </w:tc>
        <w:tc>
          <w:tcPr>
            <w:tcW w:w="4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114,635</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156,121</w:t>
            </w:r>
          </w:p>
        </w:tc>
        <w:tc>
          <w:tcPr>
            <w:tcW w:w="440" w:type="dxa"/>
            <w:vAlign w:val="bottom"/>
          </w:tcPr>
          <w:p>
            <w:pPr>
              <w:spacing w:after="0"/>
              <w:rPr>
                <w:sz w:val="19"/>
                <w:szCs w:val="19"/>
                <w:color w:val="auto"/>
              </w:rPr>
            </w:pPr>
          </w:p>
        </w:tc>
        <w:tc>
          <w:tcPr>
            <w:tcW w:w="4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174,573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780" w:type="dxa"/>
            <w:vAlign w:val="bottom"/>
            <w:vMerge w:val="restart"/>
          </w:tcPr>
          <w:p>
            <w:pPr>
              <w:jc w:val="right"/>
              <w:ind w:right="1659"/>
              <w:spacing w:after="0"/>
              <w:rPr>
                <w:sz w:val="20"/>
                <w:szCs w:val="20"/>
                <w:color w:val="auto"/>
              </w:rPr>
            </w:pPr>
            <w:r>
              <w:rPr>
                <w:rFonts w:ascii="Arial" w:cs="Arial" w:eastAsia="Arial" w:hAnsi="Arial"/>
                <w:sz w:val="16"/>
                <w:szCs w:val="16"/>
                <w:color w:val="auto"/>
              </w:rPr>
              <w:t>99</w:t>
            </w: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7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76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 December 31:</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46"/>
        </w:trPr>
        <w:tc>
          <w:tcPr>
            <w:tcW w:w="698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2015</w:t>
            </w:r>
          </w:p>
        </w:tc>
        <w:tc>
          <w:tcPr>
            <w:tcW w:w="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206"/>
        </w:trPr>
        <w:tc>
          <w:tcPr>
            <w:tcW w:w="6980" w:type="dxa"/>
            <w:vAlign w:val="bottom"/>
            <w:vMerge w:val="continue"/>
          </w:tcPr>
          <w:p>
            <w:pPr>
              <w:spacing w:after="0"/>
              <w:rPr>
                <w:sz w:val="17"/>
                <w:szCs w:val="17"/>
                <w:color w:val="auto"/>
              </w:rPr>
            </w:pPr>
          </w:p>
        </w:tc>
        <w:tc>
          <w:tcPr>
            <w:tcW w:w="4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6,792</w:t>
            </w:r>
          </w:p>
        </w:tc>
        <w:tc>
          <w:tcPr>
            <w:tcW w:w="440" w:type="dxa"/>
            <w:vAlign w:val="bottom"/>
          </w:tcPr>
          <w:p>
            <w:pPr>
              <w:spacing w:after="0"/>
              <w:rPr>
                <w:sz w:val="17"/>
                <w:szCs w:val="17"/>
                <w:color w:val="auto"/>
              </w:rPr>
            </w:pP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6,792</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20"/>
                <w:szCs w:val="20"/>
                <w:color w:val="auto"/>
              </w:rPr>
              <w:t>Leasehold improvements</w:t>
            </w:r>
          </w:p>
        </w:tc>
        <w:tc>
          <w:tcPr>
            <w:tcW w:w="4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2,804</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2,796</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20"/>
                <w:szCs w:val="20"/>
                <w:color w:val="auto"/>
              </w:rPr>
              <w:t>Furniture and fixtures</w:t>
            </w:r>
          </w:p>
        </w:tc>
        <w:tc>
          <w:tcPr>
            <w:tcW w:w="4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3,551</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3,371</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4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11,080</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10,072</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20"/>
                <w:szCs w:val="20"/>
                <w:color w:val="auto"/>
              </w:rPr>
              <w:t>Computer software</w:t>
            </w:r>
          </w:p>
        </w:tc>
        <w:tc>
          <w:tcPr>
            <w:tcW w:w="4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2,530</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1,317</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20"/>
                <w:szCs w:val="20"/>
                <w:color w:val="auto"/>
              </w:rPr>
              <w:t>Equipment</w:t>
            </w:r>
          </w:p>
        </w:tc>
        <w:tc>
          <w:tcPr>
            <w:tcW w:w="4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93,465</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84,263</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20"/>
                <w:szCs w:val="20"/>
                <w:color w:val="auto"/>
              </w:rPr>
              <w:t>Building</w:t>
            </w:r>
          </w:p>
        </w:tc>
        <w:tc>
          <w:tcPr>
            <w:tcW w:w="4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39,848</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37,311</w:t>
            </w:r>
          </w:p>
        </w:tc>
        <w:tc>
          <w:tcPr>
            <w:tcW w:w="0" w:type="dxa"/>
            <w:vAlign w:val="bottom"/>
          </w:tcPr>
          <w:p>
            <w:pPr>
              <w:spacing w:after="0"/>
              <w:rPr>
                <w:sz w:val="1"/>
                <w:szCs w:val="1"/>
                <w:color w:val="auto"/>
              </w:rPr>
            </w:pPr>
          </w:p>
        </w:tc>
      </w:tr>
      <w:tr>
        <w:trPr>
          <w:trHeight w:val="246"/>
        </w:trPr>
        <w:tc>
          <w:tcPr>
            <w:tcW w:w="6980" w:type="dxa"/>
            <w:vAlign w:val="bottom"/>
          </w:tcPr>
          <w:p>
            <w:pPr>
              <w:spacing w:after="0"/>
              <w:rPr>
                <w:sz w:val="20"/>
                <w:szCs w:val="20"/>
                <w:color w:val="auto"/>
              </w:rPr>
            </w:pPr>
            <w:r>
              <w:rPr>
                <w:rFonts w:ascii="Arial" w:cs="Arial" w:eastAsia="Arial" w:hAnsi="Arial"/>
                <w:sz w:val="20"/>
                <w:szCs w:val="20"/>
                <w:color w:val="auto"/>
              </w:rPr>
              <w:t>Vehicles</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29,804</w:t>
            </w:r>
          </w:p>
        </w:tc>
        <w:tc>
          <w:tcPr>
            <w:tcW w:w="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27,813</w:t>
            </w:r>
          </w:p>
        </w:tc>
        <w:tc>
          <w:tcPr>
            <w:tcW w:w="0" w:type="dxa"/>
            <w:vAlign w:val="bottom"/>
          </w:tcPr>
          <w:p>
            <w:pPr>
              <w:spacing w:after="0"/>
              <w:rPr>
                <w:sz w:val="1"/>
                <w:szCs w:val="1"/>
                <w:color w:val="auto"/>
              </w:rPr>
            </w:pPr>
          </w:p>
        </w:tc>
      </w:tr>
      <w:tr>
        <w:trPr>
          <w:trHeight w:val="206"/>
        </w:trPr>
        <w:tc>
          <w:tcPr>
            <w:tcW w:w="6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189,874</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173,735</w:t>
            </w:r>
          </w:p>
        </w:tc>
        <w:tc>
          <w:tcPr>
            <w:tcW w:w="0" w:type="dxa"/>
            <w:vAlign w:val="bottom"/>
          </w:tcPr>
          <w:p>
            <w:pPr>
              <w:spacing w:after="0"/>
              <w:rPr>
                <w:sz w:val="1"/>
                <w:szCs w:val="1"/>
                <w:color w:val="auto"/>
              </w:rPr>
            </w:pPr>
          </w:p>
        </w:tc>
      </w:tr>
      <w:tr>
        <w:trPr>
          <w:trHeight w:val="246"/>
        </w:trPr>
        <w:tc>
          <w:tcPr>
            <w:tcW w:w="698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(92,520)</w:t>
            </w:r>
          </w:p>
        </w:tc>
        <w:tc>
          <w:tcPr>
            <w:tcW w:w="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(83,579)</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97,354</w:t>
            </w:r>
          </w:p>
        </w:tc>
        <w:tc>
          <w:tcPr>
            <w:tcW w:w="440" w:type="dxa"/>
            <w:vAlign w:val="bottom"/>
          </w:tcPr>
          <w:p>
            <w:pPr>
              <w:spacing w:after="0"/>
              <w:rPr>
                <w:sz w:val="19"/>
                <w:szCs w:val="19"/>
                <w:color w:val="auto"/>
              </w:rPr>
            </w:pPr>
          </w:p>
        </w:tc>
        <w:tc>
          <w:tcPr>
            <w:tcW w:w="4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90,156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GOODWILL AND OTHER INTANGIBLES ASSETS</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is a roll-forward of goodwill for the year ended December 31, 2015 by reportable segment:</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Finished</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60" w:type="dxa"/>
            <w:vAlign w:val="bottom"/>
            <w:vMerge w:val="restart"/>
          </w:tcPr>
          <w:p>
            <w:pPr>
              <w:spacing w:after="0"/>
              <w:rPr>
                <w:sz w:val="20"/>
                <w:szCs w:val="20"/>
                <w:color w:val="auto"/>
              </w:rPr>
            </w:pPr>
            <w:r>
              <w:rPr>
                <w:rFonts w:ascii="Arial" w:cs="Arial" w:eastAsia="Arial" w:hAnsi="Arial"/>
                <w:sz w:val="20"/>
                <w:szCs w:val="20"/>
                <w:color w:val="auto"/>
              </w:rPr>
              <w:t>Balance at December 31, 2014</w:t>
            </w:r>
          </w:p>
        </w:tc>
        <w:tc>
          <w:tcPr>
            <w:tcW w:w="36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22"/>
                <w:szCs w:val="22"/>
                <w:color w:val="auto"/>
              </w:rPr>
            </w:pP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w w:val="97"/>
              </w:rPr>
              <w:t>Concentrate</w:t>
            </w:r>
          </w:p>
        </w:tc>
        <w:tc>
          <w:tcPr>
            <w:tcW w:w="44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94"/>
              </w:rPr>
              <w:t>Total</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660" w:type="dxa"/>
            <w:vAlign w:val="bottom"/>
            <w:vMerge w:val="continue"/>
          </w:tcPr>
          <w:p>
            <w:pPr>
              <w:spacing w:after="0"/>
              <w:rPr>
                <w:sz w:val="17"/>
                <w:szCs w:val="17"/>
                <w:color w:val="auto"/>
              </w:rPr>
            </w:pPr>
          </w:p>
        </w:tc>
        <w:tc>
          <w:tcPr>
            <w:tcW w:w="3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45"/>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620" w:type="dxa"/>
            <w:vAlign w:val="bottom"/>
            <w:tcBorders>
              <w:top w:val="single" w:sz="8" w:color="auto"/>
            </w:tcBorders>
            <w:gridSpan w:val="2"/>
          </w:tcPr>
          <w:p>
            <w:pPr>
              <w:jc w:val="right"/>
              <w:ind w:right="283"/>
              <w:spacing w:after="0" w:line="207"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44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5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660" w:type="dxa"/>
            <w:vAlign w:val="bottom"/>
          </w:tcPr>
          <w:p>
            <w:pPr>
              <w:spacing w:after="0"/>
              <w:rPr>
                <w:sz w:val="20"/>
                <w:szCs w:val="20"/>
                <w:color w:val="auto"/>
              </w:rPr>
            </w:pPr>
            <w:r>
              <w:rPr>
                <w:rFonts w:ascii="Arial" w:cs="Arial" w:eastAsia="Arial" w:hAnsi="Arial"/>
                <w:sz w:val="20"/>
                <w:szCs w:val="20"/>
                <w:color w:val="auto"/>
              </w:rPr>
              <w:t>Acquisitions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20"/>
                <w:szCs w:val="20"/>
                <w:color w:val="auto"/>
              </w:rPr>
              <w:t>641,716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637,999</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color w:val="auto"/>
              </w:rPr>
              <w:t>1,279,715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line="220" w:lineRule="exact"/>
              <w:rPr>
                <w:sz w:val="20"/>
                <w:szCs w:val="20"/>
                <w:color w:val="auto"/>
              </w:rPr>
            </w:pPr>
            <w:r>
              <w:rPr>
                <w:rFonts w:ascii="Arial" w:cs="Arial" w:eastAsia="Arial" w:hAnsi="Arial"/>
                <w:sz w:val="20"/>
                <w:szCs w:val="20"/>
                <w:color w:val="auto"/>
              </w:rPr>
              <w:t>Balance at December 31, 2015</w:t>
            </w: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20"/>
                <w:szCs w:val="20"/>
                <w:color w:val="auto"/>
              </w:rPr>
              <w:t>641,716</w:t>
            </w:r>
          </w:p>
        </w:tc>
        <w:tc>
          <w:tcPr>
            <w:tcW w:w="22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637,999</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color w:val="auto"/>
              </w:rPr>
              <w:t>1,279,715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20"/>
                <w:szCs w:val="20"/>
                <w:color w:val="auto"/>
              </w:rPr>
              <w:t>Intangible assets consist of the following at:</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20"/>
                <w:szCs w:val="20"/>
                <w:color w:val="auto"/>
              </w:rPr>
              <w:t>December 31,</w:t>
            </w:r>
          </w:p>
        </w:tc>
        <w:tc>
          <w:tcPr>
            <w:tcW w:w="440" w:type="dxa"/>
            <w:vAlign w:val="bottom"/>
          </w:tcPr>
          <w:p>
            <w:pPr>
              <w:spacing w:after="0"/>
              <w:rPr>
                <w:sz w:val="24"/>
                <w:szCs w:val="24"/>
                <w:color w:val="auto"/>
              </w:rPr>
            </w:pPr>
          </w:p>
        </w:tc>
        <w:tc>
          <w:tcPr>
            <w:tcW w:w="1540" w:type="dxa"/>
            <w:vAlign w:val="bottom"/>
            <w:gridSpan w:val="3"/>
          </w:tcPr>
          <w:p>
            <w:pPr>
              <w:ind w:left="22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66"/>
        </w:trPr>
        <w:tc>
          <w:tcPr>
            <w:tcW w:w="466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2015</w:t>
            </w:r>
          </w:p>
        </w:tc>
        <w:tc>
          <w:tcPr>
            <w:tcW w:w="22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2014</w:t>
            </w: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ind w:right="43"/>
              <w:spacing w:after="0" w:line="207" w:lineRule="exact"/>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40"/>
              <w:spacing w:after="0" w:line="207" w:lineRule="exact"/>
              <w:rPr>
                <w:sz w:val="20"/>
                <w:szCs w:val="20"/>
                <w:color w:val="auto"/>
              </w:rPr>
            </w:pPr>
            <w:r>
              <w:rPr>
                <w:rFonts w:ascii="Arial" w:cs="Arial" w:eastAsia="Arial" w:hAnsi="Arial"/>
                <w:sz w:val="20"/>
                <w:szCs w:val="20"/>
                <w:color w:val="auto"/>
              </w:rPr>
              <w:t>35,263</w:t>
            </w:r>
          </w:p>
        </w:tc>
        <w:tc>
          <w:tcPr>
            <w:tcW w:w="440" w:type="dxa"/>
            <w:vAlign w:val="bottom"/>
          </w:tcPr>
          <w:p>
            <w:pPr>
              <w:spacing w:after="0"/>
              <w:rPr>
                <w:sz w:val="17"/>
                <w:szCs w:val="17"/>
                <w:color w:val="auto"/>
              </w:rPr>
            </w:pPr>
          </w:p>
        </w:tc>
        <w:tc>
          <w:tcPr>
            <w:tcW w:w="540" w:type="dxa"/>
            <w:vAlign w:val="bottom"/>
          </w:tcPr>
          <w:p>
            <w:pPr>
              <w:ind w:left="160"/>
              <w:spacing w:after="0" w:line="207" w:lineRule="exact"/>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140"/>
              <w:spacing w:after="0" w:line="207" w:lineRule="exact"/>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(3,899)</w:t>
            </w:r>
          </w:p>
        </w:tc>
        <w:tc>
          <w:tcPr>
            <w:tcW w:w="4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06"/>
        </w:trPr>
        <w:tc>
          <w:tcPr>
            <w:tcW w:w="4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ind w:right="140"/>
              <w:spacing w:after="0" w:line="207" w:lineRule="exact"/>
              <w:rPr>
                <w:sz w:val="20"/>
                <w:szCs w:val="20"/>
                <w:color w:val="auto"/>
              </w:rPr>
            </w:pPr>
            <w:r>
              <w:rPr>
                <w:rFonts w:ascii="Arial" w:cs="Arial" w:eastAsia="Arial" w:hAnsi="Arial"/>
                <w:sz w:val="20"/>
                <w:szCs w:val="20"/>
                <w:color w:val="auto"/>
              </w:rPr>
              <w:t>31,364</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2"/>
          </w:tcPr>
          <w:p>
            <w:pPr>
              <w:jc w:val="right"/>
              <w:ind w:right="140"/>
              <w:spacing w:after="0" w:line="207" w:lineRule="exact"/>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396,622</w:t>
            </w:r>
          </w:p>
        </w:tc>
        <w:tc>
          <w:tcPr>
            <w:tcW w:w="4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50,565</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43"/>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gridSpan w:val="2"/>
          </w:tcPr>
          <w:p>
            <w:pPr>
              <w:jc w:val="right"/>
              <w:ind w:right="140"/>
              <w:spacing w:after="0" w:line="223" w:lineRule="exact"/>
              <w:rPr>
                <w:sz w:val="20"/>
                <w:szCs w:val="20"/>
                <w:color w:val="auto"/>
              </w:rPr>
            </w:pPr>
            <w:r>
              <w:rPr>
                <w:rFonts w:ascii="Arial" w:cs="Arial" w:eastAsia="Arial" w:hAnsi="Arial"/>
                <w:sz w:val="20"/>
                <w:szCs w:val="20"/>
                <w:color w:val="auto"/>
              </w:rPr>
              <w:t>427,986</w:t>
            </w:r>
          </w:p>
        </w:tc>
        <w:tc>
          <w:tcPr>
            <w:tcW w:w="440" w:type="dxa"/>
            <w:vAlign w:val="bottom"/>
          </w:tcPr>
          <w:p>
            <w:pPr>
              <w:spacing w:after="0"/>
              <w:rPr>
                <w:sz w:val="19"/>
                <w:szCs w:val="19"/>
                <w:color w:val="auto"/>
              </w:rPr>
            </w:pPr>
          </w:p>
        </w:tc>
        <w:tc>
          <w:tcPr>
            <w:tcW w:w="54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gridSpan w:val="2"/>
          </w:tcPr>
          <w:p>
            <w:pPr>
              <w:jc w:val="right"/>
              <w:ind w:right="140"/>
              <w:spacing w:after="0" w:line="223" w:lineRule="exact"/>
              <w:rPr>
                <w:sz w:val="20"/>
                <w:szCs w:val="20"/>
                <w:color w:val="auto"/>
              </w:rPr>
            </w:pPr>
            <w:r>
              <w:rPr>
                <w:rFonts w:ascii="Arial" w:cs="Arial" w:eastAsia="Arial" w:hAnsi="Arial"/>
                <w:sz w:val="20"/>
                <w:szCs w:val="20"/>
                <w:color w:val="auto"/>
              </w:rPr>
              <w:t>50,748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During the fourth quarter of 2015, the Company finalized its goodwill allocation by reporting unit in connection with the final TCCC Transaction purchase price allocation.</w:t>
      </w:r>
    </w:p>
    <w:p>
      <w:pPr>
        <w:sectPr>
          <w:pgSz w:w="11900" w:h="16838" w:orient="portrait"/>
          <w:cols w:equalWidth="0" w:num="1">
            <w:col w:w="11460"/>
          </w:cols>
          <w:pgMar w:left="240" w:top="122" w:right="199" w:bottom="0" w:gutter="0" w:footer="0" w:header="0"/>
        </w:sectPr>
      </w:pPr>
    </w:p>
    <w:bookmarkStart w:id="66" w:name="page67"/>
    <w:bookmarkEnd w:id="66"/>
    <w:p>
      <w:pPr>
        <w:jc w:val="both"/>
        <w:ind w:firstLine="648"/>
        <w:spacing w:after="0" w:line="278" w:lineRule="auto"/>
        <w:rPr>
          <w:sz w:val="20"/>
          <w:szCs w:val="20"/>
          <w:color w:val="auto"/>
        </w:rPr>
      </w:pPr>
      <w:r>
        <w:rPr>
          <w:rFonts w:ascii="Arial" w:cs="Arial" w:eastAsia="Arial" w:hAnsi="Arial"/>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5 years. Total amortization expense recorded was $3.9 million, $0.4 million and $0.05 million for the years ended December 31, 2015, 2014 and 2013, respectively. As of December 31, 2015, future estimated amortization expense related to amortizing intangibles through the year ending December 31, 2019 is approximately $7.0 million per year and $3.0 million for the year ending December 31,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At December 31, 2015, non-amortizing intangibles primarily consist of indefinite-lived tradenames. At December 31, 2014, $18.0 million of non-amortizing intangibles and $0.1 million of amortizing intangibles (net of accumulated amortization) divested under the TCCC Transaction are included in intangibles held-for-sale in the accompanying consolidated balance sheet at December 31, 2014.</w:t>
      </w:r>
    </w:p>
    <w:p>
      <w:pPr>
        <w:spacing w:after="0" w:line="200" w:lineRule="exact"/>
        <w:rPr>
          <w:sz w:val="20"/>
          <w:szCs w:val="20"/>
          <w:color w:val="auto"/>
        </w:rPr>
      </w:pPr>
    </w:p>
    <w:p>
      <w:pPr>
        <w:spacing w:after="0" w:line="213"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As part of the TCCC Transaction, the amended distribution coordination agreements entered into with TCCC provided for the transition of third parties’ rights to distribute the Company’s products in most territories in the U.S. and Canada to members of TCCC’s distribution network, which consists of owned or controlled bottlers/distributors and independent bottlers/distributors. In February 2015, in accordance with its then existing agreements with certain affected third-party distributors, the Company sent notices of termination to the applicable affected third-party distributors in the U.S., providing for the termination of their respective distribution agreements. The associated distribution rights relating to such terminated distribution agreements were transitioned to the TCCC distribution network as of the effective date of termination of the affected third-party distributors’ rights in the applicable territories. As of February 29, 2016, distribution rights in the U.S. representing approximately 89% of the target case sales (see Note 2) have been transitioned to TCCC’s distribution network.</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accordance with ASC No. 420 “Exit or Disposal Cost Obligations”, the Company expenses distributor termination costs in the period in which the written notification of termination occurs. As a result, the Company incurred termination costs of $224.0 million, ($0.2) million and $10.8 million for the years ended December 31, 2015, 2014 and 2013, respectively. Such termination costs have been expensed in full and are included in operating expenses for the years ended December 31, 2015, 2014 and 2013.</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$50.5 million, $7.8 million and $8.4 million for the years ended December 31, 2015, 2014 and 2013, respectively. Included in the $50.5 million of revenue recognized for the year ended December 31, 2015 was $39.8 million related to the accelerated amortization of the deferred revenue balances associated with certain of the Company’s prior distributors who were sent notices of termination during the first quarter of 2015, as described above.</w:t>
      </w:r>
    </w:p>
    <w:p>
      <w:pPr>
        <w:spacing w:after="0" w:line="193"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DEBT</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 entered into a credit facility with Comerica Bank (“Comerica”) consisting of a revolving line of credit, which was amended in April 2015, under which the Company may borrow up to $10.0 million of non-collateralized debt. The revolving line of credit is effective through June 1, 2017. Interest on borrowings under the line of credit is based on Comerica’s base (prime) rate minus 1% to 1.5%, or London Interbank Offered Rates plus an additional percentage of 1.25% to 1.75%, depending upon certain financial ratios maintained by the Company. The Company had no outstanding borrowings on this line of credit at December 31, 2015.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2015.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debt of $0.8 million and $0.4 million at December 31, 2015 and 2014, respectively, consisted of capital leases, collateralized by vehicles, payable over 12 months in monthly installments at various effective interest rates, with final payments ending on or before December 31, 2016.</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December 31, 2015 and 2014, the assets acquired under capital leases had a net book value of $3.6 million and $3.7 million, net of accumulated depreciation of $4.4 million and $3.5 million, respectively.</w:t>
      </w:r>
    </w:p>
    <w:p>
      <w:pPr>
        <w:sectPr>
          <w:pgSz w:w="11900" w:h="16838" w:orient="portrait"/>
          <w:cols w:equalWidth="0" w:num="1">
            <w:col w:w="11420"/>
          </w:cols>
          <w:pgMar w:left="240" w:top="352" w:right="239" w:bottom="0" w:gutter="0" w:footer="0" w:header="0"/>
        </w:sectPr>
      </w:pPr>
    </w:p>
    <w:bookmarkStart w:id="67" w:name="page68"/>
    <w:bookmarkEnd w:id="67"/>
    <w:p>
      <w:pPr>
        <w:ind w:firstLine="648"/>
        <w:spacing w:after="0" w:line="260" w:lineRule="auto"/>
        <w:rPr>
          <w:sz w:val="20"/>
          <w:szCs w:val="20"/>
          <w:color w:val="auto"/>
        </w:rPr>
      </w:pPr>
      <w:r>
        <w:rPr>
          <w:rFonts w:ascii="Arial" w:cs="Arial" w:eastAsia="Arial" w:hAnsi="Arial"/>
          <w:sz w:val="20"/>
          <w:szCs w:val="20"/>
          <w:color w:val="auto"/>
        </w:rPr>
        <w:t>Interest expense for capital lease obligations amounted to $0.03 million, $0.03 million and $0.05 million for the years ended December 31, 2015, 2014 and 2013, respectively.</w:t>
      </w:r>
    </w:p>
    <w:p>
      <w:pPr>
        <w:spacing w:after="0" w:line="190" w:lineRule="exact"/>
        <w:rPr>
          <w:sz w:val="20"/>
          <w:szCs w:val="20"/>
          <w:color w:val="auto"/>
        </w:rPr>
      </w:pPr>
    </w:p>
    <w:p>
      <w:pPr>
        <w:ind w:left="620" w:hanging="612"/>
        <w:spacing w:after="0"/>
        <w:tabs>
          <w:tab w:leader="none" w:pos="6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is obligated under various non-cancellable lease agreements providing for office space, warehouse space, and automobiles that expire at various dates through the year 2023.</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Rent expense under operating leases was $10.7 million, $6.8 million and $7.4 million for the years ended December 31, 2015, 2014 and 2013,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rental payments at December 31, 2015 under the operating leases referred to above are as follows:</w:t>
      </w:r>
    </w:p>
    <w:p>
      <w:pPr>
        <w:spacing w:after="0" w:line="224" w:lineRule="exact"/>
        <w:rPr>
          <w:sz w:val="20"/>
          <w:szCs w:val="20"/>
          <w:color w:val="auto"/>
        </w:rPr>
      </w:pPr>
    </w:p>
    <w:tbl>
      <w:tblPr>
        <w:tblLayout w:type="fixed"/>
        <w:tblInd w:w="700" w:type="dxa"/>
        <w:tblCellMar>
          <w:top w:w="0" w:type="dxa"/>
          <w:left w:w="0" w:type="dxa"/>
          <w:bottom w:w="0" w:type="dxa"/>
          <w:right w:w="0" w:type="dxa"/>
        </w:tblCellMar>
      </w:tblPr>
      <w:tr>
        <w:trPr>
          <w:trHeight w:val="240"/>
        </w:trPr>
        <w:tc>
          <w:tcPr>
            <w:tcW w:w="426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8"/>
        </w:trPr>
        <w:tc>
          <w:tcPr>
            <w:tcW w:w="4260" w:type="dxa"/>
            <w:vAlign w:val="bottom"/>
          </w:tcPr>
          <w:p>
            <w:pPr>
              <w:spacing w:after="0"/>
              <w:rPr>
                <w:sz w:val="20"/>
                <w:szCs w:val="20"/>
                <w:color w:val="auto"/>
              </w:rPr>
            </w:pPr>
            <w:r>
              <w:rPr>
                <w:rFonts w:ascii="Arial" w:cs="Arial" w:eastAsia="Arial" w:hAnsi="Arial"/>
                <w:sz w:val="19"/>
                <w:szCs w:val="19"/>
                <w:color w:val="auto"/>
              </w:rPr>
              <w:t>2016</w:t>
            </w:r>
          </w:p>
        </w:tc>
        <w:tc>
          <w:tcPr>
            <w:tcW w:w="46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860" w:type="dxa"/>
            <w:vAlign w:val="bottom"/>
          </w:tcPr>
          <w:p>
            <w:pPr>
              <w:jc w:val="right"/>
              <w:ind w:right="5"/>
              <w:spacing w:after="0"/>
              <w:rPr>
                <w:sz w:val="20"/>
                <w:szCs w:val="20"/>
                <w:color w:val="auto"/>
              </w:rPr>
            </w:pPr>
            <w:r>
              <w:rPr>
                <w:rFonts w:ascii="Arial" w:cs="Arial" w:eastAsia="Arial" w:hAnsi="Arial"/>
                <w:sz w:val="19"/>
                <w:szCs w:val="19"/>
                <w:color w:val="auto"/>
              </w:rPr>
              <w:t>7,202</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9"/>
                <w:szCs w:val="19"/>
                <w:color w:val="auto"/>
              </w:rPr>
              <w:t>2017</w:t>
            </w:r>
          </w:p>
        </w:tc>
        <w:tc>
          <w:tcPr>
            <w:tcW w:w="460" w:type="dxa"/>
            <w:vAlign w:val="bottom"/>
          </w:tcPr>
          <w:p>
            <w:pPr>
              <w:spacing w:after="0"/>
              <w:rPr>
                <w:sz w:val="18"/>
                <w:szCs w:val="18"/>
                <w:color w:val="auto"/>
              </w:rPr>
            </w:pPr>
          </w:p>
        </w:tc>
        <w:tc>
          <w:tcPr>
            <w:tcW w:w="8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1,430</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9"/>
                <w:szCs w:val="19"/>
                <w:color w:val="auto"/>
              </w:rPr>
              <w:t>2018</w:t>
            </w:r>
          </w:p>
        </w:tc>
        <w:tc>
          <w:tcPr>
            <w:tcW w:w="460" w:type="dxa"/>
            <w:vAlign w:val="bottom"/>
          </w:tcPr>
          <w:p>
            <w:pPr>
              <w:spacing w:after="0"/>
              <w:rPr>
                <w:sz w:val="18"/>
                <w:szCs w:val="18"/>
                <w:color w:val="auto"/>
              </w:rPr>
            </w:pPr>
          </w:p>
        </w:tc>
        <w:tc>
          <w:tcPr>
            <w:tcW w:w="860" w:type="dxa"/>
            <w:vAlign w:val="bottom"/>
          </w:tcPr>
          <w:p>
            <w:pPr>
              <w:jc w:val="right"/>
              <w:ind w:right="5"/>
              <w:spacing w:after="0" w:line="216" w:lineRule="exact"/>
              <w:rPr>
                <w:sz w:val="20"/>
                <w:szCs w:val="20"/>
                <w:color w:val="auto"/>
              </w:rPr>
            </w:pPr>
            <w:r>
              <w:rPr>
                <w:rFonts w:ascii="Arial" w:cs="Arial" w:eastAsia="Arial" w:hAnsi="Arial"/>
                <w:sz w:val="19"/>
                <w:szCs w:val="19"/>
                <w:color w:val="auto"/>
              </w:rPr>
              <w:t>515</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9"/>
                <w:szCs w:val="19"/>
                <w:color w:val="auto"/>
              </w:rPr>
              <w:t>2019</w:t>
            </w:r>
          </w:p>
        </w:tc>
        <w:tc>
          <w:tcPr>
            <w:tcW w:w="460" w:type="dxa"/>
            <w:vAlign w:val="bottom"/>
          </w:tcPr>
          <w:p>
            <w:pPr>
              <w:spacing w:after="0"/>
              <w:rPr>
                <w:sz w:val="18"/>
                <w:szCs w:val="18"/>
                <w:color w:val="auto"/>
              </w:rPr>
            </w:pPr>
          </w:p>
        </w:tc>
        <w:tc>
          <w:tcPr>
            <w:tcW w:w="860" w:type="dxa"/>
            <w:vAlign w:val="bottom"/>
          </w:tcPr>
          <w:p>
            <w:pPr>
              <w:jc w:val="right"/>
              <w:ind w:right="5"/>
              <w:spacing w:after="0" w:line="216" w:lineRule="exact"/>
              <w:rPr>
                <w:sz w:val="20"/>
                <w:szCs w:val="20"/>
                <w:color w:val="auto"/>
              </w:rPr>
            </w:pPr>
            <w:r>
              <w:rPr>
                <w:rFonts w:ascii="Arial" w:cs="Arial" w:eastAsia="Arial" w:hAnsi="Arial"/>
                <w:sz w:val="19"/>
                <w:szCs w:val="19"/>
                <w:color w:val="auto"/>
              </w:rPr>
              <w:t>460</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9"/>
                <w:szCs w:val="19"/>
                <w:color w:val="auto"/>
              </w:rPr>
              <w:t>2020</w:t>
            </w:r>
          </w:p>
        </w:tc>
        <w:tc>
          <w:tcPr>
            <w:tcW w:w="460" w:type="dxa"/>
            <w:vAlign w:val="bottom"/>
          </w:tcPr>
          <w:p>
            <w:pPr>
              <w:spacing w:after="0"/>
              <w:rPr>
                <w:sz w:val="18"/>
                <w:szCs w:val="18"/>
                <w:color w:val="auto"/>
              </w:rPr>
            </w:pPr>
          </w:p>
        </w:tc>
        <w:tc>
          <w:tcPr>
            <w:tcW w:w="860" w:type="dxa"/>
            <w:vAlign w:val="bottom"/>
          </w:tcPr>
          <w:p>
            <w:pPr>
              <w:jc w:val="right"/>
              <w:ind w:right="5"/>
              <w:spacing w:after="0" w:line="216" w:lineRule="exact"/>
              <w:rPr>
                <w:sz w:val="20"/>
                <w:szCs w:val="20"/>
                <w:color w:val="auto"/>
              </w:rPr>
            </w:pPr>
            <w:r>
              <w:rPr>
                <w:rFonts w:ascii="Arial" w:cs="Arial" w:eastAsia="Arial" w:hAnsi="Arial"/>
                <w:sz w:val="19"/>
                <w:szCs w:val="19"/>
                <w:color w:val="auto"/>
              </w:rPr>
              <w:t>378</w:t>
            </w:r>
          </w:p>
        </w:tc>
      </w:tr>
      <w:tr>
        <w:trPr>
          <w:trHeight w:val="238"/>
        </w:trPr>
        <w:tc>
          <w:tcPr>
            <w:tcW w:w="4260" w:type="dxa"/>
            <w:vAlign w:val="bottom"/>
          </w:tcPr>
          <w:p>
            <w:pPr>
              <w:spacing w:after="0"/>
              <w:rPr>
                <w:sz w:val="20"/>
                <w:szCs w:val="20"/>
                <w:color w:val="auto"/>
              </w:rPr>
            </w:pPr>
            <w:r>
              <w:rPr>
                <w:rFonts w:ascii="Arial" w:cs="Arial" w:eastAsia="Arial" w:hAnsi="Arial"/>
                <w:sz w:val="19"/>
                <w:szCs w:val="19"/>
                <w:color w:val="auto"/>
              </w:rPr>
              <w:t>2021 and thereafter</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740</w:t>
            </w:r>
          </w:p>
        </w:tc>
      </w:tr>
      <w:tr>
        <w:trPr>
          <w:trHeight w:val="210"/>
        </w:trPr>
        <w:tc>
          <w:tcPr>
            <w:tcW w:w="4260" w:type="dxa"/>
            <w:vAlign w:val="bottom"/>
          </w:tcPr>
          <w:p>
            <w:pPr>
              <w:spacing w:after="0"/>
              <w:rPr>
                <w:sz w:val="18"/>
                <w:szCs w:val="18"/>
                <w:color w:val="auto"/>
              </w:rPr>
            </w:pPr>
          </w:p>
        </w:tc>
        <w:tc>
          <w:tcPr>
            <w:tcW w:w="460" w:type="dxa"/>
            <w:vAlign w:val="bottom"/>
            <w:tcBorders>
              <w:bottom w:val="single" w:sz="8" w:color="auto"/>
            </w:tcBorders>
          </w:tcPr>
          <w:p>
            <w:pPr>
              <w:jc w:val="right"/>
              <w:ind w:right="165"/>
              <w:spacing w:after="0" w:line="210" w:lineRule="exact"/>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10,725</w:t>
            </w:r>
          </w:p>
        </w:tc>
      </w:tr>
      <w:tr>
        <w:trPr>
          <w:trHeight w:val="20"/>
        </w:trPr>
        <w:tc>
          <w:tcPr>
            <w:tcW w:w="4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Contractual obligations </w:t>
      </w:r>
      <w:r>
        <w:rPr>
          <w:rFonts w:ascii="Arial" w:cs="Arial" w:eastAsia="Arial" w:hAnsi="Arial"/>
          <w:sz w:val="20"/>
          <w:szCs w:val="20"/>
          <w:color w:val="auto"/>
        </w:rPr>
        <w:t>– The Company has the following contractual obligations related primarily to sponsorships and other</w:t>
      </w:r>
      <w:r>
        <w:rPr>
          <w:rFonts w:ascii="Arial" w:cs="Arial" w:eastAsia="Arial" w:hAnsi="Arial"/>
          <w:sz w:val="20"/>
          <w:szCs w:val="20"/>
          <w:i w:val="1"/>
          <w:iCs w:val="1"/>
          <w:color w:val="auto"/>
        </w:rPr>
        <w:t xml:space="preserve"> </w:t>
      </w:r>
      <w:r>
        <w:rPr>
          <w:rFonts w:ascii="Arial" w:cs="Arial" w:eastAsia="Arial" w:hAnsi="Arial"/>
          <w:sz w:val="20"/>
          <w:szCs w:val="20"/>
          <w:color w:val="auto"/>
        </w:rPr>
        <w:t>commitments as of December 31, 2015:</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240"/>
        </w:trPr>
        <w:tc>
          <w:tcPr>
            <w:tcW w:w="426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08"/>
        </w:trPr>
        <w:tc>
          <w:tcPr>
            <w:tcW w:w="4260" w:type="dxa"/>
            <w:vAlign w:val="bottom"/>
          </w:tcPr>
          <w:p>
            <w:pPr>
              <w:spacing w:after="0"/>
              <w:rPr>
                <w:sz w:val="20"/>
                <w:szCs w:val="20"/>
                <w:color w:val="auto"/>
              </w:rPr>
            </w:pPr>
            <w:r>
              <w:rPr>
                <w:rFonts w:ascii="Arial" w:cs="Arial" w:eastAsia="Arial" w:hAnsi="Arial"/>
                <w:sz w:val="19"/>
                <w:szCs w:val="19"/>
                <w:color w:val="auto"/>
              </w:rPr>
              <w:t>2016</w:t>
            </w:r>
          </w:p>
        </w:tc>
        <w:tc>
          <w:tcPr>
            <w:tcW w:w="42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5"/>
              <w:spacing w:after="0"/>
              <w:rPr>
                <w:sz w:val="20"/>
                <w:szCs w:val="20"/>
                <w:color w:val="auto"/>
              </w:rPr>
            </w:pPr>
            <w:r>
              <w:rPr>
                <w:rFonts w:ascii="Arial" w:cs="Arial" w:eastAsia="Arial" w:hAnsi="Arial"/>
                <w:sz w:val="19"/>
                <w:szCs w:val="19"/>
                <w:color w:val="auto"/>
              </w:rPr>
              <w:t>67,356</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9"/>
                <w:szCs w:val="19"/>
                <w:color w:val="auto"/>
              </w:rPr>
              <w:t>2017</w:t>
            </w:r>
          </w:p>
        </w:tc>
        <w:tc>
          <w:tcPr>
            <w:tcW w:w="420" w:type="dxa"/>
            <w:vAlign w:val="bottom"/>
          </w:tcPr>
          <w:p>
            <w:pPr>
              <w:spacing w:after="0"/>
              <w:rPr>
                <w:sz w:val="18"/>
                <w:szCs w:val="18"/>
                <w:color w:val="auto"/>
              </w:rPr>
            </w:pPr>
          </w:p>
        </w:tc>
        <w:tc>
          <w:tcPr>
            <w:tcW w:w="900" w:type="dxa"/>
            <w:vAlign w:val="bottom"/>
          </w:tcPr>
          <w:p>
            <w:pPr>
              <w:jc w:val="right"/>
              <w:ind w:right="5"/>
              <w:spacing w:after="0" w:line="216" w:lineRule="exact"/>
              <w:rPr>
                <w:sz w:val="20"/>
                <w:szCs w:val="20"/>
                <w:color w:val="auto"/>
              </w:rPr>
            </w:pPr>
            <w:r>
              <w:rPr>
                <w:rFonts w:ascii="Arial" w:cs="Arial" w:eastAsia="Arial" w:hAnsi="Arial"/>
                <w:sz w:val="19"/>
                <w:szCs w:val="19"/>
                <w:color w:val="auto"/>
              </w:rPr>
              <w:t>39,388</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9"/>
                <w:szCs w:val="19"/>
                <w:color w:val="auto"/>
              </w:rPr>
              <w:t>2018</w:t>
            </w:r>
          </w:p>
        </w:tc>
        <w:tc>
          <w:tcPr>
            <w:tcW w:w="420" w:type="dxa"/>
            <w:vAlign w:val="bottom"/>
          </w:tcPr>
          <w:p>
            <w:pPr>
              <w:spacing w:after="0"/>
              <w:rPr>
                <w:sz w:val="18"/>
                <w:szCs w:val="18"/>
                <w:color w:val="auto"/>
              </w:rPr>
            </w:pPr>
          </w:p>
        </w:tc>
        <w:tc>
          <w:tcPr>
            <w:tcW w:w="900" w:type="dxa"/>
            <w:vAlign w:val="bottom"/>
          </w:tcPr>
          <w:p>
            <w:pPr>
              <w:jc w:val="right"/>
              <w:ind w:right="5"/>
              <w:spacing w:after="0" w:line="216" w:lineRule="exact"/>
              <w:rPr>
                <w:sz w:val="20"/>
                <w:szCs w:val="20"/>
                <w:color w:val="auto"/>
              </w:rPr>
            </w:pPr>
            <w:r>
              <w:rPr>
                <w:rFonts w:ascii="Arial" w:cs="Arial" w:eastAsia="Arial" w:hAnsi="Arial"/>
                <w:sz w:val="19"/>
                <w:szCs w:val="19"/>
                <w:color w:val="auto"/>
              </w:rPr>
              <w:t>4,811</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9"/>
                <w:szCs w:val="19"/>
                <w:color w:val="auto"/>
              </w:rPr>
              <w:t>2019</w:t>
            </w:r>
          </w:p>
        </w:tc>
        <w:tc>
          <w:tcPr>
            <w:tcW w:w="420" w:type="dxa"/>
            <w:vAlign w:val="bottom"/>
          </w:tcPr>
          <w:p>
            <w:pPr>
              <w:spacing w:after="0"/>
              <w:rPr>
                <w:sz w:val="18"/>
                <w:szCs w:val="18"/>
                <w:color w:val="auto"/>
              </w:rPr>
            </w:pPr>
          </w:p>
        </w:tc>
        <w:tc>
          <w:tcPr>
            <w:tcW w:w="900" w:type="dxa"/>
            <w:vAlign w:val="bottom"/>
          </w:tcPr>
          <w:p>
            <w:pPr>
              <w:jc w:val="right"/>
              <w:ind w:right="5"/>
              <w:spacing w:after="0" w:line="216" w:lineRule="exact"/>
              <w:rPr>
                <w:sz w:val="20"/>
                <w:szCs w:val="20"/>
                <w:color w:val="auto"/>
              </w:rPr>
            </w:pPr>
            <w:r>
              <w:rPr>
                <w:rFonts w:ascii="Arial" w:cs="Arial" w:eastAsia="Arial" w:hAnsi="Arial"/>
                <w:sz w:val="19"/>
                <w:szCs w:val="19"/>
                <w:color w:val="auto"/>
              </w:rPr>
              <w:t>60</w:t>
            </w:r>
          </w:p>
        </w:tc>
      </w:tr>
      <w:tr>
        <w:trPr>
          <w:trHeight w:val="216"/>
        </w:trPr>
        <w:tc>
          <w:tcPr>
            <w:tcW w:w="4260" w:type="dxa"/>
            <w:vAlign w:val="bottom"/>
          </w:tcPr>
          <w:p>
            <w:pPr>
              <w:spacing w:after="0" w:line="216" w:lineRule="exact"/>
              <w:rPr>
                <w:sz w:val="20"/>
                <w:szCs w:val="20"/>
                <w:color w:val="auto"/>
              </w:rPr>
            </w:pPr>
            <w:r>
              <w:rPr>
                <w:rFonts w:ascii="Arial" w:cs="Arial" w:eastAsia="Arial" w:hAnsi="Arial"/>
                <w:sz w:val="19"/>
                <w:szCs w:val="19"/>
                <w:color w:val="auto"/>
              </w:rPr>
              <w:t>2020</w:t>
            </w:r>
          </w:p>
        </w:tc>
        <w:tc>
          <w:tcPr>
            <w:tcW w:w="420" w:type="dxa"/>
            <w:vAlign w:val="bottom"/>
          </w:tcPr>
          <w:p>
            <w:pPr>
              <w:spacing w:after="0"/>
              <w:rPr>
                <w:sz w:val="18"/>
                <w:szCs w:val="18"/>
                <w:color w:val="auto"/>
              </w:rPr>
            </w:pPr>
          </w:p>
        </w:tc>
        <w:tc>
          <w:tcPr>
            <w:tcW w:w="9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r>
      <w:tr>
        <w:trPr>
          <w:trHeight w:val="238"/>
        </w:trPr>
        <w:tc>
          <w:tcPr>
            <w:tcW w:w="4260" w:type="dxa"/>
            <w:vAlign w:val="bottom"/>
          </w:tcPr>
          <w:p>
            <w:pPr>
              <w:spacing w:after="0"/>
              <w:rPr>
                <w:sz w:val="20"/>
                <w:szCs w:val="20"/>
                <w:color w:val="auto"/>
              </w:rPr>
            </w:pPr>
            <w:r>
              <w:rPr>
                <w:rFonts w:ascii="Arial" w:cs="Arial" w:eastAsia="Arial" w:hAnsi="Arial"/>
                <w:sz w:val="19"/>
                <w:szCs w:val="19"/>
                <w:color w:val="auto"/>
              </w:rPr>
              <w:t>2021 and thereafter</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r>
      <w:tr>
        <w:trPr>
          <w:trHeight w:val="210"/>
        </w:trPr>
        <w:tc>
          <w:tcPr>
            <w:tcW w:w="4260" w:type="dxa"/>
            <w:vAlign w:val="bottom"/>
          </w:tcPr>
          <w:p>
            <w:pPr>
              <w:spacing w:after="0"/>
              <w:rPr>
                <w:sz w:val="18"/>
                <w:szCs w:val="18"/>
                <w:color w:val="auto"/>
              </w:rPr>
            </w:pPr>
          </w:p>
        </w:tc>
        <w:tc>
          <w:tcPr>
            <w:tcW w:w="420" w:type="dxa"/>
            <w:vAlign w:val="bottom"/>
            <w:tcBorders>
              <w:bottom w:val="single" w:sz="8" w:color="auto"/>
            </w:tcBorders>
          </w:tcPr>
          <w:p>
            <w:pPr>
              <w:jc w:val="right"/>
              <w:ind w:right="125"/>
              <w:spacing w:after="0" w:line="210" w:lineRule="exact"/>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111,615</w:t>
            </w:r>
          </w:p>
        </w:tc>
      </w:tr>
      <w:tr>
        <w:trPr>
          <w:trHeight w:val="20"/>
        </w:trPr>
        <w:tc>
          <w:tcPr>
            <w:tcW w:w="4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Purchase Commitments </w:t>
      </w:r>
      <w:r>
        <w:rPr>
          <w:rFonts w:ascii="Arial" w:cs="Arial" w:eastAsia="Arial" w:hAnsi="Arial"/>
          <w:sz w:val="20"/>
          <w:szCs w:val="20"/>
          <w:color w:val="auto"/>
        </w:rPr>
        <w:t>– The Company has purchase commitments aggregating approximately $40.8 million at December 31, 2015,</w:t>
      </w:r>
      <w:r>
        <w:rPr>
          <w:rFonts w:ascii="Arial" w:cs="Arial" w:eastAsia="Arial" w:hAnsi="Arial"/>
          <w:sz w:val="20"/>
          <w:szCs w:val="20"/>
          <w:i w:val="1"/>
          <w:iCs w:val="1"/>
          <w:color w:val="auto"/>
        </w:rPr>
        <w:t xml:space="preserve"> </w:t>
      </w:r>
      <w:r>
        <w:rPr>
          <w:rFonts w:ascii="Arial" w:cs="Arial" w:eastAsia="Arial" w:hAnsi="Arial"/>
          <w:sz w:val="20"/>
          <w:szCs w:val="20"/>
          <w:color w:val="auto"/>
        </w:rPr>
        <w:t>which represent commitments made by the Company and its subsidiaries to various suppliers of raw materials for the production of its products. These obligations vary in terms, but are generally satisfied within one year.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purchases various raw material items, including, but not limited to, flavors, ingredients, dietary ingredients, containers, milk, cream and protein,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2015, 2014 and 2013 was $332.0 million, $292.8 million and $282.5 million, respectively.</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February 2016, the Company entered into an agreement to acquire approximately 49 acres of land, located in Rialto, CA, for a purchase price of approximately $39 million. The purchase is subject to various conditions precedent that must be satisfied prior to the closing. If the Company ultimately acquires the land, it intends to build an approximately 1,000,000 square-foot building to replace its current leased warehouse and distribution space in Corona, CA.</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Guarantees </w:t>
      </w:r>
      <w:r>
        <w:rPr>
          <w:rFonts w:ascii="Arial" w:cs="Arial" w:eastAsia="Arial" w:hAnsi="Arial"/>
          <w:sz w:val="19"/>
          <w:szCs w:val="19"/>
          <w:color w:val="auto"/>
        </w:rPr>
        <w:t>– The Company from time to time enters into certain types of contracts that contingently require the Company to</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ectPr>
          <w:pgSz w:w="11900" w:h="16838" w:orient="portrait"/>
          <w:cols w:equalWidth="0" w:num="1">
            <w:col w:w="11420"/>
          </w:cols>
          <w:pgMar w:left="240" w:top="352" w:right="239" w:bottom="0" w:gutter="0" w:footer="0" w:header="0"/>
        </w:sectPr>
      </w:pPr>
    </w:p>
    <w:bookmarkStart w:id="68" w:name="page69"/>
    <w:bookmarkEnd w:id="68"/>
    <w:p>
      <w:pPr>
        <w:jc w:val="both"/>
        <w:ind w:firstLine="648"/>
        <w:spacing w:after="0" w:line="245" w:lineRule="auto"/>
        <w:rPr>
          <w:sz w:val="20"/>
          <w:szCs w:val="20"/>
          <w:color w:val="auto"/>
        </w:rPr>
      </w:pPr>
      <w:r>
        <w:rPr>
          <w:rFonts w:ascii="Arial" w:cs="Arial" w:eastAsia="Arial" w:hAnsi="Arial"/>
          <w:sz w:val="20"/>
          <w:szCs w:val="20"/>
          <w:i w:val="1"/>
          <w:iCs w:val="1"/>
          <w:color w:val="auto"/>
        </w:rPr>
        <w:t xml:space="preserve">Litigation – </w:t>
      </w:r>
      <w:r>
        <w:rPr>
          <w:rFonts w:ascii="Arial" w:cs="Arial" w:eastAsia="Arial" w:hAnsi="Arial"/>
          <w:sz w:val="20"/>
          <w:szCs w:val="20"/>
          <w:color w:val="auto"/>
        </w:rPr>
        <w:t>The Company has been named a defendant in various personal injury lawsuits, claiming that the death or other serious</w:t>
      </w:r>
      <w:r>
        <w:rPr>
          <w:rFonts w:ascii="Arial" w:cs="Arial" w:eastAsia="Arial" w:hAnsi="Arial"/>
          <w:sz w:val="20"/>
          <w:szCs w:val="20"/>
          <w:i w:val="1"/>
          <w:iCs w:val="1"/>
          <w:color w:val="auto"/>
        </w:rPr>
        <w:t xml:space="preserve"> </w:t>
      </w:r>
      <w:r>
        <w:rPr>
          <w:rFonts w:ascii="Arial" w:cs="Arial" w:eastAsia="Arial" w:hAnsi="Arial"/>
          <w:sz w:val="20"/>
          <w:szCs w:val="20"/>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No decision has been rendered.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San Francisco City Attorney Litigation </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right="20" w:firstLine="8"/>
        <w:spacing w:after="0" w:line="269" w:lineRule="auto"/>
        <w:tabs>
          <w:tab w:leader="none" w:pos="2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 (ii) “Provide adequate warning labels”; (iii) “Cease promoting over-consumption in marketing”; (iv) “Cease use of alcohol and drug references in marketing”; and (v) “Cease targeting minors.”</w:t>
      </w:r>
    </w:p>
    <w:p>
      <w:pPr>
        <w:spacing w:after="0" w:line="182" w:lineRule="exact"/>
        <w:rPr>
          <w:rFonts w:ascii="Arial" w:cs="Arial" w:eastAsia="Arial" w:hAnsi="Arial"/>
          <w:sz w:val="19"/>
          <w:szCs w:val="19"/>
          <w:color w:val="auto"/>
        </w:rPr>
      </w:pPr>
    </w:p>
    <w:p>
      <w:pPr>
        <w:jc w:val="both"/>
        <w:ind w:firstLine="656"/>
        <w:spacing w:after="0" w:line="255" w:lineRule="auto"/>
        <w:tabs>
          <w:tab w:leader="none" w:pos="912"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The Company Action – On April 29, 2013, the Company and its wholly owned subsidiary, Monster Energy Company, filed a 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the City Attorney filed a renewed motion to dismiss the Company Action and on December 16, 2013, the Central District Court granted the City Attorney’s renewed motion, dismissing the Company Action. The Company filed a Notice of Appeal to the Ninth Circuit on December 18, 2013. The appeal is fully briefed and is set for argument on April 7, 2016.</w:t>
      </w:r>
    </w:p>
    <w:p>
      <w:pPr>
        <w:spacing w:after="0" w:line="198" w:lineRule="exact"/>
        <w:rPr>
          <w:rFonts w:ascii="Arial" w:cs="Arial" w:eastAsia="Arial" w:hAnsi="Arial"/>
          <w:sz w:val="19"/>
          <w:szCs w:val="19"/>
          <w:color w:val="auto"/>
        </w:rPr>
      </w:pPr>
    </w:p>
    <w:p>
      <w:pPr>
        <w:jc w:val="both"/>
        <w:ind w:firstLine="656"/>
        <w:spacing w:after="0" w:line="269" w:lineRule="auto"/>
        <w:tabs>
          <w:tab w:leader="none" w:pos="959"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San Francisco Action – On May 6, 2013, the San Francisco City Attorney filed a complaint for declaratory and injunctive relief, civil penalties and restitution for alleged violation of California’s Unfair Competition Law, Business &amp; Professions Code sections 17200, </w:t>
      </w:r>
      <w:r>
        <w:rPr>
          <w:rFonts w:ascii="Arial" w:cs="Arial" w:eastAsia="Arial" w:hAnsi="Arial"/>
          <w:sz w:val="18"/>
          <w:szCs w:val="18"/>
          <w:i w:val="1"/>
          <w:iCs w:val="1"/>
          <w:color w:val="auto"/>
        </w:rPr>
        <w:t>et seq., styled People Of The State Of California ex rel. Dennis Herrera, San Francisco City Attorney v. Monster Beverage Corporation</w:t>
      </w:r>
      <w:r>
        <w:rPr>
          <w:rFonts w:ascii="Arial" w:cs="Arial" w:eastAsia="Arial" w:hAnsi="Arial"/>
          <w:sz w:val="18"/>
          <w:szCs w:val="18"/>
          <w:color w:val="auto"/>
        </w:rPr>
        <w:t>, in San</w:t>
      </w:r>
      <w:r>
        <w:rPr>
          <w:rFonts w:ascii="Arial" w:cs="Arial" w:eastAsia="Arial" w:hAnsi="Arial"/>
          <w:sz w:val="18"/>
          <w:szCs w:val="18"/>
          <w:i w:val="1"/>
          <w:iCs w:val="1"/>
          <w:color w:val="auto"/>
        </w:rPr>
        <w:t xml:space="preserve"> </w:t>
      </w:r>
      <w:r>
        <w:rPr>
          <w:rFonts w:ascii="Arial" w:cs="Arial" w:eastAsia="Arial" w:hAnsi="Arial"/>
          <w:sz w:val="18"/>
          <w:szCs w:val="18"/>
          <w:color w:val="auto"/>
        </w:rPr>
        <w:t>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spacing w:after="0" w:line="3"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(2) is selling an “adulterated” product because caffeine is not generally recognized as safe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After a motion to strike filed by the Company was granted in part, on March 20, 2014, the City Attorney filed an amended complaint, adding allegations supporting the theory for relief as to which the Court had granted the motion to strike. On April 18, 2014, the Company filed a renewed motion to strike, as well as a motion asking the Court to bifurcate and/or stay claims relating to the safety of Monster Energy® brand energy drinks, pending resolution of the ongoing FDA investigation of the safety and labeling of food products to which caffeine is added. On May 22, 2014, the Court denied the Company’s motion to strike and motion to bifurcate and/or stay claims relating to safety.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2"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MONSTER BEVERAGE CORPORATION AND SUBSIDIARIES</w:t>
      </w:r>
    </w:p>
    <w:p>
      <w:pPr>
        <w:sectPr>
          <w:pgSz w:w="11900" w:h="16838" w:orient="portrait"/>
          <w:cols w:equalWidth="0" w:num="1">
            <w:col w:w="11420"/>
          </w:cols>
          <w:pgMar w:left="240" w:top="122" w:right="239" w:bottom="0" w:gutter="0" w:footer="0" w:header="0"/>
          <w:type w:val="continuous"/>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 Discovery is ongoing.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Court has set the case for a bench trial for April 10-17, 2017.</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actions or investigations described above have not progressed to a point where a reasonably possible range of losses associated with their ultimate outcome can be estimated at this time. If the final resolution of any such litigation or proceedings is unfavorable, the Company’s financial condition, operating results and cash flows could be materially affected.</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2015, the Company’s consolidated balance sheet includes accrued loss contingencies of approximately $2.8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components of accumulated other comprehensive loss are as follows at December 31:</w:t>
      </w:r>
    </w:p>
    <w:p>
      <w:pPr>
        <w:spacing w:after="0" w:line="200" w:lineRule="exact"/>
        <w:rPr>
          <w:sz w:val="20"/>
          <w:szCs w:val="20"/>
          <w:color w:val="auto"/>
        </w:rPr>
      </w:pPr>
    </w:p>
    <w:p>
      <w:pPr>
        <w:spacing w:after="0" w:line="259" w:lineRule="exact"/>
        <w:rPr>
          <w:sz w:val="20"/>
          <w:szCs w:val="20"/>
          <w:color w:val="auto"/>
        </w:rPr>
      </w:pPr>
    </w:p>
    <w:p>
      <w:pPr>
        <w:ind w:left="8100"/>
        <w:spacing w:after="0"/>
        <w:tabs>
          <w:tab w:leader="none" w:pos="10180" w:val="left"/>
        </w:tabs>
        <w:rPr>
          <w:sz w:val="20"/>
          <w:szCs w:val="20"/>
          <w:color w:val="auto"/>
        </w:rPr>
      </w:pPr>
      <w:r>
        <w:rPr>
          <w:rFonts w:ascii="Arial" w:cs="Arial" w:eastAsia="Arial" w:hAnsi="Arial"/>
          <w:sz w:val="20"/>
          <w:szCs w:val="20"/>
          <w:color w:val="auto"/>
        </w:rPr>
        <w:t>2015</w:t>
      </w:r>
      <w:r>
        <w:rPr>
          <w:sz w:val="20"/>
          <w:szCs w:val="20"/>
          <w:color w:val="auto"/>
        </w:rPr>
        <w:tab/>
      </w:r>
      <w:r>
        <w:rPr>
          <w:rFonts w:ascii="Arial" w:cs="Arial" w:eastAsia="Arial" w:hAnsi="Arial"/>
          <w:sz w:val="20"/>
          <w:szCs w:val="20"/>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10160</wp:posOffset>
            </wp:positionV>
            <wp:extent cx="24955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15" w:lineRule="exact"/>
        <w:rPr>
          <w:sz w:val="20"/>
          <w:szCs w:val="20"/>
          <w:color w:val="auto"/>
        </w:rPr>
      </w:pPr>
    </w:p>
    <w:p>
      <w:pPr>
        <w:spacing w:after="0"/>
        <w:tabs>
          <w:tab w:leader="none" w:pos="7540" w:val="left"/>
          <w:tab w:leader="none" w:pos="8520" w:val="left"/>
          <w:tab w:leader="none" w:pos="9660" w:val="left"/>
          <w:tab w:leader="none" w:pos="10620" w:val="left"/>
        </w:tabs>
        <w:rPr>
          <w:sz w:val="20"/>
          <w:szCs w:val="20"/>
          <w:color w:val="auto"/>
        </w:rPr>
      </w:pPr>
      <w:r>
        <w:rPr>
          <w:rFonts w:ascii="Arial" w:cs="Arial" w:eastAsia="Arial" w:hAnsi="Arial"/>
          <w:sz w:val="20"/>
          <w:szCs w:val="20"/>
          <w:color w:val="auto"/>
        </w:rPr>
        <w:t>Foreign currency translation adjustments, net of tax</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21,878</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11,453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10160</wp:posOffset>
            </wp:positionV>
            <wp:extent cx="24955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95550" cy="26035"/>
                    </a:xfrm>
                    <a:prstGeom prst="rect">
                      <a:avLst/>
                    </a:prstGeom>
                    <a:noFill/>
                  </pic:spPr>
                </pic:pic>
              </a:graphicData>
            </a:graphic>
          </wp:anchor>
        </w:drawing>
      </w:r>
    </w:p>
    <w:p>
      <w:pPr>
        <w:spacing w:after="0" w:line="250"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TREASURY STOCK PURCHASE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June 12, 2015, as part of the TCCC Transaction, the Company cancelled 41.5 million shares of treasury stock owned by the Company. The cancelled stock had a carrying value of approximately $1,482.6 million. The Company’s accounting policy upon the formal retirement of treasury stock is to deduct its par value from common stock and to reflect any excess of cost over par as a deduction from retained earnings.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April 7, 2013, the Company’s Board of Directors authorized a new share repurchase program for the repurchase of up to $200.0 million of the Company’s outstanding common stock (the “April 2013 Repurchase Plan”). During the year ended December 31, 2015, the Company purchased 1.1 million shares of common stock at an average purchase price of $134.71 per share, for a total amount of $145.7 million (excluding broker commissions), which exhausted the availability under the April 2013 Repurchase Plan.</w:t>
      </w:r>
    </w:p>
    <w:p>
      <w:pPr>
        <w:sectPr>
          <w:pgSz w:w="11900" w:h="16838" w:orient="portrait"/>
          <w:cols w:equalWidth="0" w:num="1">
            <w:col w:w="11420"/>
          </w:cols>
          <w:pgMar w:left="240" w:top="112" w:right="239" w:bottom="0" w:gutter="0" w:footer="0" w:header="0"/>
        </w:sectPr>
      </w:pPr>
    </w:p>
    <w:bookmarkStart w:id="70" w:name="page71"/>
    <w:bookmarkEnd w:id="70"/>
    <w:p>
      <w:pPr>
        <w:jc w:val="both"/>
        <w:ind w:firstLine="648"/>
        <w:spacing w:after="0" w:line="264" w:lineRule="auto"/>
        <w:rPr>
          <w:sz w:val="20"/>
          <w:szCs w:val="20"/>
          <w:color w:val="auto"/>
        </w:rPr>
      </w:pPr>
      <w:r>
        <w:rPr>
          <w:rFonts w:ascii="Arial" w:cs="Arial" w:eastAsia="Arial" w:hAnsi="Arial"/>
          <w:sz w:val="19"/>
          <w:szCs w:val="19"/>
          <w:color w:val="auto"/>
        </w:rPr>
        <w:t>On September 11, 2015, the Company’s Board of Directors authorized a new share repurchase program for the repurchase of up to $500.0 million of the Company’s outstanding common stock (the “September 2015 Repurchase Plan”). During the year ended December 31, 2015, the Company purchased 1.9 million shares of common stock at an average purchase price of $134.26 per share, for a total amount of $250.0 million (excluding broker commissions), under the September 2015 Repurchase Plan.</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During the year ended December 31, 2015, 3.3 million shares were purchased from employees in lieu of cash payments for options exercised or withholding taxes due for a total amount of $412.3 million. While such purchases are considered common stock repurchases, they are not counted as purchases against the Company’s authorized share repurchase programs, including the September 2015 Repurchase Plan or the April 2013 Repurchase Plan. Shares purchased subsequent to the TCCC Transaction are included in common stock in treasury in the accompanying condensed consolidated balance sheet at December 31, 2015.</w:t>
      </w:r>
    </w:p>
    <w:p>
      <w:pPr>
        <w:spacing w:after="0" w:line="194"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December 31, 2015: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2011 Omnibus Incentive Plan permits the granting of options, stock appreciation rights, restricted stock, restricted stock units, performance awards and other stock-based awards up to an aggregate of 14,500,000 shares of the common stock of the Company to employees or consultants of the Company and its subsidiaries. Shares authorized under the 2011 Omnibus Incentive Plan are reduced by 2.16 shares for each share granted or issued with respect to a Full Value Award. A Full Value Award 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 award other than an incentive stock option, a non-qualified stock option, or a stock appreciation right, which is settled by the issuance of shares. Options granted under the 2011 Omnibus Incentive Plan may be incentive stock options under Section 422 of the Internal Revenue Code, as amended, or non-qualified stock options. The Compensation Committee of the Board of Directors (the “Compensation Committee”) has sole and exclusive authority to grant stock awards to all employees who are not new hires and to all new hires who are subject to Section 16 of the Exchange Act. The Compensation Committee and the Executive Committee of the Board of Directors (the “Executive Committee”) each independently has the authority to grant stock awards to new hires who are not Section 16 employees. Awards granted by the Executive Committee are not subject to approval or ratification by the Board or the Compensation Committee. Options granted under the 2011 Omnibus Incentive Plan generally vest over a five-year period from the grant date and are generally exercisable up to 10 years after the grant date. As of December 31, 2015, 4,595,021 shares of the Company’s common stock have been granted, net of cancellations, and 8,809,885 shares (as adjusted for Full Value Awards) of the Company’s common stock remain available for grant under the 2011 Omnibus Incentive Plan.</w:t>
      </w:r>
    </w:p>
    <w:p>
      <w:pPr>
        <w:spacing w:after="0" w:line="18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The 2009 Directors Plan permits the granting of options, stock appreciation rights (each, a “SAR”), and other stock-based awards to purchase up to an aggregate of 1,600,000 shares of common stock of the Company to non-employee directors of the Company. The 2009 Directors Plan is administered by the Board of Directors. Each award granted under the 2009 Directors Plan will be evidenced by a written agreement and will contain the terms and conditions that the Board of Directors deems appropriate. The Board of Directors may grant such awards on the last business day prior to the date of the annual meeting of stockholders. Any award granted under the 2009 Directors Plan will vest, with respect to 100% of such award, on the last business day prior to the date of the annual meeting, in the calendar year following the calendar year in which such award is granted. The Board of Directors may determine the exercise price per share of the Company’s common stock under each option, but such price may not be less than 100% of the closing price of the Company’s common stock on the date an option is granted. Option grants may be made under the 2009 Directors Plan for 10 years from June 4, 2009. The Board of Directors may also grant SARs, independently, or in connection with an option grant. The Board of Directors may determine the exercise price per share of the Company’s common stock under each SAR, but such price may not be less than the greater of (i) the fair market value of a share on the date the SAR is granted and (ii) the price of the related option, if the SAR is granted in connection with an option grant. Additionally, the Board of Directors may grant other stock-based awards, which include awards of shares of the Company’s common stock, restricted shares of the Company’s common stock, and awards that are valued based on the fair market value of shares of the Company’s common stock. SARs and other stock-based awards are subject to the general provisions of the 2009 Directors Plan. The Board of Directors may amend or terminate the 2009 Directors Plan at any time. As of December 31, 2015, options to purchase 87,964 shares of the Company’s common stock had been granted under the 2009 Directors Plan, and options to purchase 1,512,036 shares of the Company’s common stock remained available for grant.</w:t>
      </w:r>
    </w:p>
    <w:p>
      <w:pPr>
        <w:spacing w:after="0" w:line="3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recorded $32.7 million, $28.6 million and $28.8 million of compensation expense relating to outstanding options, restricted stock awards, stock appreciation rights and restricted stock units during the years ended December 31, 2015, 2014 and 2013,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excess tax benefit realized for tax deductions from non-qualified stock option exercises, disqualifying dispositions of incentive stock options, vesting of restricted stock units and restricted stock awards for the years ended December 31, 2015, 2014 and 2013 was $314.7 million, $11.9 million and $30.3 million, respectively.</w:t>
      </w:r>
    </w:p>
    <w:p>
      <w:pPr>
        <w:sectPr>
          <w:pgSz w:w="11900" w:h="16838" w:orient="portrait"/>
          <w:cols w:equalWidth="0" w:num="1">
            <w:col w:w="11420"/>
          </w:cols>
          <w:pgMar w:left="240" w:top="122" w:right="239" w:bottom="33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33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December 31, 2015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46"/>
        </w:trPr>
        <w:tc>
          <w:tcPr>
            <w:tcW w:w="404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5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2015</w:t>
            </w:r>
          </w:p>
        </w:tc>
        <w:tc>
          <w:tcPr>
            <w:tcW w:w="280" w:type="dxa"/>
            <w:vAlign w:val="bottom"/>
          </w:tcPr>
          <w:p>
            <w:pPr>
              <w:spacing w:after="0"/>
              <w:rPr>
                <w:sz w:val="21"/>
                <w:szCs w:val="21"/>
                <w:color w:val="auto"/>
              </w:rPr>
            </w:pPr>
          </w:p>
        </w:tc>
        <w:tc>
          <w:tcPr>
            <w:tcW w:w="15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15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4040" w:type="dxa"/>
            <w:vAlign w:val="bottom"/>
            <w:vMerge w:val="continue"/>
          </w:tcPr>
          <w:p>
            <w:pPr>
              <w:spacing w:after="0"/>
              <w:rPr>
                <w:sz w:val="17"/>
                <w:szCs w:val="17"/>
                <w:color w:val="auto"/>
              </w:rPr>
            </w:pPr>
          </w:p>
        </w:tc>
        <w:tc>
          <w:tcPr>
            <w:tcW w:w="154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80" w:type="dxa"/>
            <w:vAlign w:val="bottom"/>
          </w:tcPr>
          <w:p>
            <w:pPr>
              <w:spacing w:after="0"/>
              <w:rPr>
                <w:sz w:val="17"/>
                <w:szCs w:val="17"/>
                <w:color w:val="auto"/>
              </w:rPr>
            </w:pPr>
          </w:p>
        </w:tc>
        <w:tc>
          <w:tcPr>
            <w:tcW w:w="154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80" w:type="dxa"/>
            <w:vAlign w:val="bottom"/>
          </w:tcPr>
          <w:p>
            <w:pPr>
              <w:spacing w:after="0"/>
              <w:rPr>
                <w:sz w:val="17"/>
                <w:szCs w:val="17"/>
                <w:color w:val="auto"/>
              </w:rPr>
            </w:pPr>
          </w:p>
        </w:tc>
        <w:tc>
          <w:tcPr>
            <w:tcW w:w="154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20"/>
                <w:szCs w:val="20"/>
                <w:color w:val="auto"/>
              </w:rPr>
              <w:t>Expected volatility</w:t>
            </w:r>
          </w:p>
        </w:tc>
        <w:tc>
          <w:tcPr>
            <w:tcW w:w="1540" w:type="dxa"/>
            <w:vAlign w:val="bottom"/>
          </w:tcPr>
          <w:p>
            <w:pPr>
              <w:jc w:val="right"/>
              <w:spacing w:after="0"/>
              <w:rPr>
                <w:sz w:val="20"/>
                <w:szCs w:val="20"/>
                <w:color w:val="auto"/>
              </w:rPr>
            </w:pPr>
            <w:r>
              <w:rPr>
                <w:rFonts w:ascii="Arial" w:cs="Arial" w:eastAsia="Arial" w:hAnsi="Arial"/>
                <w:sz w:val="20"/>
                <w:szCs w:val="20"/>
                <w:color w:val="auto"/>
              </w:rPr>
              <w:t>37.1 %</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41.4 %</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47.5 %</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20"/>
                <w:szCs w:val="20"/>
                <w:color w:val="auto"/>
              </w:rPr>
              <w:t>1.57 %</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1.55 %</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0.98 %</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Expected term</w:t>
            </w:r>
          </w:p>
        </w:tc>
        <w:tc>
          <w:tcPr>
            <w:tcW w:w="1820" w:type="dxa"/>
            <w:vAlign w:val="bottom"/>
            <w:gridSpan w:val="2"/>
          </w:tcPr>
          <w:p>
            <w:pPr>
              <w:ind w:left="740"/>
              <w:spacing w:after="0"/>
              <w:rPr>
                <w:sz w:val="20"/>
                <w:szCs w:val="20"/>
                <w:color w:val="auto"/>
              </w:rPr>
            </w:pPr>
            <w:r>
              <w:rPr>
                <w:rFonts w:ascii="Arial" w:cs="Arial" w:eastAsia="Arial" w:hAnsi="Arial"/>
                <w:sz w:val="20"/>
                <w:szCs w:val="20"/>
                <w:color w:val="auto"/>
              </w:rPr>
              <w:t>5.8 Years</w:t>
            </w:r>
          </w:p>
        </w:tc>
        <w:tc>
          <w:tcPr>
            <w:tcW w:w="1820" w:type="dxa"/>
            <w:vAlign w:val="bottom"/>
            <w:gridSpan w:val="2"/>
          </w:tcPr>
          <w:p>
            <w:pPr>
              <w:ind w:left="740"/>
              <w:spacing w:after="0"/>
              <w:rPr>
                <w:sz w:val="20"/>
                <w:szCs w:val="20"/>
                <w:color w:val="auto"/>
              </w:rPr>
            </w:pPr>
            <w:r>
              <w:rPr>
                <w:rFonts w:ascii="Arial" w:cs="Arial" w:eastAsia="Arial" w:hAnsi="Arial"/>
                <w:sz w:val="20"/>
                <w:szCs w:val="20"/>
                <w:color w:val="auto"/>
              </w:rPr>
              <w:t>5.8 Years</w:t>
            </w:r>
          </w:p>
        </w:tc>
        <w:tc>
          <w:tcPr>
            <w:tcW w:w="1540" w:type="dxa"/>
            <w:vAlign w:val="bottom"/>
          </w:tcPr>
          <w:p>
            <w:pPr>
              <w:jc w:val="right"/>
              <w:spacing w:after="0"/>
              <w:rPr>
                <w:sz w:val="20"/>
                <w:szCs w:val="20"/>
                <w:color w:val="auto"/>
              </w:rPr>
            </w:pPr>
            <w:r>
              <w:rPr>
                <w:rFonts w:ascii="Arial" w:cs="Arial" w:eastAsia="Arial" w:hAnsi="Arial"/>
                <w:sz w:val="20"/>
                <w:szCs w:val="20"/>
                <w:color w:val="auto"/>
              </w:rPr>
              <w:t>5.7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Weighted-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9"/>
              </w:rPr>
              <w:t>Weighted-</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Average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Average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Remaining</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Exercise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Contractual</w:t>
            </w:r>
          </w:p>
        </w:tc>
        <w:tc>
          <w:tcPr>
            <w:tcW w:w="240" w:type="dxa"/>
            <w:vAlign w:val="bottom"/>
          </w:tcPr>
          <w:p>
            <w:pPr>
              <w:spacing w:after="0"/>
              <w:rPr>
                <w:sz w:val="19"/>
                <w:szCs w:val="19"/>
                <w:color w:val="auto"/>
              </w:rPr>
            </w:pPr>
          </w:p>
        </w:tc>
        <w:tc>
          <w:tcPr>
            <w:tcW w:w="1120" w:type="dxa"/>
            <w:vAlign w:val="bottom"/>
          </w:tcPr>
          <w:p>
            <w:pPr>
              <w:jc w:val="center"/>
              <w:ind w:right="161"/>
              <w:spacing w:after="0"/>
              <w:rPr>
                <w:sz w:val="20"/>
                <w:szCs w:val="20"/>
                <w:color w:val="auto"/>
              </w:rPr>
            </w:pPr>
            <w:r>
              <w:rPr>
                <w:rFonts w:ascii="Arial" w:cs="Arial" w:eastAsia="Arial" w:hAnsi="Arial"/>
                <w:sz w:val="20"/>
                <w:szCs w:val="20"/>
                <w:color w:val="auto"/>
                <w:w w:val="88"/>
              </w:rPr>
              <w:t>Aggregate</w:t>
            </w: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6"/>
              </w:rPr>
              <w:t>Shares (In</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Term (In</w:t>
            </w:r>
          </w:p>
        </w:tc>
        <w:tc>
          <w:tcPr>
            <w:tcW w:w="240" w:type="dxa"/>
            <w:vAlign w:val="bottom"/>
          </w:tcPr>
          <w:p>
            <w:pPr>
              <w:spacing w:after="0"/>
              <w:rPr>
                <w:sz w:val="19"/>
                <w:szCs w:val="19"/>
                <w:color w:val="auto"/>
              </w:rPr>
            </w:pPr>
          </w:p>
        </w:tc>
        <w:tc>
          <w:tcPr>
            <w:tcW w:w="1120" w:type="dxa"/>
            <w:vAlign w:val="bottom"/>
          </w:tcPr>
          <w:p>
            <w:pPr>
              <w:jc w:val="center"/>
              <w:ind w:right="161"/>
              <w:spacing w:after="0"/>
              <w:rPr>
                <w:sz w:val="20"/>
                <w:szCs w:val="20"/>
                <w:color w:val="auto"/>
              </w:rPr>
            </w:pPr>
            <w:r>
              <w:rPr>
                <w:rFonts w:ascii="Arial" w:cs="Arial" w:eastAsia="Arial" w:hAnsi="Arial"/>
                <w:sz w:val="20"/>
                <w:szCs w:val="20"/>
                <w:color w:val="auto"/>
                <w:w w:val="95"/>
              </w:rPr>
              <w:t>Intrinsic</w:t>
            </w:r>
          </w:p>
        </w:tc>
      </w:tr>
      <w:tr>
        <w:trPr>
          <w:trHeight w:val="246"/>
        </w:trPr>
        <w:tc>
          <w:tcPr>
            <w:tcW w:w="20" w:type="dxa"/>
            <w:vAlign w:val="bottom"/>
          </w:tcPr>
          <w:p>
            <w:pPr>
              <w:spacing w:after="0"/>
              <w:rPr>
                <w:sz w:val="21"/>
                <w:szCs w:val="21"/>
                <w:color w:val="auto"/>
              </w:rPr>
            </w:pPr>
          </w:p>
        </w:tc>
        <w:tc>
          <w:tcPr>
            <w:tcW w:w="4980" w:type="dxa"/>
            <w:vAlign w:val="bottom"/>
            <w:gridSpan w:val="2"/>
          </w:tcPr>
          <w:p>
            <w:pPr>
              <w:ind w:left="2020"/>
              <w:spacing w:after="0"/>
              <w:rPr>
                <w:sz w:val="20"/>
                <w:szCs w:val="20"/>
                <w:color w:val="auto"/>
              </w:rPr>
            </w:pPr>
            <w:r>
              <w:rPr>
                <w:rFonts w:ascii="Arial" w:cs="Arial" w:eastAsia="Arial" w:hAnsi="Arial"/>
                <w:sz w:val="20"/>
                <w:szCs w:val="20"/>
                <w:color w:val="auto"/>
              </w:rPr>
              <w:t>Options</w:t>
            </w:r>
          </w:p>
        </w:tc>
        <w:tc>
          <w:tcPr>
            <w:tcW w:w="1360" w:type="dxa"/>
            <w:vAlign w:val="bottom"/>
          </w:tcPr>
          <w:p>
            <w:pPr>
              <w:jc w:val="center"/>
              <w:spacing w:after="0"/>
              <w:rPr>
                <w:sz w:val="20"/>
                <w:szCs w:val="20"/>
                <w:color w:val="auto"/>
              </w:rPr>
            </w:pPr>
            <w:r>
              <w:rPr>
                <w:rFonts w:ascii="Arial" w:cs="Arial" w:eastAsia="Arial" w:hAnsi="Arial"/>
                <w:sz w:val="20"/>
                <w:szCs w:val="20"/>
                <w:color w:val="auto"/>
                <w:w w:val="84"/>
              </w:rPr>
              <w:t>thousands)</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6"/>
              </w:rPr>
              <w:t>Share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240" w:type="dxa"/>
            <w:vAlign w:val="bottom"/>
          </w:tcPr>
          <w:p>
            <w:pPr>
              <w:spacing w:after="0"/>
              <w:rPr>
                <w:sz w:val="21"/>
                <w:szCs w:val="21"/>
                <w:color w:val="auto"/>
              </w:rPr>
            </w:pPr>
          </w:p>
        </w:tc>
        <w:tc>
          <w:tcPr>
            <w:tcW w:w="1120" w:type="dxa"/>
            <w:vAlign w:val="bottom"/>
          </w:tcPr>
          <w:p>
            <w:pPr>
              <w:jc w:val="center"/>
              <w:ind w:right="141"/>
              <w:spacing w:after="0"/>
              <w:rPr>
                <w:sz w:val="20"/>
                <w:szCs w:val="20"/>
                <w:color w:val="auto"/>
              </w:rPr>
            </w:pPr>
            <w:r>
              <w:rPr>
                <w:rFonts w:ascii="Arial" w:cs="Arial" w:eastAsia="Arial" w:hAnsi="Arial"/>
                <w:sz w:val="20"/>
                <w:szCs w:val="20"/>
                <w:color w:val="auto"/>
                <w:w w:val="85"/>
              </w:rPr>
              <w:t>Value</w:t>
            </w:r>
          </w:p>
        </w:tc>
      </w:tr>
      <w:tr>
        <w:trPr>
          <w:trHeight w:val="206"/>
        </w:trPr>
        <w:tc>
          <w:tcPr>
            <w:tcW w:w="20" w:type="dxa"/>
            <w:vAlign w:val="bottom"/>
          </w:tcPr>
          <w:p>
            <w:pPr>
              <w:spacing w:after="0"/>
              <w:rPr>
                <w:sz w:val="17"/>
                <w:szCs w:val="17"/>
                <w:color w:val="auto"/>
              </w:rPr>
            </w:pPr>
          </w:p>
        </w:tc>
        <w:tc>
          <w:tcPr>
            <w:tcW w:w="46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2015</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13,066</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19.73</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3.1</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1,158,412</w:t>
            </w:r>
          </w:p>
        </w:tc>
      </w:tr>
      <w:tr>
        <w:trPr>
          <w:trHeight w:val="230"/>
        </w:trPr>
        <w:tc>
          <w:tcPr>
            <w:tcW w:w="20" w:type="dxa"/>
            <w:vAlign w:val="bottom"/>
          </w:tcPr>
          <w:p>
            <w:pPr>
              <w:spacing w:after="0"/>
              <w:rPr>
                <w:sz w:val="19"/>
                <w:szCs w:val="19"/>
                <w:color w:val="auto"/>
              </w:rPr>
            </w:pPr>
          </w:p>
        </w:tc>
        <w:tc>
          <w:tcPr>
            <w:tcW w:w="4980" w:type="dxa"/>
            <w:vAlign w:val="bottom"/>
            <w:gridSpan w:val="2"/>
          </w:tcPr>
          <w:p>
            <w:pPr>
              <w:ind w:left="380"/>
              <w:spacing w:after="0"/>
              <w:rPr>
                <w:sz w:val="20"/>
                <w:szCs w:val="20"/>
                <w:color w:val="auto"/>
              </w:rPr>
            </w:pPr>
            <w:r>
              <w:rPr>
                <w:rFonts w:ascii="Arial" w:cs="Arial" w:eastAsia="Arial" w:hAnsi="Arial"/>
                <w:sz w:val="20"/>
                <w:szCs w:val="20"/>
                <w:color w:val="auto"/>
              </w:rPr>
              <w:t>Granted 01/01/15 - 03/31/15</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903</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133.68</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380"/>
              <w:spacing w:after="0"/>
              <w:rPr>
                <w:sz w:val="20"/>
                <w:szCs w:val="20"/>
                <w:color w:val="auto"/>
              </w:rPr>
            </w:pPr>
            <w:r>
              <w:rPr>
                <w:rFonts w:ascii="Arial" w:cs="Arial" w:eastAsia="Arial" w:hAnsi="Arial"/>
                <w:sz w:val="20"/>
                <w:szCs w:val="20"/>
                <w:color w:val="auto"/>
              </w:rPr>
              <w:t>Granted 04/01/15 - 06/30/15</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33</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133.43</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380"/>
              <w:spacing w:after="0"/>
              <w:rPr>
                <w:sz w:val="20"/>
                <w:szCs w:val="20"/>
                <w:color w:val="auto"/>
              </w:rPr>
            </w:pPr>
            <w:r>
              <w:rPr>
                <w:rFonts w:ascii="Arial" w:cs="Arial" w:eastAsia="Arial" w:hAnsi="Arial"/>
                <w:sz w:val="20"/>
                <w:szCs w:val="20"/>
                <w:color w:val="auto"/>
              </w:rPr>
              <w:t>Granted 07/01/15 - 09/30/15</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56</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135.00</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380"/>
              <w:spacing w:after="0"/>
              <w:rPr>
                <w:sz w:val="20"/>
                <w:szCs w:val="20"/>
                <w:color w:val="auto"/>
              </w:rPr>
            </w:pPr>
            <w:r>
              <w:rPr>
                <w:rFonts w:ascii="Arial" w:cs="Arial" w:eastAsia="Arial" w:hAnsi="Arial"/>
                <w:sz w:val="20"/>
                <w:szCs w:val="20"/>
                <w:color w:val="auto"/>
              </w:rPr>
              <w:t>Granted 10/01/15 - 12/31/15</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6</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134.20</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380"/>
              <w:spacing w:after="0"/>
              <w:rPr>
                <w:sz w:val="20"/>
                <w:szCs w:val="20"/>
                <w:color w:val="auto"/>
              </w:rPr>
            </w:pPr>
            <w:r>
              <w:rPr>
                <w:rFonts w:ascii="Arial" w:cs="Arial" w:eastAsia="Arial" w:hAnsi="Arial"/>
                <w:sz w:val="20"/>
                <w:szCs w:val="20"/>
                <w:color w:val="auto"/>
              </w:rPr>
              <w:t>Exercised</w:t>
            </w:r>
          </w:p>
        </w:tc>
        <w:tc>
          <w:tcPr>
            <w:tcW w:w="1360" w:type="dxa"/>
            <w:vAlign w:val="bottom"/>
          </w:tcPr>
          <w:p>
            <w:pPr>
              <w:jc w:val="right"/>
              <w:spacing w:after="0"/>
              <w:rPr>
                <w:sz w:val="20"/>
                <w:szCs w:val="20"/>
                <w:color w:val="auto"/>
              </w:rPr>
            </w:pPr>
            <w:r>
              <w:rPr>
                <w:rFonts w:ascii="Arial" w:cs="Arial" w:eastAsia="Arial" w:hAnsi="Arial"/>
                <w:sz w:val="20"/>
                <w:szCs w:val="20"/>
                <w:color w:val="auto"/>
              </w:rPr>
              <w:t>(7,379)</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6.69</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980" w:type="dxa"/>
            <w:vAlign w:val="bottom"/>
            <w:gridSpan w:val="2"/>
          </w:tcPr>
          <w:p>
            <w:pPr>
              <w:ind w:left="380"/>
              <w:spacing w:after="0"/>
              <w:rPr>
                <w:sz w:val="20"/>
                <w:szCs w:val="20"/>
                <w:color w:val="auto"/>
              </w:rPr>
            </w:pPr>
            <w:r>
              <w:rPr>
                <w:rFonts w:ascii="Arial" w:cs="Arial" w:eastAsia="Arial" w:hAnsi="Arial"/>
                <w:sz w:val="20"/>
                <w:szCs w:val="20"/>
                <w:color w:val="auto"/>
              </w:rPr>
              <w:t>Cancelled or 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71.59</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3"/>
        </w:trPr>
        <w:tc>
          <w:tcPr>
            <w:tcW w:w="500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December 31, 2015</w:t>
            </w:r>
          </w:p>
        </w:tc>
        <w:tc>
          <w:tcPr>
            <w:tcW w:w="1360" w:type="dxa"/>
            <w:vAlign w:val="bottom"/>
          </w:tcPr>
          <w:p>
            <w:pPr>
              <w:jc w:val="right"/>
              <w:ind w:right="1"/>
              <w:spacing w:after="0" w:line="213" w:lineRule="exact"/>
              <w:rPr>
                <w:sz w:val="20"/>
                <w:szCs w:val="20"/>
                <w:color w:val="auto"/>
              </w:rPr>
            </w:pPr>
            <w:r>
              <w:rPr>
                <w:rFonts w:ascii="Arial" w:cs="Arial" w:eastAsia="Arial" w:hAnsi="Arial"/>
                <w:sz w:val="20"/>
                <w:szCs w:val="20"/>
                <w:color w:val="auto"/>
              </w:rPr>
              <w:t>6,590</w:t>
            </w:r>
          </w:p>
        </w:tc>
        <w:tc>
          <w:tcPr>
            <w:tcW w:w="540" w:type="dxa"/>
            <w:vAlign w:val="bottom"/>
            <w:gridSpan w:val="2"/>
          </w:tcPr>
          <w:p>
            <w:pPr>
              <w:jc w:val="right"/>
              <w:spacing w:after="0" w:line="213"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line="213" w:lineRule="exact"/>
              <w:rPr>
                <w:sz w:val="20"/>
                <w:szCs w:val="20"/>
                <w:color w:val="auto"/>
              </w:rPr>
            </w:pPr>
            <w:r>
              <w:rPr>
                <w:rFonts w:ascii="Arial" w:cs="Arial" w:eastAsia="Arial" w:hAnsi="Arial"/>
                <w:sz w:val="20"/>
                <w:szCs w:val="20"/>
                <w:color w:val="auto"/>
              </w:rPr>
              <w:t>50.85</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line="213" w:lineRule="exact"/>
              <w:rPr>
                <w:sz w:val="20"/>
                <w:szCs w:val="20"/>
                <w:color w:val="auto"/>
              </w:rPr>
            </w:pPr>
            <w:r>
              <w:rPr>
                <w:rFonts w:ascii="Arial" w:cs="Arial" w:eastAsia="Arial" w:hAnsi="Arial"/>
                <w:sz w:val="20"/>
                <w:szCs w:val="20"/>
                <w:color w:val="auto"/>
              </w:rPr>
              <w:t>5.6</w:t>
            </w:r>
          </w:p>
        </w:tc>
        <w:tc>
          <w:tcPr>
            <w:tcW w:w="24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120" w:type="dxa"/>
            <w:vAlign w:val="bottom"/>
          </w:tcPr>
          <w:p>
            <w:pPr>
              <w:jc w:val="right"/>
              <w:ind w:right="21"/>
              <w:spacing w:after="0" w:line="213" w:lineRule="exact"/>
              <w:rPr>
                <w:sz w:val="20"/>
                <w:szCs w:val="20"/>
                <w:color w:val="auto"/>
              </w:rPr>
            </w:pPr>
            <w:r>
              <w:rPr>
                <w:rFonts w:ascii="Arial" w:cs="Arial" w:eastAsia="Arial" w:hAnsi="Arial"/>
                <w:sz w:val="20"/>
                <w:szCs w:val="20"/>
                <w:color w:val="auto"/>
              </w:rPr>
              <w:t>646,497</w:t>
            </w:r>
          </w:p>
        </w:tc>
      </w:tr>
      <w:tr>
        <w:trPr>
          <w:trHeight w:val="230"/>
        </w:trPr>
        <w:tc>
          <w:tcPr>
            <w:tcW w:w="5000" w:type="dxa"/>
            <w:vAlign w:val="bottom"/>
            <w:gridSpan w:val="3"/>
          </w:tcPr>
          <w:p>
            <w:pPr>
              <w:spacing w:after="0"/>
              <w:rPr>
                <w:sz w:val="20"/>
                <w:szCs w:val="20"/>
                <w:color w:val="auto"/>
              </w:rPr>
            </w:pPr>
            <w:r>
              <w:rPr>
                <w:rFonts w:ascii="Arial" w:cs="Arial" w:eastAsia="Arial" w:hAnsi="Arial"/>
                <w:sz w:val="20"/>
                <w:szCs w:val="20"/>
                <w:color w:val="auto"/>
                <w:w w:val="96"/>
              </w:rPr>
              <w:t>Vested and expected to vest in the future at December 31,</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700" w:type="dxa"/>
            <w:vAlign w:val="bottom"/>
            <w:gridSpan w:val="2"/>
          </w:tcPr>
          <w:p>
            <w:pPr>
              <w:ind w:left="400"/>
              <w:spacing w:after="0"/>
              <w:rPr>
                <w:sz w:val="20"/>
                <w:szCs w:val="20"/>
                <w:color w:val="auto"/>
              </w:rPr>
            </w:pPr>
            <w:r>
              <w:rPr>
                <w:rFonts w:ascii="Arial" w:cs="Arial" w:eastAsia="Arial" w:hAnsi="Arial"/>
                <w:sz w:val="20"/>
                <w:szCs w:val="20"/>
                <w:color w:val="auto"/>
              </w:rPr>
              <w:t>2015</w:t>
            </w:r>
          </w:p>
        </w:tc>
        <w:tc>
          <w:tcPr>
            <w:tcW w:w="3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6,238</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48.05</w:t>
            </w:r>
          </w:p>
        </w:tc>
        <w:tc>
          <w:tcPr>
            <w:tcW w:w="28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5.5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629,496</w:t>
            </w:r>
          </w:p>
        </w:tc>
      </w:tr>
      <w:tr>
        <w:trPr>
          <w:trHeight w:val="250"/>
        </w:trPr>
        <w:tc>
          <w:tcPr>
            <w:tcW w:w="5000" w:type="dxa"/>
            <w:vAlign w:val="bottom"/>
            <w:gridSpan w:val="3"/>
          </w:tcPr>
          <w:p>
            <w:pPr>
              <w:spacing w:after="0"/>
              <w:rPr>
                <w:sz w:val="20"/>
                <w:szCs w:val="20"/>
                <w:color w:val="auto"/>
              </w:rPr>
            </w:pPr>
            <w:r>
              <w:rPr>
                <w:rFonts w:ascii="Arial" w:cs="Arial" w:eastAsia="Arial" w:hAnsi="Arial"/>
                <w:sz w:val="20"/>
                <w:szCs w:val="20"/>
                <w:color w:val="auto"/>
              </w:rPr>
              <w:t>Exercisable at December 31, 2015</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3,899</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24.36</w:t>
            </w:r>
          </w:p>
        </w:tc>
        <w:tc>
          <w:tcPr>
            <w:tcW w:w="28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20"/>
                <w:szCs w:val="20"/>
                <w:color w:val="auto"/>
              </w:rPr>
              <w:t>3.9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485,835</w:t>
            </w:r>
          </w:p>
        </w:tc>
      </w:tr>
    </w:tbl>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information about stock options outstanding and exercisable at December 31, 2015:</w:t>
      </w:r>
    </w:p>
    <w:p>
      <w:pPr>
        <w:spacing w:after="0" w:line="229" w:lineRule="exact"/>
        <w:rPr>
          <w:sz w:val="20"/>
          <w:szCs w:val="20"/>
          <w:color w:val="auto"/>
        </w:rPr>
      </w:pPr>
    </w:p>
    <w:p>
      <w:pPr>
        <w:ind w:left="4700"/>
        <w:spacing w:after="0"/>
        <w:tabs>
          <w:tab w:leader="none" w:pos="8900" w:val="left"/>
        </w:tabs>
        <w:rPr>
          <w:sz w:val="20"/>
          <w:szCs w:val="20"/>
          <w:color w:val="auto"/>
        </w:rPr>
      </w:pPr>
      <w:r>
        <w:rPr>
          <w:rFonts w:ascii="Arial" w:cs="Arial" w:eastAsia="Arial" w:hAnsi="Arial"/>
          <w:sz w:val="20"/>
          <w:szCs w:val="20"/>
          <w:color w:val="auto"/>
        </w:rPr>
        <w:t>Options Outstanding</w:t>
      </w:r>
      <w:r>
        <w:rPr>
          <w:sz w:val="20"/>
          <w:szCs w:val="20"/>
          <w:color w:val="auto"/>
        </w:rPr>
        <w:tab/>
      </w:r>
      <w:r>
        <w:rPr>
          <w:rFonts w:ascii="Arial" w:cs="Arial" w:eastAsia="Arial" w:hAnsi="Arial"/>
          <w:sz w:val="16"/>
          <w:szCs w:val="16"/>
          <w:color w:val="auto"/>
        </w:rPr>
        <w:t>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10160</wp:posOffset>
            </wp:positionV>
            <wp:extent cx="51968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1"/>
        </w:trPr>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Weighted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20"/>
                <w:szCs w:val="20"/>
                <w:color w:val="auto"/>
                <w:w w:val="85"/>
              </w:rPr>
              <w:t>Average</w:t>
            </w:r>
          </w:p>
        </w:tc>
        <w:tc>
          <w:tcPr>
            <w:tcW w:w="1320" w:type="dxa"/>
            <w:vAlign w:val="bottom"/>
            <w:gridSpan w:val="2"/>
          </w:tcPr>
          <w:p>
            <w:pPr>
              <w:jc w:val="right"/>
              <w:ind w:right="420"/>
              <w:spacing w:after="0"/>
              <w:rPr>
                <w:sz w:val="20"/>
                <w:szCs w:val="20"/>
                <w:color w:val="auto"/>
              </w:rPr>
            </w:pPr>
            <w:r>
              <w:rPr>
                <w:rFonts w:ascii="Arial" w:cs="Arial" w:eastAsia="Arial" w:hAnsi="Arial"/>
                <w:sz w:val="20"/>
                <w:szCs w:val="20"/>
                <w:color w:val="auto"/>
              </w:rPr>
              <w:t>Weighted</w:t>
            </w:r>
          </w:p>
        </w:tc>
        <w:tc>
          <w:tcPr>
            <w:tcW w:w="1480" w:type="dxa"/>
            <w:vAlign w:val="bottom"/>
          </w:tcPr>
          <w:p>
            <w:pPr>
              <w:jc w:val="center"/>
              <w:spacing w:after="0"/>
              <w:rPr>
                <w:sz w:val="20"/>
                <w:szCs w:val="20"/>
                <w:color w:val="auto"/>
              </w:rPr>
            </w:pPr>
            <w:r>
              <w:rPr>
                <w:rFonts w:ascii="Arial" w:cs="Arial" w:eastAsia="Arial" w:hAnsi="Arial"/>
                <w:sz w:val="20"/>
                <w:szCs w:val="20"/>
                <w:color w:val="auto"/>
                <w:w w:val="92"/>
              </w:rPr>
              <w:t>Number</w:t>
            </w:r>
          </w:p>
        </w:tc>
        <w:tc>
          <w:tcPr>
            <w:tcW w:w="220" w:type="dxa"/>
            <w:vAlign w:val="bottom"/>
          </w:tcPr>
          <w:p>
            <w:pPr>
              <w:spacing w:after="0"/>
              <w:rPr>
                <w:sz w:val="19"/>
                <w:szCs w:val="19"/>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Weighted</w:t>
            </w:r>
          </w:p>
        </w:tc>
      </w:tr>
      <w:tr>
        <w:trPr>
          <w:trHeight w:val="230"/>
        </w:trPr>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24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Remaining</w:t>
            </w:r>
          </w:p>
        </w:tc>
        <w:tc>
          <w:tcPr>
            <w:tcW w:w="1320" w:type="dxa"/>
            <w:vAlign w:val="bottom"/>
            <w:gridSpan w:val="2"/>
          </w:tcPr>
          <w:p>
            <w:pPr>
              <w:jc w:val="right"/>
              <w:ind w:right="440"/>
              <w:spacing w:after="0"/>
              <w:rPr>
                <w:sz w:val="20"/>
                <w:szCs w:val="20"/>
                <w:color w:val="auto"/>
              </w:rPr>
            </w:pPr>
            <w:r>
              <w:rPr>
                <w:rFonts w:ascii="Arial" w:cs="Arial" w:eastAsia="Arial" w:hAnsi="Arial"/>
                <w:sz w:val="20"/>
                <w:szCs w:val="20"/>
                <w:color w:val="auto"/>
              </w:rPr>
              <w:t>Average</w:t>
            </w:r>
          </w:p>
        </w:tc>
        <w:tc>
          <w:tcPr>
            <w:tcW w:w="1480" w:type="dxa"/>
            <w:vAlign w:val="bottom"/>
          </w:tcPr>
          <w:p>
            <w:pPr>
              <w:jc w:val="center"/>
              <w:spacing w:after="0"/>
              <w:rPr>
                <w:sz w:val="20"/>
                <w:szCs w:val="20"/>
                <w:color w:val="auto"/>
              </w:rPr>
            </w:pPr>
            <w:r>
              <w:rPr>
                <w:rFonts w:ascii="Arial" w:cs="Arial" w:eastAsia="Arial" w:hAnsi="Arial"/>
                <w:sz w:val="20"/>
                <w:szCs w:val="20"/>
                <w:color w:val="auto"/>
                <w:w w:val="88"/>
              </w:rPr>
              <w:t>Exercisable</w:t>
            </w:r>
          </w:p>
        </w:tc>
        <w:tc>
          <w:tcPr>
            <w:tcW w:w="220" w:type="dxa"/>
            <w:vAlign w:val="bottom"/>
          </w:tcPr>
          <w:p>
            <w:pPr>
              <w:spacing w:after="0"/>
              <w:rPr>
                <w:sz w:val="19"/>
                <w:szCs w:val="19"/>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20"/>
                <w:szCs w:val="20"/>
                <w:color w:val="auto"/>
                <w:w w:val="88"/>
              </w:rPr>
              <w:t>Average</w:t>
            </w:r>
          </w:p>
        </w:tc>
      </w:tr>
      <w:tr>
        <w:trPr>
          <w:trHeight w:val="230"/>
        </w:trPr>
        <w:tc>
          <w:tcPr>
            <w:tcW w:w="3120" w:type="dxa"/>
            <w:vAlign w:val="bottom"/>
            <w:gridSpan w:val="4"/>
          </w:tcPr>
          <w:p>
            <w:pPr>
              <w:ind w:left="720"/>
              <w:spacing w:after="0"/>
              <w:rPr>
                <w:sz w:val="20"/>
                <w:szCs w:val="20"/>
                <w:color w:val="auto"/>
              </w:rPr>
            </w:pPr>
            <w:r>
              <w:rPr>
                <w:rFonts w:ascii="Arial" w:cs="Arial" w:eastAsia="Arial" w:hAnsi="Arial"/>
                <w:sz w:val="20"/>
                <w:szCs w:val="20"/>
                <w:color w:val="auto"/>
              </w:rPr>
              <w:t>Range of Exercise</w:t>
            </w:r>
          </w:p>
        </w:tc>
        <w:tc>
          <w:tcPr>
            <w:tcW w:w="1720" w:type="dxa"/>
            <w:vAlign w:val="bottom"/>
          </w:tcPr>
          <w:p>
            <w:pPr>
              <w:jc w:val="center"/>
              <w:spacing w:after="0"/>
              <w:rPr>
                <w:sz w:val="20"/>
                <w:szCs w:val="20"/>
                <w:color w:val="auto"/>
              </w:rPr>
            </w:pPr>
            <w:r>
              <w:rPr>
                <w:rFonts w:ascii="Arial" w:cs="Arial" w:eastAsia="Arial" w:hAnsi="Arial"/>
                <w:sz w:val="20"/>
                <w:szCs w:val="20"/>
                <w:color w:val="auto"/>
                <w:w w:val="90"/>
              </w:rPr>
              <w:t>Outstanding (In</w:t>
            </w:r>
          </w:p>
        </w:tc>
        <w:tc>
          <w:tcPr>
            <w:tcW w:w="24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Contractual</w:t>
            </w:r>
          </w:p>
        </w:tc>
        <w:tc>
          <w:tcPr>
            <w:tcW w:w="1320" w:type="dxa"/>
            <w:vAlign w:val="bottom"/>
            <w:gridSpan w:val="2"/>
          </w:tcPr>
          <w:p>
            <w:pPr>
              <w:jc w:val="right"/>
              <w:ind w:right="440"/>
              <w:spacing w:after="0"/>
              <w:rPr>
                <w:sz w:val="20"/>
                <w:szCs w:val="20"/>
                <w:color w:val="auto"/>
              </w:rPr>
            </w:pPr>
            <w:r>
              <w:rPr>
                <w:rFonts w:ascii="Arial" w:cs="Arial" w:eastAsia="Arial" w:hAnsi="Arial"/>
                <w:sz w:val="20"/>
                <w:szCs w:val="20"/>
                <w:color w:val="auto"/>
              </w:rPr>
              <w:t>Exercise</w:t>
            </w:r>
          </w:p>
        </w:tc>
        <w:tc>
          <w:tcPr>
            <w:tcW w:w="1480" w:type="dxa"/>
            <w:vAlign w:val="bottom"/>
          </w:tcPr>
          <w:p>
            <w:pPr>
              <w:jc w:val="center"/>
              <w:spacing w:after="0"/>
              <w:rPr>
                <w:sz w:val="20"/>
                <w:szCs w:val="20"/>
                <w:color w:val="auto"/>
              </w:rPr>
            </w:pPr>
            <w:r>
              <w:rPr>
                <w:rFonts w:ascii="Arial" w:cs="Arial" w:eastAsia="Arial" w:hAnsi="Arial"/>
                <w:sz w:val="20"/>
                <w:szCs w:val="20"/>
                <w:color w:val="auto"/>
                <w:w w:val="94"/>
              </w:rPr>
              <w:t>(In</w:t>
            </w:r>
          </w:p>
        </w:tc>
        <w:tc>
          <w:tcPr>
            <w:tcW w:w="220" w:type="dxa"/>
            <w:vAlign w:val="bottom"/>
          </w:tcPr>
          <w:p>
            <w:pPr>
              <w:spacing w:after="0"/>
              <w:rPr>
                <w:sz w:val="19"/>
                <w:szCs w:val="19"/>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20"/>
                <w:szCs w:val="20"/>
                <w:color w:val="auto"/>
                <w:w w:val="88"/>
              </w:rPr>
              <w:t>Exercise</w:t>
            </w:r>
          </w:p>
        </w:tc>
      </w:tr>
      <w:tr>
        <w:trPr>
          <w:trHeight w:val="246"/>
        </w:trPr>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w w:val="86"/>
              </w:rPr>
              <w:t>Prices ($)</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240" w:type="dxa"/>
            <w:vAlign w:val="bottom"/>
          </w:tcPr>
          <w:p>
            <w:pPr>
              <w:spacing w:after="0"/>
              <w:rPr>
                <w:sz w:val="21"/>
                <w:szCs w:val="21"/>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Term (Years)</w:t>
            </w:r>
          </w:p>
        </w:tc>
        <w:tc>
          <w:tcPr>
            <w:tcW w:w="1320" w:type="dxa"/>
            <w:vAlign w:val="bottom"/>
            <w:gridSpan w:val="2"/>
          </w:tcPr>
          <w:p>
            <w:pPr>
              <w:jc w:val="right"/>
              <w:ind w:right="420"/>
              <w:spacing w:after="0"/>
              <w:rPr>
                <w:sz w:val="20"/>
                <w:szCs w:val="20"/>
                <w:color w:val="auto"/>
              </w:rPr>
            </w:pPr>
            <w:r>
              <w:rPr>
                <w:rFonts w:ascii="Arial" w:cs="Arial" w:eastAsia="Arial" w:hAnsi="Arial"/>
                <w:sz w:val="20"/>
                <w:szCs w:val="20"/>
                <w:color w:val="auto"/>
              </w:rPr>
              <w:t>Price ($)</w:t>
            </w: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220" w:type="dxa"/>
            <w:vAlign w:val="bottom"/>
          </w:tcPr>
          <w:p>
            <w:pPr>
              <w:spacing w:after="0"/>
              <w:rPr>
                <w:sz w:val="21"/>
                <w:szCs w:val="21"/>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Price ($)</w:t>
            </w:r>
          </w:p>
        </w:tc>
      </w:tr>
      <w:tr>
        <w:trPr>
          <w:trHeight w:val="206"/>
        </w:trPr>
        <w:tc>
          <w:tcPr>
            <w:tcW w:w="1080" w:type="dxa"/>
            <w:vAlign w:val="bottom"/>
            <w:tcBorders>
              <w:top w:val="single" w:sz="8" w:color="auto"/>
            </w:tcBorders>
          </w:tcPr>
          <w:p>
            <w:pPr>
              <w:jc w:val="center"/>
              <w:ind w:left="321"/>
              <w:spacing w:after="0" w:line="207" w:lineRule="exact"/>
              <w:rPr>
                <w:sz w:val="20"/>
                <w:szCs w:val="20"/>
                <w:color w:val="auto"/>
              </w:rPr>
            </w:pPr>
            <w:r>
              <w:rPr>
                <w:rFonts w:ascii="Arial" w:cs="Arial" w:eastAsia="Arial" w:hAnsi="Arial"/>
                <w:sz w:val="20"/>
                <w:szCs w:val="20"/>
                <w:color w:val="auto"/>
                <w:w w:val="88"/>
              </w:rPr>
              <w:t>$13.53</w:t>
            </w:r>
          </w:p>
        </w:tc>
        <w:tc>
          <w:tcPr>
            <w:tcW w:w="840" w:type="dxa"/>
            <w:vAlign w:val="bottom"/>
            <w:tcBorders>
              <w:top w:val="single" w:sz="8" w:color="auto"/>
            </w:tcBorders>
          </w:tcPr>
          <w:p>
            <w:pPr>
              <w:jc w:val="right"/>
              <w:ind w:right="181"/>
              <w:spacing w:after="0" w:line="207"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center"/>
              <w:ind w:right="101"/>
              <w:spacing w:after="0" w:line="207" w:lineRule="exact"/>
              <w:rPr>
                <w:sz w:val="20"/>
                <w:szCs w:val="20"/>
                <w:color w:val="auto"/>
              </w:rPr>
            </w:pPr>
            <w:r>
              <w:rPr>
                <w:rFonts w:ascii="Arial" w:cs="Arial" w:eastAsia="Arial" w:hAnsi="Arial"/>
                <w:sz w:val="20"/>
                <w:szCs w:val="20"/>
                <w:color w:val="auto"/>
                <w:w w:val="88"/>
              </w:rPr>
              <w:t>$13.53</w:t>
            </w:r>
          </w:p>
        </w:tc>
        <w:tc>
          <w:tcPr>
            <w:tcW w:w="220" w:type="dxa"/>
            <w:vAlign w:val="bottom"/>
          </w:tcPr>
          <w:p>
            <w:pPr>
              <w:spacing w:after="0"/>
              <w:rPr>
                <w:sz w:val="17"/>
                <w:szCs w:val="17"/>
                <w:color w:val="auto"/>
              </w:rPr>
            </w:pPr>
          </w:p>
        </w:tc>
        <w:tc>
          <w:tcPr>
            <w:tcW w:w="17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33</w:t>
            </w:r>
          </w:p>
        </w:tc>
        <w:tc>
          <w:tcPr>
            <w:tcW w:w="240" w:type="dxa"/>
            <w:vAlign w:val="bottom"/>
          </w:tcPr>
          <w:p>
            <w:pPr>
              <w:spacing w:after="0"/>
              <w:rPr>
                <w:sz w:val="17"/>
                <w:szCs w:val="17"/>
                <w:color w:val="auto"/>
              </w:rPr>
            </w:pPr>
          </w:p>
        </w:tc>
        <w:tc>
          <w:tcPr>
            <w:tcW w:w="14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2.9</w:t>
            </w:r>
          </w:p>
        </w:tc>
        <w:tc>
          <w:tcPr>
            <w:tcW w:w="300" w:type="dxa"/>
            <w:vAlign w:val="bottom"/>
          </w:tcPr>
          <w:p>
            <w:pPr>
              <w:spacing w:after="0"/>
              <w:rPr>
                <w:sz w:val="17"/>
                <w:szCs w:val="17"/>
                <w:color w:val="auto"/>
              </w:rPr>
            </w:pPr>
          </w:p>
        </w:tc>
        <w:tc>
          <w:tcPr>
            <w:tcW w:w="11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$13.53</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33</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$13.53</w:t>
            </w:r>
          </w:p>
        </w:tc>
        <w:tc>
          <w:tcPr>
            <w:tcW w:w="20" w:type="dxa"/>
            <w:vAlign w:val="bottom"/>
          </w:tcPr>
          <w:p>
            <w:pPr>
              <w:spacing w:after="0"/>
              <w:rPr>
                <w:sz w:val="17"/>
                <w:szCs w:val="17"/>
                <w:color w:val="auto"/>
              </w:rPr>
            </w:pPr>
          </w:p>
        </w:tc>
      </w:tr>
      <w:tr>
        <w:trPr>
          <w:trHeight w:val="230"/>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88"/>
              </w:rPr>
              <w:t>$15.86</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88"/>
              </w:rPr>
              <w:t>$15.86</w:t>
            </w:r>
          </w:p>
        </w:tc>
        <w:tc>
          <w:tcPr>
            <w:tcW w:w="2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20"/>
                <w:szCs w:val="20"/>
                <w:color w:val="auto"/>
              </w:rPr>
              <w:t>1,663</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2.4</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$15.86</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1,663</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$15.86</w:t>
            </w:r>
          </w:p>
        </w:tc>
      </w:tr>
      <w:tr>
        <w:trPr>
          <w:trHeight w:val="230"/>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88"/>
              </w:rPr>
              <w:t>$16.84</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88"/>
              </w:rPr>
              <w:t>$16.84</w:t>
            </w:r>
          </w:p>
        </w:tc>
        <w:tc>
          <w:tcPr>
            <w:tcW w:w="2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20"/>
                <w:szCs w:val="20"/>
                <w:color w:val="auto"/>
              </w:rPr>
              <w:t>18</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3.1</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$16.84</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18</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$16.84</w:t>
            </w:r>
          </w:p>
        </w:tc>
      </w:tr>
      <w:tr>
        <w:trPr>
          <w:trHeight w:val="230"/>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88"/>
              </w:rPr>
              <w:t>$17.82</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88"/>
              </w:rPr>
              <w:t>$17.82</w:t>
            </w:r>
          </w:p>
        </w:tc>
        <w:tc>
          <w:tcPr>
            <w:tcW w:w="2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20"/>
                <w:szCs w:val="20"/>
                <w:color w:val="auto"/>
              </w:rPr>
              <w:t>1,147</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3.9</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$17.82</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1,147</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$17.82</w:t>
            </w:r>
          </w:p>
        </w:tc>
      </w:tr>
      <w:tr>
        <w:trPr>
          <w:trHeight w:val="230"/>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88"/>
              </w:rPr>
              <w:t>$18.07</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88"/>
              </w:rPr>
              <w:t>$47.13</w:t>
            </w:r>
          </w:p>
        </w:tc>
        <w:tc>
          <w:tcPr>
            <w:tcW w:w="2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20"/>
                <w:szCs w:val="20"/>
                <w:color w:val="auto"/>
              </w:rPr>
              <w:t>956</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5.7</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$36.58</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498</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$28.06</w:t>
            </w:r>
          </w:p>
        </w:tc>
      </w:tr>
      <w:tr>
        <w:trPr>
          <w:trHeight w:val="230"/>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88"/>
              </w:rPr>
              <w:t>$47.65</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88"/>
              </w:rPr>
              <w:t>$57.25</w:t>
            </w:r>
          </w:p>
        </w:tc>
        <w:tc>
          <w:tcPr>
            <w:tcW w:w="2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20"/>
                <w:szCs w:val="20"/>
                <w:color w:val="auto"/>
              </w:rPr>
              <w:t>665</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7.2</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$54.69</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299</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$54.06</w:t>
            </w:r>
          </w:p>
        </w:tc>
      </w:tr>
      <w:tr>
        <w:trPr>
          <w:trHeight w:val="230"/>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88"/>
              </w:rPr>
              <w:t>$57.45</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88"/>
              </w:rPr>
              <w:t>$69.00</w:t>
            </w:r>
          </w:p>
        </w:tc>
        <w:tc>
          <w:tcPr>
            <w:tcW w:w="2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20"/>
                <w:szCs w:val="20"/>
                <w:color w:val="auto"/>
              </w:rPr>
              <w:t>255</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7.4</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$63.23</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56</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$63.89</w:t>
            </w:r>
          </w:p>
        </w:tc>
      </w:tr>
      <w:tr>
        <w:trPr>
          <w:trHeight w:val="230"/>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88"/>
              </w:rPr>
              <w:t>$70.06</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88"/>
              </w:rPr>
              <w:t>$70.06</w:t>
            </w:r>
          </w:p>
        </w:tc>
        <w:tc>
          <w:tcPr>
            <w:tcW w:w="2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20"/>
                <w:szCs w:val="20"/>
                <w:color w:val="auto"/>
              </w:rPr>
              <w:t>661</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8.2</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$70.06</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165</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$70.06</w:t>
            </w:r>
          </w:p>
        </w:tc>
      </w:tr>
      <w:tr>
        <w:trPr>
          <w:trHeight w:val="230"/>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88"/>
              </w:rPr>
              <w:t>$70.54</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91"/>
              </w:rPr>
              <w:t>$135.03</w:t>
            </w:r>
          </w:p>
        </w:tc>
        <w:tc>
          <w:tcPr>
            <w:tcW w:w="220" w:type="dxa"/>
            <w:vAlign w:val="bottom"/>
          </w:tcPr>
          <w:p>
            <w:pPr>
              <w:spacing w:after="0"/>
              <w:rPr>
                <w:sz w:val="19"/>
                <w:szCs w:val="19"/>
                <w:color w:val="auto"/>
              </w:rPr>
            </w:pPr>
          </w:p>
        </w:tc>
        <w:tc>
          <w:tcPr>
            <w:tcW w:w="1720" w:type="dxa"/>
            <w:vAlign w:val="bottom"/>
          </w:tcPr>
          <w:p>
            <w:pPr>
              <w:jc w:val="right"/>
              <w:ind w:right="1"/>
              <w:spacing w:after="0"/>
              <w:rPr>
                <w:sz w:val="20"/>
                <w:szCs w:val="20"/>
                <w:color w:val="auto"/>
              </w:rPr>
            </w:pPr>
            <w:r>
              <w:rPr>
                <w:rFonts w:ascii="Arial" w:cs="Arial" w:eastAsia="Arial" w:hAnsi="Arial"/>
                <w:sz w:val="20"/>
                <w:szCs w:val="20"/>
                <w:color w:val="auto"/>
              </w:rPr>
              <w:t>363</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9.0</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$114.18</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20</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$109.79</w:t>
            </w:r>
          </w:p>
        </w:tc>
      </w:tr>
      <w:tr>
        <w:trPr>
          <w:trHeight w:val="246"/>
        </w:trPr>
        <w:tc>
          <w:tcPr>
            <w:tcW w:w="1080" w:type="dxa"/>
            <w:vAlign w:val="bottom"/>
          </w:tcPr>
          <w:p>
            <w:pPr>
              <w:jc w:val="center"/>
              <w:ind w:left="321"/>
              <w:spacing w:after="0"/>
              <w:rPr>
                <w:sz w:val="20"/>
                <w:szCs w:val="20"/>
                <w:color w:val="auto"/>
              </w:rPr>
            </w:pPr>
            <w:r>
              <w:rPr>
                <w:rFonts w:ascii="Arial" w:cs="Arial" w:eastAsia="Arial" w:hAnsi="Arial"/>
                <w:sz w:val="20"/>
                <w:szCs w:val="20"/>
                <w:color w:val="auto"/>
                <w:w w:val="91"/>
              </w:rPr>
              <w:t>$135.48</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center"/>
              <w:ind w:right="101"/>
              <w:spacing w:after="0"/>
              <w:rPr>
                <w:sz w:val="20"/>
                <w:szCs w:val="20"/>
                <w:color w:val="auto"/>
              </w:rPr>
            </w:pPr>
            <w:r>
              <w:rPr>
                <w:rFonts w:ascii="Arial" w:cs="Arial" w:eastAsia="Arial" w:hAnsi="Arial"/>
                <w:sz w:val="20"/>
                <w:szCs w:val="20"/>
                <w:color w:val="auto"/>
                <w:w w:val="91"/>
              </w:rPr>
              <w:t>$141.13</w:t>
            </w:r>
          </w:p>
        </w:tc>
        <w:tc>
          <w:tcPr>
            <w:tcW w:w="220" w:type="dxa"/>
            <w:vAlign w:val="bottom"/>
          </w:tcPr>
          <w:p>
            <w:pPr>
              <w:spacing w:after="0"/>
              <w:rPr>
                <w:sz w:val="21"/>
                <w:szCs w:val="21"/>
                <w:color w:val="auto"/>
              </w:rPr>
            </w:pP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829</w:t>
            </w:r>
          </w:p>
        </w:tc>
        <w:tc>
          <w:tcPr>
            <w:tcW w:w="1680" w:type="dxa"/>
            <w:vAlign w:val="bottom"/>
            <w:gridSpan w:val="2"/>
          </w:tcPr>
          <w:p>
            <w:pPr>
              <w:jc w:val="right"/>
              <w:ind w:right="1"/>
              <w:spacing w:after="0"/>
              <w:rPr>
                <w:sz w:val="20"/>
                <w:szCs w:val="20"/>
                <w:color w:val="auto"/>
              </w:rPr>
            </w:pPr>
            <w:r>
              <w:rPr>
                <w:rFonts w:ascii="Arial" w:cs="Arial" w:eastAsia="Arial" w:hAnsi="Arial"/>
                <w:sz w:val="20"/>
                <w:szCs w:val="20"/>
                <w:color w:val="auto"/>
              </w:rPr>
              <w:t>9.2</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$135.55</w:t>
            </w: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720" w:type="dxa"/>
            <w:vAlign w:val="bottom"/>
            <w:gridSpan w:val="3"/>
          </w:tcPr>
          <w:p>
            <w:pPr>
              <w:jc w:val="right"/>
              <w:ind w:right="20"/>
              <w:spacing w:after="0"/>
              <w:rPr>
                <w:sz w:val="20"/>
                <w:szCs w:val="20"/>
                <w:color w:val="auto"/>
              </w:rPr>
            </w:pPr>
            <w:r>
              <w:rPr>
                <w:rFonts w:ascii="Arial" w:cs="Arial" w:eastAsia="Arial" w:hAnsi="Arial"/>
                <w:sz w:val="20"/>
                <w:szCs w:val="20"/>
                <w:color w:val="auto"/>
              </w:rPr>
              <w:t>$0.00</w:t>
            </w:r>
          </w:p>
        </w:tc>
      </w:tr>
      <w:tr>
        <w:trPr>
          <w:trHeight w:val="223"/>
        </w:trPr>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6,590</w:t>
            </w:r>
          </w:p>
        </w:tc>
        <w:tc>
          <w:tcPr>
            <w:tcW w:w="1680" w:type="dxa"/>
            <w:vAlign w:val="bottom"/>
            <w:gridSpan w:val="2"/>
          </w:tcPr>
          <w:p>
            <w:pPr>
              <w:jc w:val="right"/>
              <w:ind w:right="1"/>
              <w:spacing w:after="0" w:line="223" w:lineRule="exact"/>
              <w:rPr>
                <w:sz w:val="20"/>
                <w:szCs w:val="20"/>
                <w:color w:val="auto"/>
              </w:rPr>
            </w:pPr>
            <w:r>
              <w:rPr>
                <w:rFonts w:ascii="Arial" w:cs="Arial" w:eastAsia="Arial" w:hAnsi="Arial"/>
                <w:sz w:val="20"/>
                <w:szCs w:val="20"/>
                <w:color w:val="auto"/>
              </w:rPr>
              <w:t>5.6</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line="223" w:lineRule="exact"/>
              <w:rPr>
                <w:sz w:val="20"/>
                <w:szCs w:val="20"/>
                <w:color w:val="auto"/>
              </w:rPr>
            </w:pPr>
            <w:r>
              <w:rPr>
                <w:rFonts w:ascii="Arial" w:cs="Arial" w:eastAsia="Arial" w:hAnsi="Arial"/>
                <w:sz w:val="20"/>
                <w:szCs w:val="20"/>
                <w:color w:val="auto"/>
              </w:rPr>
              <w:t>$50.85</w:t>
            </w:r>
          </w:p>
        </w:tc>
        <w:tc>
          <w:tcPr>
            <w:tcW w:w="14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3,899</w:t>
            </w:r>
          </w:p>
        </w:tc>
        <w:tc>
          <w:tcPr>
            <w:tcW w:w="1720" w:type="dxa"/>
            <w:vAlign w:val="bottom"/>
            <w:gridSpan w:val="3"/>
          </w:tcPr>
          <w:p>
            <w:pPr>
              <w:jc w:val="right"/>
              <w:ind w:right="20"/>
              <w:spacing w:after="0" w:line="223" w:lineRule="exact"/>
              <w:rPr>
                <w:sz w:val="20"/>
                <w:szCs w:val="20"/>
                <w:color w:val="auto"/>
              </w:rPr>
            </w:pPr>
            <w:r>
              <w:rPr>
                <w:rFonts w:ascii="Arial" w:cs="Arial" w:eastAsia="Arial" w:hAnsi="Arial"/>
                <w:sz w:val="20"/>
                <w:szCs w:val="20"/>
                <w:color w:val="auto"/>
              </w:rPr>
              <w:t>$24.36</w:t>
            </w:r>
          </w:p>
        </w:tc>
      </w:tr>
      <w:tr>
        <w:trPr>
          <w:trHeight w:val="20"/>
        </w:trPr>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years ended December 31, 2015, 2014 and 2013 was $50.20 per share, $31.49 per share and $22.57 per share, respectively. The total intrinsic value of options exercised during the years ended December 31, 2015, 2014 and 2013 was $870.1 million, $47.1 million and $91.6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years ended December 31, 2015, 2014 and 2013 was approximately $49.2 million, $17.2 million and $21.3 million, respectively.</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December 31, 2015, there was $69.1 million of total unrecognized compensation expense related to nonvested options granted to employees under the Company’s share-based payment plans. That cost is expected to be recognized over a weighted-average period of 2.7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years ended December 31, 2015 and 2014 were not material.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non-vested restricted stock units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right="143"/>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right="163"/>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28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90"/>
              </w:rPr>
              <w:t>Grant-Date</w:t>
            </w:r>
          </w:p>
        </w:tc>
        <w:tc>
          <w:tcPr>
            <w:tcW w:w="0" w:type="dxa"/>
            <w:vAlign w:val="bottom"/>
          </w:tcPr>
          <w:p>
            <w:pPr>
              <w:spacing w:after="0"/>
              <w:rPr>
                <w:sz w:val="1"/>
                <w:szCs w:val="1"/>
                <w:color w:val="auto"/>
              </w:rPr>
            </w:pPr>
          </w:p>
        </w:tc>
      </w:tr>
      <w:tr>
        <w:trPr>
          <w:trHeight w:val="246"/>
        </w:trPr>
        <w:tc>
          <w:tcPr>
            <w:tcW w:w="4440" w:type="dxa"/>
            <w:vAlign w:val="bottom"/>
            <w:vMerge w:val="restart"/>
          </w:tcPr>
          <w:p>
            <w:pPr>
              <w:spacing w:after="0"/>
              <w:rPr>
                <w:sz w:val="20"/>
                <w:szCs w:val="20"/>
                <w:color w:val="auto"/>
              </w:rPr>
            </w:pPr>
            <w:r>
              <w:rPr>
                <w:rFonts w:ascii="Arial" w:cs="Arial" w:eastAsia="Arial" w:hAnsi="Arial"/>
                <w:sz w:val="20"/>
                <w:szCs w:val="20"/>
                <w:color w:val="auto"/>
              </w:rPr>
              <w:t>Non-vested at January 1, 2015</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thousands)</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63"/>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06"/>
        </w:trPr>
        <w:tc>
          <w:tcPr>
            <w:tcW w:w="4440" w:type="dxa"/>
            <w:vAlign w:val="bottom"/>
            <w:vMerge w:val="continue"/>
          </w:tcPr>
          <w:p>
            <w:pPr>
              <w:spacing w:after="0"/>
              <w:rPr>
                <w:sz w:val="17"/>
                <w:szCs w:val="17"/>
                <w:color w:val="auto"/>
              </w:rPr>
            </w:pPr>
          </w:p>
        </w:tc>
        <w:tc>
          <w:tcPr>
            <w:tcW w:w="1360" w:type="dxa"/>
            <w:vAlign w:val="bottom"/>
          </w:tcPr>
          <w:p>
            <w:pPr>
              <w:jc w:val="right"/>
              <w:ind w:right="3"/>
              <w:spacing w:after="0" w:line="207" w:lineRule="exact"/>
              <w:rPr>
                <w:sz w:val="20"/>
                <w:szCs w:val="20"/>
                <w:color w:val="auto"/>
              </w:rPr>
            </w:pPr>
            <w:r>
              <w:rPr>
                <w:rFonts w:ascii="Arial" w:cs="Arial" w:eastAsia="Arial" w:hAnsi="Arial"/>
                <w:sz w:val="20"/>
                <w:szCs w:val="20"/>
                <w:color w:val="auto"/>
              </w:rPr>
              <w:t>149</w:t>
            </w:r>
          </w:p>
        </w:tc>
        <w:tc>
          <w:tcPr>
            <w:tcW w:w="28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07" w:lineRule="exact"/>
              <w:rPr>
                <w:sz w:val="20"/>
                <w:szCs w:val="20"/>
                <w:color w:val="auto"/>
              </w:rPr>
            </w:pPr>
            <w:r>
              <w:rPr>
                <w:rFonts w:ascii="Arial" w:cs="Arial" w:eastAsia="Arial" w:hAnsi="Arial"/>
                <w:sz w:val="20"/>
                <w:szCs w:val="20"/>
                <w:color w:val="auto"/>
              </w:rPr>
              <w:t>61.09</w:t>
            </w:r>
          </w:p>
        </w:tc>
        <w:tc>
          <w:tcPr>
            <w:tcW w:w="0" w:type="dxa"/>
            <w:vAlign w:val="bottom"/>
          </w:tcPr>
          <w:p>
            <w:pPr>
              <w:spacing w:after="0"/>
              <w:rPr>
                <w:sz w:val="1"/>
                <w:szCs w:val="1"/>
                <w:color w:val="auto"/>
              </w:rPr>
            </w:pPr>
          </w:p>
        </w:tc>
      </w:tr>
      <w:tr>
        <w:trPr>
          <w:trHeight w:val="230"/>
        </w:trPr>
        <w:tc>
          <w:tcPr>
            <w:tcW w:w="4440" w:type="dxa"/>
            <w:vAlign w:val="bottom"/>
          </w:tcPr>
          <w:p>
            <w:pPr>
              <w:ind w:left="400"/>
              <w:spacing w:after="0"/>
              <w:rPr>
                <w:sz w:val="20"/>
                <w:szCs w:val="20"/>
                <w:color w:val="auto"/>
              </w:rPr>
            </w:pPr>
            <w:r>
              <w:rPr>
                <w:rFonts w:ascii="Arial" w:cs="Arial" w:eastAsia="Arial" w:hAnsi="Arial"/>
                <w:sz w:val="20"/>
                <w:szCs w:val="20"/>
                <w:color w:val="auto"/>
              </w:rPr>
              <w:t>Granted 01/01/15 - 03/31/15</w:t>
            </w:r>
          </w:p>
        </w:tc>
        <w:tc>
          <w:tcPr>
            <w:tcW w:w="1360" w:type="dxa"/>
            <w:vAlign w:val="bottom"/>
          </w:tcPr>
          <w:p>
            <w:pPr>
              <w:jc w:val="right"/>
              <w:ind w:right="3"/>
              <w:spacing w:after="0"/>
              <w:rPr>
                <w:sz w:val="20"/>
                <w:szCs w:val="20"/>
                <w:color w:val="auto"/>
              </w:rPr>
            </w:pPr>
            <w:r>
              <w:rPr>
                <w:rFonts w:ascii="Arial" w:cs="Arial" w:eastAsia="Arial" w:hAnsi="Arial"/>
                <w:sz w:val="20"/>
                <w:szCs w:val="20"/>
                <w:color w:val="auto"/>
              </w:rPr>
              <w:t>83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135.48</w:t>
            </w:r>
          </w:p>
        </w:tc>
        <w:tc>
          <w:tcPr>
            <w:tcW w:w="0" w:type="dxa"/>
            <w:vAlign w:val="bottom"/>
          </w:tcPr>
          <w:p>
            <w:pPr>
              <w:spacing w:after="0"/>
              <w:rPr>
                <w:sz w:val="1"/>
                <w:szCs w:val="1"/>
                <w:color w:val="auto"/>
              </w:rPr>
            </w:pPr>
          </w:p>
        </w:tc>
      </w:tr>
      <w:tr>
        <w:trPr>
          <w:trHeight w:val="230"/>
        </w:trPr>
        <w:tc>
          <w:tcPr>
            <w:tcW w:w="4440" w:type="dxa"/>
            <w:vAlign w:val="bottom"/>
          </w:tcPr>
          <w:p>
            <w:pPr>
              <w:ind w:left="400"/>
              <w:spacing w:after="0"/>
              <w:rPr>
                <w:sz w:val="20"/>
                <w:szCs w:val="20"/>
                <w:color w:val="auto"/>
              </w:rPr>
            </w:pPr>
            <w:r>
              <w:rPr>
                <w:rFonts w:ascii="Arial" w:cs="Arial" w:eastAsia="Arial" w:hAnsi="Arial"/>
                <w:sz w:val="20"/>
                <w:szCs w:val="20"/>
                <w:color w:val="auto"/>
              </w:rPr>
              <w:t>Granted 04/01/15 - 06/30/15</w:t>
            </w:r>
          </w:p>
        </w:tc>
        <w:tc>
          <w:tcPr>
            <w:tcW w:w="136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400"/>
              <w:spacing w:after="0"/>
              <w:rPr>
                <w:sz w:val="20"/>
                <w:szCs w:val="20"/>
                <w:color w:val="auto"/>
              </w:rPr>
            </w:pPr>
            <w:r>
              <w:rPr>
                <w:rFonts w:ascii="Arial" w:cs="Arial" w:eastAsia="Arial" w:hAnsi="Arial"/>
                <w:sz w:val="20"/>
                <w:szCs w:val="20"/>
                <w:color w:val="auto"/>
              </w:rPr>
              <w:t>Granted 07/01/15 - 09/30/15</w:t>
            </w:r>
          </w:p>
        </w:tc>
        <w:tc>
          <w:tcPr>
            <w:tcW w:w="1360" w:type="dxa"/>
            <w:vAlign w:val="bottom"/>
          </w:tcPr>
          <w:p>
            <w:pPr>
              <w:jc w:val="right"/>
              <w:ind w:right="3"/>
              <w:spacing w:after="0"/>
              <w:rPr>
                <w:sz w:val="20"/>
                <w:szCs w:val="20"/>
                <w:color w:val="auto"/>
              </w:rPr>
            </w:pPr>
            <w:r>
              <w:rPr>
                <w:rFonts w:ascii="Arial" w:cs="Arial" w:eastAsia="Arial" w:hAnsi="Arial"/>
                <w:sz w:val="20"/>
                <w:szCs w:val="20"/>
                <w:color w:val="auto"/>
              </w:rPr>
              <w:t>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147.36</w:t>
            </w:r>
          </w:p>
        </w:tc>
        <w:tc>
          <w:tcPr>
            <w:tcW w:w="0" w:type="dxa"/>
            <w:vAlign w:val="bottom"/>
          </w:tcPr>
          <w:p>
            <w:pPr>
              <w:spacing w:after="0"/>
              <w:rPr>
                <w:sz w:val="1"/>
                <w:szCs w:val="1"/>
                <w:color w:val="auto"/>
              </w:rPr>
            </w:pPr>
          </w:p>
        </w:tc>
      </w:tr>
      <w:tr>
        <w:trPr>
          <w:trHeight w:val="230"/>
        </w:trPr>
        <w:tc>
          <w:tcPr>
            <w:tcW w:w="4440" w:type="dxa"/>
            <w:vAlign w:val="bottom"/>
          </w:tcPr>
          <w:p>
            <w:pPr>
              <w:ind w:left="400"/>
              <w:spacing w:after="0"/>
              <w:rPr>
                <w:sz w:val="20"/>
                <w:szCs w:val="20"/>
                <w:color w:val="auto"/>
              </w:rPr>
            </w:pPr>
            <w:r>
              <w:rPr>
                <w:rFonts w:ascii="Arial" w:cs="Arial" w:eastAsia="Arial" w:hAnsi="Arial"/>
                <w:sz w:val="20"/>
                <w:szCs w:val="20"/>
                <w:color w:val="auto"/>
              </w:rPr>
              <w:t>Granted 10/01/15 - 12/31/15</w:t>
            </w:r>
          </w:p>
        </w:tc>
        <w:tc>
          <w:tcPr>
            <w:tcW w:w="136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400"/>
              <w:spacing w:after="0"/>
              <w:rPr>
                <w:sz w:val="20"/>
                <w:szCs w:val="20"/>
                <w:color w:val="auto"/>
              </w:rPr>
            </w:pPr>
            <w:r>
              <w:rPr>
                <w:rFonts w:ascii="Arial" w:cs="Arial" w:eastAsia="Arial" w:hAnsi="Arial"/>
                <w:sz w:val="20"/>
                <w:szCs w:val="20"/>
                <w:color w:val="auto"/>
              </w:rPr>
              <w:t>Vested</w:t>
            </w:r>
          </w:p>
        </w:tc>
        <w:tc>
          <w:tcPr>
            <w:tcW w:w="1360" w:type="dxa"/>
            <w:vAlign w:val="bottom"/>
          </w:tcPr>
          <w:p>
            <w:pPr>
              <w:jc w:val="right"/>
              <w:spacing w:after="0"/>
              <w:rPr>
                <w:sz w:val="20"/>
                <w:szCs w:val="20"/>
                <w:color w:val="auto"/>
              </w:rPr>
            </w:pPr>
            <w:r>
              <w:rPr>
                <w:rFonts w:ascii="Arial" w:cs="Arial" w:eastAsia="Arial" w:hAnsi="Arial"/>
                <w:sz w:val="20"/>
                <w:szCs w:val="20"/>
                <w:color w:val="auto"/>
              </w:rPr>
              <w:t>(48)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59.32</w:t>
            </w:r>
          </w:p>
        </w:tc>
        <w:tc>
          <w:tcPr>
            <w:tcW w:w="0" w:type="dxa"/>
            <w:vAlign w:val="bottom"/>
          </w:tcPr>
          <w:p>
            <w:pPr>
              <w:spacing w:after="0"/>
              <w:rPr>
                <w:sz w:val="1"/>
                <w:szCs w:val="1"/>
                <w:color w:val="auto"/>
              </w:rPr>
            </w:pPr>
          </w:p>
        </w:tc>
      </w:tr>
      <w:tr>
        <w:trPr>
          <w:trHeight w:val="240"/>
        </w:trPr>
        <w:tc>
          <w:tcPr>
            <w:tcW w:w="4440" w:type="dxa"/>
            <w:vAlign w:val="bottom"/>
          </w:tcPr>
          <w:p>
            <w:pPr>
              <w:ind w:left="400"/>
              <w:spacing w:after="0"/>
              <w:rPr>
                <w:sz w:val="20"/>
                <w:szCs w:val="20"/>
                <w:color w:val="auto"/>
              </w:rPr>
            </w:pPr>
            <w:r>
              <w:rPr>
                <w:rFonts w:ascii="Arial" w:cs="Arial" w:eastAsia="Arial" w:hAnsi="Arial"/>
                <w:sz w:val="20"/>
                <w:szCs w:val="20"/>
                <w:color w:val="auto"/>
              </w:rPr>
              <w:t>Forfeited/cancelled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63.57</w:t>
            </w:r>
          </w:p>
        </w:tc>
        <w:tc>
          <w:tcPr>
            <w:tcW w:w="0" w:type="dxa"/>
            <w:vAlign w:val="bottom"/>
          </w:tcPr>
          <w:p>
            <w:pPr>
              <w:spacing w:after="0"/>
              <w:rPr>
                <w:sz w:val="1"/>
                <w:szCs w:val="1"/>
                <w:color w:val="auto"/>
              </w:rPr>
            </w:pPr>
          </w:p>
        </w:tc>
      </w:tr>
      <w:tr>
        <w:trPr>
          <w:trHeight w:val="230"/>
        </w:trPr>
        <w:tc>
          <w:tcPr>
            <w:tcW w:w="4440" w:type="dxa"/>
            <w:vAlign w:val="bottom"/>
          </w:tcPr>
          <w:p>
            <w:pPr>
              <w:spacing w:after="0" w:line="220" w:lineRule="exact"/>
              <w:rPr>
                <w:sz w:val="20"/>
                <w:szCs w:val="20"/>
                <w:color w:val="auto"/>
              </w:rPr>
            </w:pPr>
            <w:r>
              <w:rPr>
                <w:rFonts w:ascii="Arial" w:cs="Arial" w:eastAsia="Arial" w:hAnsi="Arial"/>
                <w:sz w:val="20"/>
                <w:szCs w:val="20"/>
                <w:color w:val="auto"/>
              </w:rPr>
              <w:t>Non-vested at December 31, 2015</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178</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99.58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restricted stock units and restricted stock awards granted during the years ended December 31, 2015, 2014 and 2013 was $136.50, $84.38 and $53.50 per share, respectively. As of December 31, 2015, 0.2 million of restricted stock units are expected to vest.</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At December 31, 2015, total unrecognized compensation expense relating to non-vested restricted stock awards and non-vested restricted stock units was $11.9 million, which is expected to be recognized over a weighted-average period of 1.8 years.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Employee and Non-Employee Share-Based Compensation Expense</w:t>
      </w:r>
    </w:p>
    <w:p>
      <w:pPr>
        <w:sectPr>
          <w:pgSz w:w="11900" w:h="16838" w:orient="portrait"/>
          <w:cols w:equalWidth="0" w:num="1">
            <w:col w:w="11420"/>
          </w:cols>
          <w:pgMar w:left="240" w:top="122" w:right="239" w:bottom="0" w:gutter="0" w:footer="0" w:header="0"/>
        </w:sectPr>
      </w:pPr>
    </w:p>
    <w:bookmarkStart w:id="73" w:name="page74"/>
    <w:bookmarkEnd w:id="73"/>
    <w:p>
      <w:pPr>
        <w:jc w:val="both"/>
        <w:ind w:firstLine="648"/>
        <w:spacing w:after="0" w:line="292" w:lineRule="auto"/>
        <w:rPr>
          <w:sz w:val="20"/>
          <w:szCs w:val="20"/>
          <w:color w:val="auto"/>
        </w:rPr>
      </w:pPr>
      <w:r>
        <w:rPr>
          <w:rFonts w:ascii="Arial" w:cs="Arial" w:eastAsia="Arial" w:hAnsi="Arial"/>
          <w:sz w:val="18"/>
          <w:szCs w:val="18"/>
          <w:color w:val="auto"/>
        </w:rPr>
        <w:t>The table below shows the amounts recognized in the consolidated financial statements for the twelve-months ended December 31, 2015, 2014 and 2013 for share-based compensation related to employees and non-employees. Employee and non-employee share-based compensation expense of $32.7 million for the year ended December 31, 2015 is comprised of $6.2 million that relates to incentive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options and $26.5 million that relates to non-qualified stock options and restricted units and awards. Employee and non-employee share-based compensation expense of $28.6 million for the year ended December 31, 2014 is comprised of $4.8 million that relates to incentive stock options and $23.8 million that relates to non-qualified stock options and restricted units and awards. Employee and non-employee share-based compensation expense of $28.8 million for the year ended December 31, 2013 is comprised of $5.2 million that relates to incentive stock options and $23.6 million that relates to non-qualified stock options and restricted units and awards. The portion of share-based compensation expense that relates to incentive stock options has not been considered in the tax benefit computation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40" w:type="dxa"/>
            <w:vAlign w:val="bottom"/>
            <w:vMerge w:val="restart"/>
          </w:tcPr>
          <w:p>
            <w:pPr>
              <w:spacing w:after="0"/>
              <w:rPr>
                <w:sz w:val="20"/>
                <w:szCs w:val="20"/>
                <w:color w:val="auto"/>
              </w:rPr>
            </w:pPr>
            <w:r>
              <w:rPr>
                <w:rFonts w:ascii="Arial" w:cs="Arial" w:eastAsia="Arial" w:hAnsi="Arial"/>
                <w:sz w:val="20"/>
                <w:szCs w:val="20"/>
                <w:color w:val="auto"/>
              </w:rPr>
              <w:t>Operating expenses</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2015</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17"/>
        </w:trPr>
        <w:tc>
          <w:tcPr>
            <w:tcW w:w="664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32,719</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28,552</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28,764</w:t>
            </w:r>
          </w:p>
        </w:tc>
        <w:tc>
          <w:tcPr>
            <w:tcW w:w="0" w:type="dxa"/>
            <w:vAlign w:val="bottom"/>
          </w:tcPr>
          <w:p>
            <w:pPr>
              <w:spacing w:after="0"/>
              <w:rPr>
                <w:sz w:val="1"/>
                <w:szCs w:val="1"/>
                <w:color w:val="auto"/>
              </w:rPr>
            </w:pPr>
          </w:p>
        </w:tc>
      </w:tr>
      <w:tr>
        <w:trPr>
          <w:trHeight w:val="199"/>
        </w:trPr>
        <w:tc>
          <w:tcPr>
            <w:tcW w:w="6640" w:type="dxa"/>
            <w:vAlign w:val="bottom"/>
          </w:tcPr>
          <w:p>
            <w:pPr>
              <w:spacing w:after="0" w:line="199" w:lineRule="exact"/>
              <w:rPr>
                <w:sz w:val="20"/>
                <w:szCs w:val="20"/>
                <w:color w:val="auto"/>
              </w:rPr>
            </w:pPr>
            <w:r>
              <w:rPr>
                <w:rFonts w:ascii="Arial" w:cs="Arial" w:eastAsia="Arial" w:hAnsi="Arial"/>
                <w:sz w:val="20"/>
                <w:szCs w:val="20"/>
                <w:color w:val="auto"/>
                <w:w w:val="92"/>
              </w:rPr>
              <w:t>Total employee and non-employee share-based compensation expense included</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Arial" w:cs="Arial" w:eastAsia="Arial" w:hAnsi="Arial"/>
                <w:sz w:val="20"/>
                <w:szCs w:val="20"/>
                <w:color w:val="auto"/>
              </w:rPr>
              <w:t>in income, before income tax</w:t>
            </w:r>
          </w:p>
        </w:tc>
        <w:tc>
          <w:tcPr>
            <w:tcW w:w="3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32,719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28,552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28,764</w:t>
            </w:r>
          </w:p>
        </w:tc>
        <w:tc>
          <w:tcPr>
            <w:tcW w:w="0" w:type="dxa"/>
            <w:vAlign w:val="bottom"/>
          </w:tcPr>
          <w:p>
            <w:pPr>
              <w:spacing w:after="0"/>
              <w:rPr>
                <w:sz w:val="1"/>
                <w:szCs w:val="1"/>
                <w:color w:val="auto"/>
              </w:rPr>
            </w:pPr>
          </w:p>
        </w:tc>
      </w:tr>
      <w:tr>
        <w:trPr>
          <w:trHeight w:val="240"/>
        </w:trPr>
        <w:tc>
          <w:tcPr>
            <w:tcW w:w="6640" w:type="dxa"/>
            <w:vAlign w:val="bottom"/>
          </w:tcPr>
          <w:p>
            <w:pPr>
              <w:spacing w:after="0"/>
              <w:rPr>
                <w:sz w:val="20"/>
                <w:szCs w:val="20"/>
                <w:color w:val="auto"/>
              </w:rPr>
            </w:pPr>
            <w:r>
              <w:rPr>
                <w:rFonts w:ascii="Arial" w:cs="Arial" w:eastAsia="Arial" w:hAnsi="Arial"/>
                <w:sz w:val="20"/>
                <w:szCs w:val="20"/>
                <w:color w:val="auto"/>
              </w:rPr>
              <w:t>Less: Amount of income tax benefit recognized in earnings</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(9,058)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(2,932)</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(7,730)</w:t>
            </w:r>
          </w:p>
        </w:tc>
        <w:tc>
          <w:tcPr>
            <w:tcW w:w="0" w:type="dxa"/>
            <w:vAlign w:val="bottom"/>
          </w:tcPr>
          <w:p>
            <w:pPr>
              <w:spacing w:after="0"/>
              <w:rPr>
                <w:sz w:val="1"/>
                <w:szCs w:val="1"/>
                <w:color w:val="auto"/>
              </w:rPr>
            </w:pPr>
          </w:p>
        </w:tc>
      </w:tr>
      <w:tr>
        <w:trPr>
          <w:trHeight w:val="230"/>
        </w:trPr>
        <w:tc>
          <w:tcPr>
            <w:tcW w:w="6640" w:type="dxa"/>
            <w:vAlign w:val="bottom"/>
          </w:tcPr>
          <w:p>
            <w:pPr>
              <w:spacing w:after="0" w:line="220" w:lineRule="exact"/>
              <w:rPr>
                <w:sz w:val="20"/>
                <w:szCs w:val="20"/>
                <w:color w:val="auto"/>
              </w:rPr>
            </w:pPr>
            <w:r>
              <w:rPr>
                <w:rFonts w:ascii="Arial" w:cs="Arial" w:eastAsia="Arial" w:hAnsi="Arial"/>
                <w:sz w:val="20"/>
                <w:szCs w:val="20"/>
                <w:color w:val="auto"/>
              </w:rPr>
              <w:t>Amount charged against net income</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23,661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25,620</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21,034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domestic and foreign components of the Company’s income (loss) before provision for income taxes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40" w:type="dxa"/>
            <w:vAlign w:val="bottom"/>
            <w:gridSpan w:val="6"/>
          </w:tcPr>
          <w:p>
            <w:pPr>
              <w:spacing w:after="0"/>
              <w:rPr>
                <w:sz w:val="20"/>
                <w:szCs w:val="20"/>
                <w:color w:val="auto"/>
              </w:rPr>
            </w:pPr>
            <w:r>
              <w:rPr>
                <w:rFonts w:ascii="Arial" w:cs="Arial" w:eastAsia="Arial" w:hAnsi="Arial"/>
                <w:sz w:val="19"/>
                <w:szCs w:val="19"/>
                <w:color w:val="auto"/>
                <w:w w:val="89"/>
              </w:rPr>
              <w:t>Year Ended December 31,</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60" w:type="dxa"/>
            <w:vAlign w:val="bottom"/>
            <w:vMerge w:val="restart"/>
          </w:tcPr>
          <w:p>
            <w:pPr>
              <w:spacing w:after="0"/>
              <w:rPr>
                <w:sz w:val="20"/>
                <w:szCs w:val="20"/>
                <w:color w:val="auto"/>
              </w:rPr>
            </w:pPr>
            <w:r>
              <w:rPr>
                <w:rFonts w:ascii="Arial" w:cs="Arial" w:eastAsia="Arial" w:hAnsi="Arial"/>
                <w:sz w:val="19"/>
                <w:szCs w:val="19"/>
                <w:color w:val="auto"/>
              </w:rPr>
              <w:t>Domestic*</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9"/>
                <w:szCs w:val="19"/>
                <w:color w:val="auto"/>
              </w:rPr>
              <w:t>2015</w:t>
            </w:r>
          </w:p>
        </w:tc>
        <w:tc>
          <w:tcPr>
            <w:tcW w:w="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2014</w:t>
            </w: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2013</w:t>
            </w:r>
          </w:p>
        </w:tc>
        <w:tc>
          <w:tcPr>
            <w:tcW w:w="0" w:type="dxa"/>
            <w:vAlign w:val="bottom"/>
          </w:tcPr>
          <w:p>
            <w:pPr>
              <w:spacing w:after="0"/>
              <w:rPr>
                <w:sz w:val="1"/>
                <w:szCs w:val="1"/>
                <w:color w:val="auto"/>
              </w:rPr>
            </w:pPr>
          </w:p>
        </w:tc>
      </w:tr>
      <w:tr>
        <w:trPr>
          <w:trHeight w:val="187"/>
        </w:trPr>
        <w:tc>
          <w:tcPr>
            <w:tcW w:w="5860" w:type="dxa"/>
            <w:vAlign w:val="bottom"/>
            <w:vMerge w:val="continue"/>
          </w:tcPr>
          <w:p>
            <w:pPr>
              <w:spacing w:after="0"/>
              <w:rPr>
                <w:sz w:val="16"/>
                <w:szCs w:val="16"/>
                <w:color w:val="auto"/>
              </w:rPr>
            </w:pPr>
          </w:p>
        </w:tc>
        <w:tc>
          <w:tcPr>
            <w:tcW w:w="340" w:type="dxa"/>
            <w:vAlign w:val="bottom"/>
          </w:tcPr>
          <w:p>
            <w:pPr>
              <w:jc w:val="right"/>
              <w:ind w:right="45"/>
              <w:spacing w:after="0" w:line="187"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187" w:lineRule="exact"/>
              <w:rPr>
                <w:sz w:val="20"/>
                <w:szCs w:val="20"/>
                <w:color w:val="auto"/>
              </w:rPr>
            </w:pPr>
            <w:r>
              <w:rPr>
                <w:rFonts w:ascii="Arial" w:cs="Arial" w:eastAsia="Arial" w:hAnsi="Arial"/>
                <w:sz w:val="19"/>
                <w:szCs w:val="19"/>
                <w:color w:val="auto"/>
              </w:rPr>
              <w:t>859,039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ind w:right="65"/>
              <w:spacing w:after="0" w:line="187" w:lineRule="exact"/>
              <w:rPr>
                <w:sz w:val="20"/>
                <w:szCs w:val="20"/>
                <w:color w:val="auto"/>
              </w:rPr>
            </w:pPr>
            <w:r>
              <w:rPr>
                <w:rFonts w:ascii="Arial" w:cs="Arial" w:eastAsia="Arial" w:hAnsi="Arial"/>
                <w:sz w:val="19"/>
                <w:szCs w:val="19"/>
                <w:color w:val="auto"/>
              </w:rPr>
              <w:t>$</w:t>
            </w:r>
          </w:p>
        </w:tc>
        <w:tc>
          <w:tcPr>
            <w:tcW w:w="1020" w:type="dxa"/>
            <w:vAlign w:val="bottom"/>
          </w:tcPr>
          <w:p>
            <w:pPr>
              <w:jc w:val="right"/>
              <w:spacing w:after="0" w:line="187" w:lineRule="exact"/>
              <w:rPr>
                <w:sz w:val="20"/>
                <w:szCs w:val="20"/>
                <w:color w:val="auto"/>
              </w:rPr>
            </w:pPr>
            <w:r>
              <w:rPr>
                <w:rFonts w:ascii="Arial" w:cs="Arial" w:eastAsia="Arial" w:hAnsi="Arial"/>
                <w:sz w:val="19"/>
                <w:szCs w:val="19"/>
                <w:color w:val="auto"/>
              </w:rPr>
              <w:t>711,917</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jc w:val="right"/>
              <w:ind w:right="45"/>
              <w:spacing w:after="0" w:line="187" w:lineRule="exact"/>
              <w:rPr>
                <w:sz w:val="20"/>
                <w:szCs w:val="20"/>
                <w:color w:val="auto"/>
              </w:rPr>
            </w:pPr>
            <w:r>
              <w:rPr>
                <w:rFonts w:ascii="Arial" w:cs="Arial" w:eastAsia="Arial" w:hAnsi="Arial"/>
                <w:sz w:val="19"/>
                <w:szCs w:val="19"/>
                <w:color w:val="auto"/>
              </w:rPr>
              <w:t>$</w:t>
            </w:r>
          </w:p>
        </w:tc>
        <w:tc>
          <w:tcPr>
            <w:tcW w:w="1000" w:type="dxa"/>
            <w:vAlign w:val="bottom"/>
          </w:tcPr>
          <w:p>
            <w:pPr>
              <w:ind w:left="300"/>
              <w:spacing w:after="0" w:line="187" w:lineRule="exact"/>
              <w:rPr>
                <w:sz w:val="20"/>
                <w:szCs w:val="20"/>
                <w:color w:val="auto"/>
              </w:rPr>
            </w:pPr>
            <w:r>
              <w:rPr>
                <w:rFonts w:ascii="Arial" w:cs="Arial" w:eastAsia="Arial" w:hAnsi="Arial"/>
                <w:sz w:val="19"/>
                <w:szCs w:val="19"/>
                <w:color w:val="auto"/>
                <w:w w:val="98"/>
              </w:rPr>
              <w:t>596,899</w:t>
            </w:r>
          </w:p>
        </w:tc>
        <w:tc>
          <w:tcPr>
            <w:tcW w:w="0" w:type="dxa"/>
            <w:vAlign w:val="bottom"/>
          </w:tcPr>
          <w:p>
            <w:pPr>
              <w:spacing w:after="0"/>
              <w:rPr>
                <w:sz w:val="1"/>
                <w:szCs w:val="1"/>
                <w:color w:val="auto"/>
              </w:rPr>
            </w:pPr>
          </w:p>
        </w:tc>
      </w:tr>
      <w:tr>
        <w:trPr>
          <w:trHeight w:val="216"/>
        </w:trPr>
        <w:tc>
          <w:tcPr>
            <w:tcW w:w="5860" w:type="dxa"/>
            <w:vAlign w:val="bottom"/>
          </w:tcPr>
          <w:p>
            <w:pPr>
              <w:spacing w:after="0" w:line="216" w:lineRule="exact"/>
              <w:rPr>
                <w:sz w:val="20"/>
                <w:szCs w:val="20"/>
                <w:color w:val="auto"/>
              </w:rPr>
            </w:pPr>
            <w:r>
              <w:rPr>
                <w:rFonts w:ascii="Arial" w:cs="Arial" w:eastAsia="Arial" w:hAnsi="Arial"/>
                <w:sz w:val="19"/>
                <w:szCs w:val="19"/>
                <w:color w:val="auto"/>
              </w:rPr>
              <w:t>Foreign*</w:t>
            </w:r>
          </w:p>
        </w:tc>
        <w:tc>
          <w:tcPr>
            <w:tcW w:w="34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32,509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33,871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320"/>
              <w:spacing w:after="0" w:line="216" w:lineRule="exact"/>
              <w:rPr>
                <w:sz w:val="20"/>
                <w:szCs w:val="20"/>
                <w:color w:val="auto"/>
              </w:rPr>
            </w:pPr>
            <w:r>
              <w:rPr>
                <w:rFonts w:ascii="Arial" w:cs="Arial" w:eastAsia="Arial" w:hAnsi="Arial"/>
                <w:sz w:val="19"/>
                <w:szCs w:val="19"/>
                <w:color w:val="auto"/>
                <w:w w:val="93"/>
              </w:rPr>
              <w:t>(33,005)</w:t>
            </w:r>
          </w:p>
        </w:tc>
        <w:tc>
          <w:tcPr>
            <w:tcW w:w="0" w:type="dxa"/>
            <w:vAlign w:val="bottom"/>
          </w:tcPr>
          <w:p>
            <w:pPr>
              <w:spacing w:after="0"/>
              <w:rPr>
                <w:sz w:val="1"/>
                <w:szCs w:val="1"/>
                <w:color w:val="auto"/>
              </w:rPr>
            </w:pPr>
          </w:p>
        </w:tc>
      </w:tr>
      <w:tr>
        <w:trPr>
          <w:trHeight w:val="22"/>
        </w:trPr>
        <w:tc>
          <w:tcPr>
            <w:tcW w:w="5860" w:type="dxa"/>
            <w:vAlign w:val="bottom"/>
            <w:vMerge w:val="restart"/>
          </w:tcPr>
          <w:p>
            <w:pPr>
              <w:spacing w:after="0"/>
              <w:rPr>
                <w:sz w:val="20"/>
                <w:szCs w:val="20"/>
                <w:color w:val="auto"/>
              </w:rPr>
            </w:pPr>
            <w:r>
              <w:rPr>
                <w:rFonts w:ascii="Arial" w:cs="Arial" w:eastAsia="Arial" w:hAnsi="Arial"/>
                <w:sz w:val="19"/>
                <w:szCs w:val="19"/>
                <w:color w:val="auto"/>
              </w:rPr>
              <w:t>Income before provision for income taxes</w:t>
            </w: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891,548</w:t>
            </w:r>
          </w:p>
        </w:tc>
        <w:tc>
          <w:tcPr>
            <w:tcW w:w="60" w:type="dxa"/>
            <w:vAlign w:val="bottom"/>
            <w:tcBorders>
              <w:bottom w:val="single" w:sz="8" w:color="auto"/>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745,788</w:t>
            </w:r>
          </w:p>
        </w:tc>
        <w:tc>
          <w:tcPr>
            <w:tcW w:w="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ind w:left="300"/>
              <w:spacing w:after="0" w:line="210" w:lineRule="exact"/>
              <w:rPr>
                <w:sz w:val="20"/>
                <w:szCs w:val="20"/>
                <w:color w:val="auto"/>
              </w:rPr>
            </w:pPr>
            <w:r>
              <w:rPr>
                <w:rFonts w:ascii="Arial" w:cs="Arial" w:eastAsia="Arial" w:hAnsi="Arial"/>
                <w:sz w:val="19"/>
                <w:szCs w:val="19"/>
                <w:color w:val="auto"/>
                <w:w w:val="98"/>
              </w:rPr>
              <w:t>563,894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*After intercompany royalties, management fees and interest charges from the Company’s domestic to foreign entities of $29.2 million, $34.9 million and $25.9 million for the years ended December 31, 2015, 2014 and 2013, respectively.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Components of the provision for income taxes are as follows:</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Year Ended December 31,</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222"/>
        </w:trPr>
        <w:tc>
          <w:tcPr>
            <w:tcW w:w="2780" w:type="dxa"/>
            <w:vAlign w:val="bottom"/>
            <w:vMerge w:val="restart"/>
          </w:tcPr>
          <w:p>
            <w:pPr>
              <w:spacing w:after="0"/>
              <w:rPr>
                <w:sz w:val="20"/>
                <w:szCs w:val="20"/>
                <w:color w:val="auto"/>
              </w:rPr>
            </w:pPr>
            <w:r>
              <w:rPr>
                <w:rFonts w:ascii="Arial" w:cs="Arial" w:eastAsia="Arial" w:hAnsi="Arial"/>
                <w:sz w:val="19"/>
                <w:szCs w:val="19"/>
                <w:color w:val="auto"/>
              </w:rPr>
              <w:t>Current:</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2015</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2013</w:t>
            </w:r>
          </w:p>
        </w:tc>
        <w:tc>
          <w:tcPr>
            <w:tcW w:w="0" w:type="dxa"/>
            <w:vAlign w:val="bottom"/>
          </w:tcPr>
          <w:p>
            <w:pPr>
              <w:spacing w:after="0"/>
              <w:rPr>
                <w:sz w:val="1"/>
                <w:szCs w:val="1"/>
                <w:color w:val="auto"/>
              </w:rPr>
            </w:pPr>
          </w:p>
        </w:tc>
      </w:tr>
      <w:tr>
        <w:trPr>
          <w:trHeight w:val="174"/>
        </w:trPr>
        <w:tc>
          <w:tcPr>
            <w:tcW w:w="2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line="216" w:lineRule="exact"/>
              <w:rPr>
                <w:sz w:val="20"/>
                <w:szCs w:val="20"/>
                <w:color w:val="auto"/>
              </w:rPr>
            </w:pPr>
            <w:r>
              <w:rPr>
                <w:rFonts w:ascii="Arial" w:cs="Arial" w:eastAsia="Arial" w:hAnsi="Arial"/>
                <w:sz w:val="19"/>
                <w:szCs w:val="19"/>
                <w:color w:val="auto"/>
              </w:rPr>
              <w:t>Federal</w:t>
            </w:r>
          </w:p>
        </w:tc>
        <w:tc>
          <w:tcPr>
            <w:tcW w:w="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10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548,018</w:t>
            </w:r>
          </w:p>
        </w:tc>
        <w:tc>
          <w:tcPr>
            <w:tcW w:w="260" w:type="dxa"/>
            <w:vAlign w:val="bottom"/>
          </w:tcPr>
          <w:p>
            <w:pPr>
              <w:spacing w:after="0"/>
              <w:rPr>
                <w:sz w:val="18"/>
                <w:szCs w:val="18"/>
                <w:color w:val="auto"/>
              </w:rPr>
            </w:pPr>
          </w:p>
        </w:tc>
        <w:tc>
          <w:tcPr>
            <w:tcW w:w="3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228,348</w:t>
            </w:r>
          </w:p>
        </w:tc>
        <w:tc>
          <w:tcPr>
            <w:tcW w:w="260" w:type="dxa"/>
            <w:vAlign w:val="bottom"/>
          </w:tcPr>
          <w:p>
            <w:pPr>
              <w:spacing w:after="0"/>
              <w:rPr>
                <w:sz w:val="18"/>
                <w:szCs w:val="18"/>
                <w:color w:val="auto"/>
              </w:rPr>
            </w:pPr>
          </w:p>
        </w:tc>
        <w:tc>
          <w:tcPr>
            <w:tcW w:w="360" w:type="dxa"/>
            <w:vAlign w:val="bottom"/>
          </w:tcPr>
          <w:p>
            <w:pPr>
              <w:jc w:val="right"/>
              <w:ind w:right="6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191,596</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line="216" w:lineRule="exact"/>
              <w:rPr>
                <w:sz w:val="20"/>
                <w:szCs w:val="20"/>
                <w:color w:val="auto"/>
              </w:rPr>
            </w:pPr>
            <w:r>
              <w:rPr>
                <w:rFonts w:ascii="Arial" w:cs="Arial" w:eastAsia="Arial" w:hAnsi="Arial"/>
                <w:sz w:val="19"/>
                <w:szCs w:val="19"/>
                <w:color w:val="auto"/>
              </w:rPr>
              <w:t>State</w:t>
            </w:r>
          </w:p>
        </w:tc>
        <w:tc>
          <w:tcPr>
            <w:tcW w:w="360" w:type="dxa"/>
            <w:vAlign w:val="bottom"/>
          </w:tcPr>
          <w:p>
            <w:pPr>
              <w:spacing w:after="0"/>
              <w:rPr>
                <w:sz w:val="18"/>
                <w:szCs w:val="18"/>
                <w:color w:val="auto"/>
              </w:rPr>
            </w:pPr>
          </w:p>
        </w:tc>
        <w:tc>
          <w:tcPr>
            <w:tcW w:w="10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88,671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25"/>
              <w:spacing w:after="0" w:line="216" w:lineRule="exact"/>
              <w:rPr>
                <w:sz w:val="20"/>
                <w:szCs w:val="20"/>
                <w:color w:val="auto"/>
              </w:rPr>
            </w:pPr>
            <w:r>
              <w:rPr>
                <w:rFonts w:ascii="Arial" w:cs="Arial" w:eastAsia="Arial" w:hAnsi="Arial"/>
                <w:sz w:val="19"/>
                <w:szCs w:val="19"/>
                <w:color w:val="auto"/>
              </w:rPr>
              <w:t>36,633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36,662</w:t>
            </w:r>
          </w:p>
        </w:tc>
        <w:tc>
          <w:tcPr>
            <w:tcW w:w="0" w:type="dxa"/>
            <w:vAlign w:val="bottom"/>
          </w:tcPr>
          <w:p>
            <w:pPr>
              <w:spacing w:after="0"/>
              <w:rPr>
                <w:sz w:val="1"/>
                <w:szCs w:val="1"/>
                <w:color w:val="auto"/>
              </w:rPr>
            </w:pPr>
          </w:p>
        </w:tc>
      </w:tr>
      <w:tr>
        <w:trPr>
          <w:trHeight w:val="238"/>
        </w:trPr>
        <w:tc>
          <w:tcPr>
            <w:tcW w:w="2780" w:type="dxa"/>
            <w:vAlign w:val="bottom"/>
          </w:tcPr>
          <w:p>
            <w:pPr>
              <w:ind w:left="460"/>
              <w:spacing w:after="0"/>
              <w:rPr>
                <w:sz w:val="20"/>
                <w:szCs w:val="20"/>
                <w:color w:val="auto"/>
              </w:rPr>
            </w:pPr>
            <w:r>
              <w:rPr>
                <w:rFonts w:ascii="Arial" w:cs="Arial" w:eastAsia="Arial" w:hAnsi="Arial"/>
                <w:sz w:val="19"/>
                <w:szCs w:val="19"/>
                <w:color w:val="auto"/>
              </w:rPr>
              <w:t>Foreign</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10,634</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7,467</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4,052</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25"/>
              <w:spacing w:after="0"/>
              <w:rPr>
                <w:sz w:val="20"/>
                <w:szCs w:val="20"/>
                <w:color w:val="auto"/>
              </w:rPr>
            </w:pPr>
            <w:r>
              <w:rPr>
                <w:rFonts w:ascii="Arial" w:cs="Arial" w:eastAsia="Arial" w:hAnsi="Arial"/>
                <w:sz w:val="19"/>
                <w:szCs w:val="19"/>
                <w:color w:val="auto"/>
              </w:rPr>
              <w:t>647,323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25"/>
              <w:spacing w:after="0"/>
              <w:rPr>
                <w:sz w:val="20"/>
                <w:szCs w:val="20"/>
                <w:color w:val="auto"/>
              </w:rPr>
            </w:pPr>
            <w:r>
              <w:rPr>
                <w:rFonts w:ascii="Arial" w:cs="Arial" w:eastAsia="Arial" w:hAnsi="Arial"/>
                <w:sz w:val="19"/>
                <w:szCs w:val="19"/>
                <w:color w:val="auto"/>
              </w:rPr>
              <w:t>272,448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5"/>
              <w:spacing w:after="0"/>
              <w:rPr>
                <w:sz w:val="20"/>
                <w:szCs w:val="20"/>
                <w:color w:val="auto"/>
              </w:rPr>
            </w:pPr>
            <w:r>
              <w:rPr>
                <w:rFonts w:ascii="Arial" w:cs="Arial" w:eastAsia="Arial" w:hAnsi="Arial"/>
                <w:sz w:val="19"/>
                <w:szCs w:val="19"/>
                <w:color w:val="auto"/>
              </w:rPr>
              <w:t>232,310</w:t>
            </w:r>
          </w:p>
        </w:tc>
        <w:tc>
          <w:tcPr>
            <w:tcW w:w="0" w:type="dxa"/>
            <w:vAlign w:val="bottom"/>
          </w:tcPr>
          <w:p>
            <w:pPr>
              <w:spacing w:after="0"/>
              <w:rPr>
                <w:sz w:val="1"/>
                <w:szCs w:val="1"/>
                <w:color w:val="auto"/>
              </w:rPr>
            </w:pPr>
          </w:p>
        </w:tc>
      </w:tr>
      <w:tr>
        <w:trPr>
          <w:trHeight w:val="385"/>
        </w:trPr>
        <w:tc>
          <w:tcPr>
            <w:tcW w:w="2780" w:type="dxa"/>
            <w:vAlign w:val="bottom"/>
          </w:tcPr>
          <w:p>
            <w:pPr>
              <w:spacing w:after="0"/>
              <w:rPr>
                <w:sz w:val="20"/>
                <w:szCs w:val="20"/>
                <w:color w:val="auto"/>
              </w:rPr>
            </w:pPr>
            <w:r>
              <w:rPr>
                <w:rFonts w:ascii="Arial" w:cs="Arial" w:eastAsia="Arial" w:hAnsi="Arial"/>
                <w:sz w:val="19"/>
                <w:szCs w:val="19"/>
                <w:color w:val="auto"/>
              </w:rPr>
              <w:t>Deferred:</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line="216" w:lineRule="exact"/>
              <w:rPr>
                <w:sz w:val="20"/>
                <w:szCs w:val="20"/>
                <w:color w:val="auto"/>
              </w:rPr>
            </w:pPr>
            <w:r>
              <w:rPr>
                <w:rFonts w:ascii="Arial" w:cs="Arial" w:eastAsia="Arial" w:hAnsi="Arial"/>
                <w:sz w:val="19"/>
                <w:szCs w:val="19"/>
                <w:color w:val="auto"/>
              </w:rPr>
              <w:t>Federal</w:t>
            </w: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(255,422)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(8,473)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(7,441)</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line="216" w:lineRule="exact"/>
              <w:rPr>
                <w:sz w:val="20"/>
                <w:szCs w:val="20"/>
                <w:color w:val="auto"/>
              </w:rPr>
            </w:pPr>
            <w:r>
              <w:rPr>
                <w:rFonts w:ascii="Arial" w:cs="Arial" w:eastAsia="Arial" w:hAnsi="Arial"/>
                <w:sz w:val="19"/>
                <w:szCs w:val="19"/>
                <w:color w:val="auto"/>
              </w:rPr>
              <w:t>State</w:t>
            </w: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(40,446)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(442)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(1,443)</w:t>
            </w:r>
          </w:p>
        </w:tc>
        <w:tc>
          <w:tcPr>
            <w:tcW w:w="0" w:type="dxa"/>
            <w:vAlign w:val="bottom"/>
          </w:tcPr>
          <w:p>
            <w:pPr>
              <w:spacing w:after="0"/>
              <w:rPr>
                <w:sz w:val="1"/>
                <w:szCs w:val="1"/>
                <w:color w:val="auto"/>
              </w:rPr>
            </w:pPr>
          </w:p>
        </w:tc>
      </w:tr>
      <w:tr>
        <w:trPr>
          <w:trHeight w:val="238"/>
        </w:trPr>
        <w:tc>
          <w:tcPr>
            <w:tcW w:w="2780" w:type="dxa"/>
            <w:vAlign w:val="bottom"/>
          </w:tcPr>
          <w:p>
            <w:pPr>
              <w:ind w:left="460"/>
              <w:spacing w:after="0"/>
              <w:rPr>
                <w:sz w:val="20"/>
                <w:szCs w:val="20"/>
                <w:color w:val="auto"/>
              </w:rPr>
            </w:pPr>
            <w:r>
              <w:rPr>
                <w:rFonts w:ascii="Arial" w:cs="Arial" w:eastAsia="Arial" w:hAnsi="Arial"/>
                <w:sz w:val="19"/>
                <w:szCs w:val="19"/>
                <w:color w:val="auto"/>
              </w:rPr>
              <w:t>Foreign</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(5,420)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3,476</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(9,694)</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(301,288)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(5,439)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(18,578)</w:t>
            </w:r>
          </w:p>
        </w:tc>
        <w:tc>
          <w:tcPr>
            <w:tcW w:w="0" w:type="dxa"/>
            <w:vAlign w:val="bottom"/>
          </w:tcPr>
          <w:p>
            <w:pPr>
              <w:spacing w:after="0"/>
              <w:rPr>
                <w:sz w:val="1"/>
                <w:szCs w:val="1"/>
                <w:color w:val="auto"/>
              </w:rPr>
            </w:pPr>
          </w:p>
        </w:tc>
      </w:tr>
      <w:tr>
        <w:trPr>
          <w:trHeight w:val="408"/>
        </w:trPr>
        <w:tc>
          <w:tcPr>
            <w:tcW w:w="2780" w:type="dxa"/>
            <w:vAlign w:val="bottom"/>
          </w:tcPr>
          <w:p>
            <w:pPr>
              <w:ind w:left="460"/>
              <w:spacing w:after="0"/>
              <w:rPr>
                <w:sz w:val="20"/>
                <w:szCs w:val="20"/>
                <w:color w:val="auto"/>
              </w:rPr>
            </w:pPr>
            <w:r>
              <w:rPr>
                <w:rFonts w:ascii="Arial" w:cs="Arial" w:eastAsia="Arial" w:hAnsi="Arial"/>
                <w:sz w:val="19"/>
                <w:szCs w:val="19"/>
                <w:color w:val="auto"/>
              </w:rPr>
              <w:t>Valuation allowance</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(1,220)</w:t>
            </w: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(4,406)</w:t>
            </w: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11,501</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36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344,815</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262,603</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225,233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74" w:name="page75"/>
    <w:bookmarkEnd w:id="74"/>
    <w:p>
      <w:pPr>
        <w:ind w:right="60" w:firstLine="1297"/>
        <w:spacing w:after="0" w:line="260" w:lineRule="auto"/>
        <w:rPr>
          <w:sz w:val="20"/>
          <w:szCs w:val="20"/>
          <w:color w:val="auto"/>
        </w:rPr>
      </w:pPr>
      <w:r>
        <w:rPr>
          <w:rFonts w:ascii="Arial" w:cs="Arial" w:eastAsia="Arial" w:hAnsi="Arial"/>
          <w:sz w:val="20"/>
          <w:szCs w:val="20"/>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gridSpan w:val="6"/>
          </w:tcPr>
          <w:p>
            <w:pPr>
              <w:ind w:left="880"/>
              <w:spacing w:after="0"/>
              <w:rPr>
                <w:sz w:val="20"/>
                <w:szCs w:val="20"/>
                <w:color w:val="auto"/>
              </w:rPr>
            </w:pPr>
            <w:r>
              <w:rPr>
                <w:rFonts w:ascii="Arial" w:cs="Arial" w:eastAsia="Arial" w:hAnsi="Arial"/>
                <w:sz w:val="20"/>
                <w:szCs w:val="20"/>
                <w:color w:val="auto"/>
                <w:w w:val="87"/>
              </w:rPr>
              <w:t>Year Ended December 31,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00" w:type="dxa"/>
            <w:vAlign w:val="bottom"/>
            <w:vMerge w:val="restart"/>
          </w:tcPr>
          <w:p>
            <w:pPr>
              <w:spacing w:after="0"/>
              <w:rPr>
                <w:sz w:val="20"/>
                <w:szCs w:val="20"/>
                <w:color w:val="auto"/>
              </w:rPr>
            </w:pPr>
            <w:r>
              <w:rPr>
                <w:rFonts w:ascii="Arial" w:cs="Arial" w:eastAsia="Arial" w:hAnsi="Arial"/>
                <w:sz w:val="19"/>
                <w:szCs w:val="19"/>
                <w:color w:val="auto"/>
              </w:rPr>
              <w:t>U.S. Federal tax expense at statutory rates</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20"/>
                <w:szCs w:val="20"/>
                <w:color w:val="auto"/>
                <w:w w:val="98"/>
              </w:rPr>
              <w:t>2015</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5"/>
              <w:spacing w:after="0"/>
              <w:rPr>
                <w:sz w:val="20"/>
                <w:szCs w:val="20"/>
                <w:color w:val="auto"/>
              </w:rPr>
            </w:pPr>
            <w:r>
              <w:rPr>
                <w:rFonts w:ascii="Arial" w:cs="Arial" w:eastAsia="Arial" w:hAnsi="Arial"/>
                <w:sz w:val="20"/>
                <w:szCs w:val="20"/>
                <w:color w:val="auto"/>
              </w:rPr>
              <w:t>2013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500" w:type="dxa"/>
            <w:vAlign w:val="bottom"/>
            <w:vMerge w:val="continue"/>
          </w:tcPr>
          <w:p>
            <w:pPr>
              <w:spacing w:after="0"/>
              <w:rPr>
                <w:sz w:val="16"/>
                <w:szCs w:val="16"/>
                <w:color w:val="auto"/>
              </w:rPr>
            </w:pPr>
          </w:p>
        </w:tc>
        <w:tc>
          <w:tcPr>
            <w:tcW w:w="420" w:type="dxa"/>
            <w:vAlign w:val="bottom"/>
          </w:tcPr>
          <w:p>
            <w:pPr>
              <w:ind w:left="80"/>
              <w:spacing w:after="0" w:line="187" w:lineRule="exact"/>
              <w:rPr>
                <w:sz w:val="20"/>
                <w:szCs w:val="20"/>
                <w:color w:val="auto"/>
              </w:rPr>
            </w:pPr>
            <w:r>
              <w:rPr>
                <w:rFonts w:ascii="Arial" w:cs="Arial" w:eastAsia="Arial" w:hAnsi="Arial"/>
                <w:sz w:val="19"/>
                <w:szCs w:val="19"/>
                <w:color w:val="auto"/>
              </w:rPr>
              <w:t>$</w:t>
            </w:r>
          </w:p>
        </w:tc>
        <w:tc>
          <w:tcPr>
            <w:tcW w:w="940" w:type="dxa"/>
            <w:vAlign w:val="bottom"/>
          </w:tcPr>
          <w:p>
            <w:pPr>
              <w:jc w:val="right"/>
              <w:ind w:right="5"/>
              <w:spacing w:after="0" w:line="187" w:lineRule="exact"/>
              <w:rPr>
                <w:sz w:val="20"/>
                <w:szCs w:val="20"/>
                <w:color w:val="auto"/>
              </w:rPr>
            </w:pPr>
            <w:r>
              <w:rPr>
                <w:rFonts w:ascii="Arial" w:cs="Arial" w:eastAsia="Arial" w:hAnsi="Arial"/>
                <w:sz w:val="19"/>
                <w:szCs w:val="19"/>
                <w:color w:val="auto"/>
              </w:rPr>
              <w:t>312,042</w:t>
            </w:r>
          </w:p>
        </w:tc>
        <w:tc>
          <w:tcPr>
            <w:tcW w:w="300" w:type="dxa"/>
            <w:vAlign w:val="bottom"/>
          </w:tcPr>
          <w:p>
            <w:pPr>
              <w:spacing w:after="0"/>
              <w:rPr>
                <w:sz w:val="16"/>
                <w:szCs w:val="16"/>
                <w:color w:val="auto"/>
              </w:rPr>
            </w:pPr>
          </w:p>
        </w:tc>
        <w:tc>
          <w:tcPr>
            <w:tcW w:w="340" w:type="dxa"/>
            <w:vAlign w:val="bottom"/>
          </w:tcPr>
          <w:p>
            <w:pPr>
              <w:jc w:val="right"/>
              <w:ind w:right="65"/>
              <w:spacing w:after="0" w:line="187" w:lineRule="exact"/>
              <w:rPr>
                <w:sz w:val="20"/>
                <w:szCs w:val="20"/>
                <w:color w:val="auto"/>
              </w:rPr>
            </w:pPr>
            <w:r>
              <w:rPr>
                <w:rFonts w:ascii="Arial" w:cs="Arial" w:eastAsia="Arial" w:hAnsi="Arial"/>
                <w:sz w:val="19"/>
                <w:szCs w:val="19"/>
                <w:color w:val="auto"/>
              </w:rPr>
              <w:t>$</w:t>
            </w:r>
          </w:p>
        </w:tc>
        <w:tc>
          <w:tcPr>
            <w:tcW w:w="1020" w:type="dxa"/>
            <w:vAlign w:val="bottom"/>
          </w:tcPr>
          <w:p>
            <w:pPr>
              <w:jc w:val="right"/>
              <w:ind w:right="5"/>
              <w:spacing w:after="0" w:line="187" w:lineRule="exact"/>
              <w:rPr>
                <w:sz w:val="20"/>
                <w:szCs w:val="20"/>
                <w:color w:val="auto"/>
              </w:rPr>
            </w:pPr>
            <w:r>
              <w:rPr>
                <w:rFonts w:ascii="Arial" w:cs="Arial" w:eastAsia="Arial" w:hAnsi="Arial"/>
                <w:sz w:val="19"/>
                <w:szCs w:val="19"/>
                <w:color w:val="auto"/>
              </w:rPr>
              <w:t>261,025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45"/>
              <w:spacing w:after="0" w:line="187" w:lineRule="exact"/>
              <w:rPr>
                <w:sz w:val="20"/>
                <w:szCs w:val="20"/>
                <w:color w:val="auto"/>
              </w:rPr>
            </w:pPr>
            <w:r>
              <w:rPr>
                <w:rFonts w:ascii="Arial" w:cs="Arial" w:eastAsia="Arial" w:hAnsi="Arial"/>
                <w:sz w:val="19"/>
                <w:szCs w:val="19"/>
                <w:color w:val="auto"/>
                <w:w w:val="94"/>
              </w:rPr>
              <w:t>$</w:t>
            </w:r>
          </w:p>
        </w:tc>
        <w:tc>
          <w:tcPr>
            <w:tcW w:w="1000" w:type="dxa"/>
            <w:vAlign w:val="bottom"/>
          </w:tcPr>
          <w:p>
            <w:pPr>
              <w:jc w:val="right"/>
              <w:ind w:right="5"/>
              <w:spacing w:after="0" w:line="187" w:lineRule="exact"/>
              <w:rPr>
                <w:sz w:val="20"/>
                <w:szCs w:val="20"/>
                <w:color w:val="auto"/>
              </w:rPr>
            </w:pPr>
            <w:r>
              <w:rPr>
                <w:rFonts w:ascii="Arial" w:cs="Arial" w:eastAsia="Arial" w:hAnsi="Arial"/>
                <w:sz w:val="19"/>
                <w:szCs w:val="19"/>
                <w:color w:val="auto"/>
              </w:rPr>
              <w:t>197,363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9"/>
                <w:szCs w:val="19"/>
                <w:color w:val="auto"/>
              </w:rPr>
              <w:t>State income taxes, net of federal tax benefit</w:t>
            </w:r>
          </w:p>
        </w:tc>
        <w:tc>
          <w:tcPr>
            <w:tcW w:w="420" w:type="dxa"/>
            <w:vAlign w:val="bottom"/>
          </w:tcPr>
          <w:p>
            <w:pPr>
              <w:spacing w:after="0"/>
              <w:rPr>
                <w:sz w:val="18"/>
                <w:szCs w:val="18"/>
                <w:color w:val="auto"/>
              </w:rPr>
            </w:pPr>
          </w:p>
        </w:tc>
        <w:tc>
          <w:tcPr>
            <w:tcW w:w="940" w:type="dxa"/>
            <w:vAlign w:val="bottom"/>
          </w:tcPr>
          <w:p>
            <w:pPr>
              <w:jc w:val="right"/>
              <w:ind w:right="5"/>
              <w:spacing w:after="0" w:line="216" w:lineRule="exact"/>
              <w:rPr>
                <w:sz w:val="20"/>
                <w:szCs w:val="20"/>
                <w:color w:val="auto"/>
              </w:rPr>
            </w:pPr>
            <w:r>
              <w:rPr>
                <w:rFonts w:ascii="Arial" w:cs="Arial" w:eastAsia="Arial" w:hAnsi="Arial"/>
                <w:sz w:val="19"/>
                <w:szCs w:val="19"/>
                <w:color w:val="auto"/>
              </w:rPr>
              <w:t>31,046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23,859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22,640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9"/>
                <w:szCs w:val="19"/>
                <w:color w:val="auto"/>
              </w:rPr>
              <w:t>Permanent differences</w:t>
            </w:r>
          </w:p>
        </w:tc>
        <w:tc>
          <w:tcPr>
            <w:tcW w:w="420" w:type="dxa"/>
            <w:vAlign w:val="bottom"/>
          </w:tcPr>
          <w:p>
            <w:pPr>
              <w:spacing w:after="0"/>
              <w:rPr>
                <w:sz w:val="18"/>
                <w:szCs w:val="18"/>
                <w:color w:val="auto"/>
              </w:rPr>
            </w:pPr>
          </w:p>
        </w:tc>
        <w:tc>
          <w:tcPr>
            <w:tcW w:w="940" w:type="dxa"/>
            <w:vAlign w:val="bottom"/>
          </w:tcPr>
          <w:p>
            <w:pPr>
              <w:jc w:val="right"/>
              <w:ind w:right="5"/>
              <w:spacing w:after="0" w:line="216" w:lineRule="exact"/>
              <w:rPr>
                <w:sz w:val="20"/>
                <w:szCs w:val="20"/>
                <w:color w:val="auto"/>
              </w:rPr>
            </w:pPr>
            <w:r>
              <w:rPr>
                <w:rFonts w:ascii="Arial" w:cs="Arial" w:eastAsia="Arial" w:hAnsi="Arial"/>
                <w:sz w:val="19"/>
                <w:szCs w:val="19"/>
                <w:color w:val="auto"/>
              </w:rPr>
              <w:t>8,488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
              <w:spacing w:after="0" w:line="216" w:lineRule="exact"/>
              <w:rPr>
                <w:sz w:val="20"/>
                <w:szCs w:val="20"/>
                <w:color w:val="auto"/>
              </w:rPr>
            </w:pPr>
            <w:r>
              <w:rPr>
                <w:rFonts w:ascii="Arial" w:cs="Arial" w:eastAsia="Arial" w:hAnsi="Arial"/>
                <w:sz w:val="19"/>
                <w:szCs w:val="19"/>
                <w:color w:val="auto"/>
              </w:rPr>
              <w:t>4,816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936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9"/>
                <w:szCs w:val="19"/>
                <w:color w:val="auto"/>
              </w:rPr>
              <w:t>Domestic production deduction</w:t>
            </w:r>
          </w:p>
        </w:tc>
        <w:tc>
          <w:tcPr>
            <w:tcW w:w="420" w:type="dxa"/>
            <w:vAlign w:val="bottom"/>
          </w:tcPr>
          <w:p>
            <w:pPr>
              <w:spacing w:after="0"/>
              <w:rPr>
                <w:sz w:val="18"/>
                <w:szCs w:val="18"/>
                <w:color w:val="auto"/>
              </w:rPr>
            </w:pPr>
          </w:p>
        </w:tc>
        <w:tc>
          <w:tcPr>
            <w:tcW w:w="94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(20,607)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(16,039)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9"/>
                <w:szCs w:val="19"/>
                <w:color w:val="auto"/>
              </w:rPr>
              <w:t>Other</w:t>
            </w:r>
          </w:p>
        </w:tc>
        <w:tc>
          <w:tcPr>
            <w:tcW w:w="4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color w:val="auto"/>
              </w:rPr>
              <w:t>(127)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(1,267)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266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9"/>
                <w:szCs w:val="19"/>
                <w:color w:val="auto"/>
              </w:rPr>
              <w:t>Foreign rate differential</w:t>
            </w:r>
          </w:p>
        </w:tc>
        <w:tc>
          <w:tcPr>
            <w:tcW w:w="4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color w:val="auto"/>
              </w:rPr>
              <w:t>(5,414)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(817)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
              <w:spacing w:after="0" w:line="216" w:lineRule="exact"/>
              <w:rPr>
                <w:sz w:val="20"/>
                <w:szCs w:val="20"/>
                <w:color w:val="auto"/>
              </w:rPr>
            </w:pPr>
            <w:r>
              <w:rPr>
                <w:rFonts w:ascii="Arial" w:cs="Arial" w:eastAsia="Arial" w:hAnsi="Arial"/>
                <w:sz w:val="19"/>
                <w:szCs w:val="19"/>
                <w:color w:val="auto"/>
              </w:rPr>
              <w:t>8,566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r>
              <w:rPr>
                <w:rFonts w:ascii="Arial" w:cs="Arial" w:eastAsia="Arial" w:hAnsi="Arial"/>
                <w:sz w:val="19"/>
                <w:szCs w:val="19"/>
                <w:color w:val="auto"/>
              </w:rPr>
              <w:t>Valuation allowance</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(1,220)</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(4,406)</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11,501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420" w:type="dxa"/>
            <w:vAlign w:val="bottom"/>
            <w:tcBorders>
              <w:bottom w:val="single" w:sz="8" w:color="auto"/>
            </w:tcBorders>
          </w:tcPr>
          <w:p>
            <w:pPr>
              <w:ind w:left="80"/>
              <w:spacing w:after="0" w:line="210" w:lineRule="exact"/>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344,815</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262,603</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w w:val="94"/>
              </w:rPr>
              <w:t>$</w:t>
            </w:r>
          </w:p>
        </w:tc>
        <w:tc>
          <w:tcPr>
            <w:tcW w:w="10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225,233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5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6"/>
                <w:szCs w:val="16"/>
                <w:color w:val="auto"/>
              </w:rPr>
              <w:t>112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5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Major components of the Company’s deferred tax assets (liabilities) at December 31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52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2015</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93"/>
        </w:trPr>
        <w:tc>
          <w:tcPr>
            <w:tcW w:w="7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Reserve for sales returns</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242</w:t>
            </w:r>
          </w:p>
        </w:tc>
        <w:tc>
          <w:tcPr>
            <w:tcW w:w="30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289</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Reserve for doubtful accounts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Reserve for inventory obsolescence</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1,126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3,030</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Reserve for marketing development fund</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10,118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9,118</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Capitalization of inventory costs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1,927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2,527</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State franchise tax - current</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15,143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12,358</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Accrued compensation</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1,584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Accrued other liabilities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1,565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3,503</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152,777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47,319</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Stock-based compensation</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24,488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25,268</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Securities impairment</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289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288</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Foreign net operating loss carryforward</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26,624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17,256</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Prepaid supplies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6,065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4,195</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Distribution rights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120,798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Termination payments</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81,896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Capital loss carryforward</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370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7520" w:type="dxa"/>
            <w:vAlign w:val="bottom"/>
          </w:tcPr>
          <w:p>
            <w:pPr>
              <w:ind w:left="240"/>
              <w:spacing w:after="0"/>
              <w:rPr>
                <w:sz w:val="20"/>
                <w:szCs w:val="20"/>
                <w:color w:val="auto"/>
              </w:rPr>
            </w:pPr>
            <w:r>
              <w:rPr>
                <w:rFonts w:ascii="Arial" w:cs="Arial" w:eastAsia="Arial" w:hAnsi="Arial"/>
                <w:sz w:val="20"/>
                <w:szCs w:val="20"/>
                <w:color w:val="auto"/>
              </w:rPr>
              <w:t>Gain on intercompany transfer</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7,809</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8,347</w:t>
            </w:r>
          </w:p>
        </w:tc>
        <w:tc>
          <w:tcPr>
            <w:tcW w:w="0" w:type="dxa"/>
            <w:vAlign w:val="bottom"/>
          </w:tcPr>
          <w:p>
            <w:pPr>
              <w:spacing w:after="0"/>
              <w:rPr>
                <w:sz w:val="1"/>
                <w:szCs w:val="1"/>
                <w:color w:val="auto"/>
              </w:rPr>
            </w:pPr>
          </w:p>
        </w:tc>
      </w:tr>
      <w:tr>
        <w:trPr>
          <w:trHeight w:val="230"/>
        </w:trPr>
        <w:tc>
          <w:tcPr>
            <w:tcW w:w="7520" w:type="dxa"/>
            <w:vAlign w:val="bottom"/>
          </w:tcPr>
          <w:p>
            <w:pPr>
              <w:ind w:left="660"/>
              <w:spacing w:after="0" w:line="220" w:lineRule="exact"/>
              <w:rPr>
                <w:sz w:val="20"/>
                <w:szCs w:val="20"/>
                <w:color w:val="auto"/>
              </w:rPr>
            </w:pPr>
            <w:r>
              <w:rPr>
                <w:rFonts w:ascii="Arial" w:cs="Arial" w:eastAsia="Arial" w:hAnsi="Arial"/>
                <w:sz w:val="20"/>
                <w:szCs w:val="20"/>
                <w:color w:val="auto"/>
              </w:rPr>
              <w:t>Total gross deferred tax assets</w:t>
            </w:r>
          </w:p>
        </w:tc>
        <w:tc>
          <w:tcPr>
            <w:tcW w:w="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452,839</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133,534</w:t>
            </w:r>
          </w:p>
        </w:tc>
        <w:tc>
          <w:tcPr>
            <w:tcW w:w="0" w:type="dxa"/>
            <w:vAlign w:val="bottom"/>
          </w:tcPr>
          <w:p>
            <w:pPr>
              <w:spacing w:after="0"/>
              <w:rPr>
                <w:sz w:val="1"/>
                <w:szCs w:val="1"/>
                <w:color w:val="auto"/>
              </w:rPr>
            </w:pPr>
          </w:p>
        </w:tc>
      </w:tr>
      <w:tr>
        <w:trPr>
          <w:trHeight w:val="422"/>
        </w:trPr>
        <w:tc>
          <w:tcPr>
            <w:tcW w:w="752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Amortization of trademarks</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(12,078)</w:t>
            </w:r>
          </w:p>
        </w:tc>
        <w:tc>
          <w:tcPr>
            <w:tcW w:w="30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(11,923)</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Intangibles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(134,021)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State franchise tax - deferred</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(18,359)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(4,198)</w:t>
            </w: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20"/>
                <w:szCs w:val="20"/>
                <w:color w:val="auto"/>
              </w:rPr>
              <w:t>Other deferred tax liabilities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(2,337)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(327)</w:t>
            </w:r>
          </w:p>
        </w:tc>
        <w:tc>
          <w:tcPr>
            <w:tcW w:w="0" w:type="dxa"/>
            <w:vAlign w:val="bottom"/>
          </w:tcPr>
          <w:p>
            <w:pPr>
              <w:spacing w:after="0"/>
              <w:rPr>
                <w:sz w:val="1"/>
                <w:szCs w:val="1"/>
                <w:color w:val="auto"/>
              </w:rPr>
            </w:pPr>
          </w:p>
        </w:tc>
      </w:tr>
      <w:tr>
        <w:trPr>
          <w:trHeight w:val="240"/>
        </w:trPr>
        <w:tc>
          <w:tcPr>
            <w:tcW w:w="7520" w:type="dxa"/>
            <w:vAlign w:val="bottom"/>
          </w:tcPr>
          <w:p>
            <w:pPr>
              <w:ind w:left="240"/>
              <w:spacing w:after="0"/>
              <w:rPr>
                <w:sz w:val="20"/>
                <w:szCs w:val="20"/>
                <w:color w:val="auto"/>
              </w:rPr>
            </w:pPr>
            <w:r>
              <w:rPr>
                <w:rFonts w:ascii="Arial" w:cs="Arial" w:eastAsia="Arial" w:hAnsi="Arial"/>
                <w:sz w:val="20"/>
                <w:szCs w:val="20"/>
                <w:color w:val="auto"/>
              </w:rPr>
              <w:t>Depreciation</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(7,543)</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(5,022)</w:t>
            </w:r>
          </w:p>
        </w:tc>
        <w:tc>
          <w:tcPr>
            <w:tcW w:w="0" w:type="dxa"/>
            <w:vAlign w:val="bottom"/>
          </w:tcPr>
          <w:p>
            <w:pPr>
              <w:spacing w:after="0"/>
              <w:rPr>
                <w:sz w:val="1"/>
                <w:szCs w:val="1"/>
                <w:color w:val="auto"/>
              </w:rPr>
            </w:pPr>
          </w:p>
        </w:tc>
      </w:tr>
      <w:tr>
        <w:trPr>
          <w:trHeight w:val="230"/>
        </w:trPr>
        <w:tc>
          <w:tcPr>
            <w:tcW w:w="7520" w:type="dxa"/>
            <w:vAlign w:val="bottom"/>
          </w:tcPr>
          <w:p>
            <w:pPr>
              <w:ind w:left="660"/>
              <w:spacing w:after="0" w:line="220" w:lineRule="exact"/>
              <w:rPr>
                <w:sz w:val="20"/>
                <w:szCs w:val="20"/>
                <w:color w:val="auto"/>
              </w:rPr>
            </w:pPr>
            <w:r>
              <w:rPr>
                <w:rFonts w:ascii="Arial" w:cs="Arial" w:eastAsia="Arial" w:hAnsi="Arial"/>
                <w:sz w:val="20"/>
                <w:szCs w:val="20"/>
                <w:color w:val="auto"/>
              </w:rPr>
              <w:t>Total gross deferred tax liabilities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(174,338)</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(21,470)</w:t>
            </w:r>
          </w:p>
        </w:tc>
        <w:tc>
          <w:tcPr>
            <w:tcW w:w="0" w:type="dxa"/>
            <w:vAlign w:val="bottom"/>
          </w:tcPr>
          <w:p>
            <w:pPr>
              <w:spacing w:after="0"/>
              <w:rPr>
                <w:sz w:val="1"/>
                <w:szCs w:val="1"/>
                <w:color w:val="auto"/>
              </w:rPr>
            </w:pPr>
          </w:p>
        </w:tc>
      </w:tr>
      <w:tr>
        <w:trPr>
          <w:trHeight w:val="443"/>
        </w:trPr>
        <w:tc>
          <w:tcPr>
            <w:tcW w:w="7520" w:type="dxa"/>
            <w:vAlign w:val="bottom"/>
          </w:tcPr>
          <w:p>
            <w:pPr>
              <w:ind w:left="220"/>
              <w:spacing w:after="0"/>
              <w:rPr>
                <w:sz w:val="20"/>
                <w:szCs w:val="20"/>
                <w:color w:val="auto"/>
              </w:rPr>
            </w:pPr>
            <w:r>
              <w:rPr>
                <w:rFonts w:ascii="Arial" w:cs="Arial" w:eastAsia="Arial" w:hAnsi="Arial"/>
                <w:sz w:val="20"/>
                <w:szCs w:val="20"/>
                <w:color w:val="auto"/>
              </w:rPr>
              <w:t>Valuation Allowance</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(17,191)</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(17,683)</w:t>
            </w:r>
          </w:p>
        </w:tc>
        <w:tc>
          <w:tcPr>
            <w:tcW w:w="0" w:type="dxa"/>
            <w:vAlign w:val="bottom"/>
          </w:tcPr>
          <w:p>
            <w:pPr>
              <w:spacing w:after="0"/>
              <w:rPr>
                <w:sz w:val="1"/>
                <w:szCs w:val="1"/>
                <w:color w:val="auto"/>
              </w:rPr>
            </w:pPr>
          </w:p>
        </w:tc>
      </w:tr>
      <w:tr>
        <w:trPr>
          <w:trHeight w:val="212"/>
        </w:trPr>
        <w:tc>
          <w:tcPr>
            <w:tcW w:w="7520" w:type="dxa"/>
            <w:vAlign w:val="bottom"/>
            <w:vMerge w:val="restart"/>
          </w:tcPr>
          <w:p>
            <w:pPr>
              <w:ind w:left="660"/>
              <w:spacing w:after="0"/>
              <w:rPr>
                <w:sz w:val="20"/>
                <w:szCs w:val="20"/>
                <w:color w:val="auto"/>
              </w:rPr>
            </w:pPr>
            <w:r>
              <w:rPr>
                <w:rFonts w:ascii="Arial" w:cs="Arial" w:eastAsia="Arial" w:hAnsi="Arial"/>
                <w:sz w:val="20"/>
                <w:szCs w:val="20"/>
                <w:color w:val="auto"/>
              </w:rPr>
              <w:t>Net deferred tax assets</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261,310</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94,381</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During the years ended December 31, 2015, 2014 and 2013,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(decrease) increase the Company’s provision for income taxes by ($0.5) million, ($4.4) million and $10.8 million for the years ended December 31, 2015, 2014 and 2013, respectively. At December 31, 2015, the Company had net operating loss carryforwards of approximately $129.1 million. Of this amount, $112.3 million may be carried forward indefinitely. The remaining $16.9 million will begin to expire in 2017.</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52" w:right="199" w:bottom="0" w:gutter="0" w:footer="0" w:header="0"/>
        </w:sectPr>
      </w:pPr>
    </w:p>
    <w:bookmarkStart w:id="75" w:name="page76"/>
    <w:bookmarkEnd w:id="75"/>
    <w:p>
      <w:pPr>
        <w:spacing w:after="0" w:line="50"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years ended December 31, 2015, 2014 and 2013:</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right"/>
              <w:ind w:right="282"/>
              <w:spacing w:after="0"/>
              <w:rPr>
                <w:sz w:val="20"/>
                <w:szCs w:val="20"/>
                <w:color w:val="auto"/>
              </w:rPr>
            </w:pPr>
            <w:r>
              <w:rPr>
                <w:rFonts w:ascii="Arial" w:cs="Arial" w:eastAsia="Arial" w:hAnsi="Arial"/>
                <w:sz w:val="18"/>
                <w:szCs w:val="18"/>
                <w:b w:val="1"/>
                <w:bCs w:val="1"/>
                <w:color w:val="auto"/>
                <w:w w:val="89"/>
              </w:rPr>
              <w:t>Gross Unrealized Tax</w:t>
            </w:r>
          </w:p>
        </w:tc>
        <w:tc>
          <w:tcPr>
            <w:tcW w:w="0" w:type="dxa"/>
            <w:vAlign w:val="bottom"/>
          </w:tcPr>
          <w:p>
            <w:pPr>
              <w:spacing w:after="0"/>
              <w:rPr>
                <w:sz w:val="1"/>
                <w:szCs w:val="1"/>
                <w:color w:val="auto"/>
              </w:rPr>
            </w:pPr>
          </w:p>
        </w:tc>
      </w:tr>
      <w:tr>
        <w:trPr>
          <w:trHeight w:val="234"/>
        </w:trPr>
        <w:tc>
          <w:tcPr>
            <w:tcW w:w="5260" w:type="dxa"/>
            <w:vAlign w:val="bottom"/>
            <w:vMerge w:val="restart"/>
          </w:tcPr>
          <w:p>
            <w:pPr>
              <w:spacing w:after="0"/>
              <w:rPr>
                <w:sz w:val="20"/>
                <w:szCs w:val="20"/>
                <w:color w:val="auto"/>
              </w:rPr>
            </w:pPr>
            <w:r>
              <w:rPr>
                <w:rFonts w:ascii="Arial" w:cs="Arial" w:eastAsia="Arial" w:hAnsi="Arial"/>
                <w:sz w:val="20"/>
                <w:szCs w:val="20"/>
                <w:b w:val="1"/>
                <w:bCs w:val="1"/>
                <w:color w:val="auto"/>
              </w:rPr>
              <w:t>Balance at January 1, 2013</w:t>
            </w: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02"/>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06"/>
        </w:trPr>
        <w:tc>
          <w:tcPr>
            <w:tcW w:w="5260" w:type="dxa"/>
            <w:vAlign w:val="bottom"/>
            <w:vMerge w:val="continue"/>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040" w:type="dxa"/>
            <w:vAlign w:val="bottom"/>
          </w:tcPr>
          <w:p>
            <w:pPr>
              <w:jc w:val="right"/>
              <w:ind w:right="42"/>
              <w:spacing w:after="0" w:line="207" w:lineRule="exact"/>
              <w:rPr>
                <w:sz w:val="20"/>
                <w:szCs w:val="20"/>
                <w:color w:val="auto"/>
              </w:rPr>
            </w:pPr>
            <w:r>
              <w:rPr>
                <w:rFonts w:ascii="Arial" w:cs="Arial" w:eastAsia="Arial" w:hAnsi="Arial"/>
                <w:sz w:val="20"/>
                <w:szCs w:val="20"/>
                <w:color w:val="auto"/>
              </w:rPr>
              <w:t>926</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220" w:type="dxa"/>
            <w:vAlign w:val="bottom"/>
          </w:tcPr>
          <w:p>
            <w:pPr>
              <w:spacing w:after="0"/>
              <w:rPr>
                <w:sz w:val="19"/>
                <w:szCs w:val="19"/>
                <w:color w:val="auto"/>
              </w:rPr>
            </w:pPr>
          </w:p>
        </w:tc>
        <w:tc>
          <w:tcPr>
            <w:tcW w:w="204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20" w:type="dxa"/>
            <w:vAlign w:val="bottom"/>
          </w:tcPr>
          <w:p>
            <w:pPr>
              <w:spacing w:after="0"/>
              <w:rPr>
                <w:sz w:val="19"/>
                <w:szCs w:val="19"/>
                <w:color w:val="auto"/>
              </w:rPr>
            </w:pPr>
          </w:p>
        </w:tc>
        <w:tc>
          <w:tcPr>
            <w:tcW w:w="2040" w:type="dxa"/>
            <w:vAlign w:val="bottom"/>
          </w:tcPr>
          <w:p>
            <w:pPr>
              <w:jc w:val="right"/>
              <w:ind w:right="42"/>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24"/>
        </w:trPr>
        <w:tc>
          <w:tcPr>
            <w:tcW w:w="5260" w:type="dxa"/>
            <w:vAlign w:val="bottom"/>
          </w:tcPr>
          <w:p>
            <w:pPr>
              <w:spacing w:after="0" w:line="224" w:lineRule="exact"/>
              <w:rPr>
                <w:sz w:val="20"/>
                <w:szCs w:val="20"/>
                <w:color w:val="auto"/>
              </w:rPr>
            </w:pPr>
            <w:r>
              <w:rPr>
                <w:rFonts w:ascii="Arial" w:cs="Arial" w:eastAsia="Arial" w:hAnsi="Arial"/>
                <w:sz w:val="20"/>
                <w:szCs w:val="20"/>
                <w:color w:val="auto"/>
              </w:rPr>
              <w:t>Decreases for tax positions related to prior years</w:t>
            </w:r>
          </w:p>
        </w:tc>
        <w:tc>
          <w:tcPr>
            <w:tcW w:w="220" w:type="dxa"/>
            <w:vAlign w:val="bottom"/>
          </w:tcPr>
          <w:p>
            <w:pPr>
              <w:spacing w:after="0"/>
              <w:rPr>
                <w:sz w:val="19"/>
                <w:szCs w:val="19"/>
                <w:color w:val="auto"/>
              </w:rPr>
            </w:pPr>
          </w:p>
        </w:tc>
        <w:tc>
          <w:tcPr>
            <w:tcW w:w="2040" w:type="dxa"/>
            <w:vAlign w:val="bottom"/>
          </w:tcPr>
          <w:p>
            <w:pPr>
              <w:jc w:val="right"/>
              <w:ind w:right="42"/>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526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2013</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260" w:type="dxa"/>
            <w:vAlign w:val="bottom"/>
            <w:vMerge w:val="continue"/>
          </w:tcPr>
          <w:p>
            <w:pPr>
              <w:spacing w:after="0"/>
              <w:rPr>
                <w:sz w:val="18"/>
                <w:szCs w:val="18"/>
                <w:color w:val="auto"/>
              </w:rPr>
            </w:pPr>
          </w:p>
        </w:tc>
        <w:tc>
          <w:tcPr>
            <w:tcW w:w="220" w:type="dxa"/>
            <w:vAlign w:val="bottom"/>
            <w:tcBorders>
              <w:bottom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tcBorders>
          </w:tcPr>
          <w:p>
            <w:pPr>
              <w:jc w:val="right"/>
              <w:ind w:right="42"/>
              <w:spacing w:after="0" w:line="207"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13"/>
        </w:trPr>
        <w:tc>
          <w:tcPr>
            <w:tcW w:w="5260" w:type="dxa"/>
            <w:vAlign w:val="bottom"/>
          </w:tcPr>
          <w:p>
            <w:pPr>
              <w:spacing w:after="0" w:line="213" w:lineRule="exact"/>
              <w:rPr>
                <w:sz w:val="20"/>
                <w:szCs w:val="20"/>
                <w:color w:val="auto"/>
              </w:rPr>
            </w:pPr>
            <w:r>
              <w:rPr>
                <w:rFonts w:ascii="Arial" w:cs="Arial" w:eastAsia="Arial" w:hAnsi="Arial"/>
                <w:sz w:val="20"/>
                <w:szCs w:val="20"/>
                <w:color w:val="auto"/>
              </w:rPr>
              <w:t>Additions for tax positions related to the current year</w:t>
            </w:r>
          </w:p>
        </w:tc>
        <w:tc>
          <w:tcPr>
            <w:tcW w:w="220" w:type="dxa"/>
            <w:vAlign w:val="bottom"/>
          </w:tcPr>
          <w:p>
            <w:pPr>
              <w:spacing w:after="0"/>
              <w:rPr>
                <w:sz w:val="18"/>
                <w:szCs w:val="18"/>
                <w:color w:val="auto"/>
              </w:rPr>
            </w:pPr>
          </w:p>
        </w:tc>
        <w:tc>
          <w:tcPr>
            <w:tcW w:w="2040" w:type="dxa"/>
            <w:vAlign w:val="bottom"/>
          </w:tcPr>
          <w:p>
            <w:pPr>
              <w:jc w:val="right"/>
              <w:ind w:right="42"/>
              <w:spacing w:after="0" w:line="21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20" w:type="dxa"/>
            <w:vAlign w:val="bottom"/>
          </w:tcPr>
          <w:p>
            <w:pPr>
              <w:spacing w:after="0"/>
              <w:rPr>
                <w:sz w:val="19"/>
                <w:szCs w:val="19"/>
                <w:color w:val="auto"/>
              </w:rPr>
            </w:pPr>
          </w:p>
        </w:tc>
        <w:tc>
          <w:tcPr>
            <w:tcW w:w="204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4"/>
        </w:trPr>
        <w:tc>
          <w:tcPr>
            <w:tcW w:w="5260" w:type="dxa"/>
            <w:vAlign w:val="bottom"/>
          </w:tcPr>
          <w:p>
            <w:pPr>
              <w:spacing w:after="0" w:line="224" w:lineRule="exact"/>
              <w:rPr>
                <w:sz w:val="20"/>
                <w:szCs w:val="20"/>
                <w:color w:val="auto"/>
              </w:rPr>
            </w:pPr>
            <w:r>
              <w:rPr>
                <w:rFonts w:ascii="Arial" w:cs="Arial" w:eastAsia="Arial" w:hAnsi="Arial"/>
                <w:sz w:val="20"/>
                <w:szCs w:val="20"/>
                <w:color w:val="auto"/>
              </w:rPr>
              <w:t>Decreases for tax positions related to prior years</w:t>
            </w:r>
          </w:p>
        </w:tc>
        <w:tc>
          <w:tcPr>
            <w:tcW w:w="220" w:type="dxa"/>
            <w:vAlign w:val="bottom"/>
          </w:tcPr>
          <w:p>
            <w:pPr>
              <w:spacing w:after="0"/>
              <w:rPr>
                <w:sz w:val="19"/>
                <w:szCs w:val="19"/>
                <w:color w:val="auto"/>
              </w:rPr>
            </w:pPr>
          </w:p>
        </w:tc>
        <w:tc>
          <w:tcPr>
            <w:tcW w:w="2040" w:type="dxa"/>
            <w:vAlign w:val="bottom"/>
          </w:tcPr>
          <w:p>
            <w:pPr>
              <w:jc w:val="right"/>
              <w:ind w:right="42"/>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526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2014</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tcBorders>
          </w:tcPr>
          <w:p>
            <w:pPr>
              <w:jc w:val="right"/>
              <w:ind w:right="42"/>
              <w:spacing w:after="0" w:line="223"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jc w:val="right"/>
              <w:ind w:right="42"/>
              <w:spacing w:after="0" w:line="19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20" w:type="dxa"/>
            <w:vAlign w:val="bottom"/>
          </w:tcPr>
          <w:p>
            <w:pPr>
              <w:spacing w:after="0"/>
              <w:rPr>
                <w:sz w:val="19"/>
                <w:szCs w:val="19"/>
                <w:color w:val="auto"/>
              </w:rPr>
            </w:pPr>
          </w:p>
        </w:tc>
        <w:tc>
          <w:tcPr>
            <w:tcW w:w="204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4"/>
        </w:trPr>
        <w:tc>
          <w:tcPr>
            <w:tcW w:w="5260" w:type="dxa"/>
            <w:vAlign w:val="bottom"/>
          </w:tcPr>
          <w:p>
            <w:pPr>
              <w:spacing w:after="0" w:line="224" w:lineRule="exact"/>
              <w:rPr>
                <w:sz w:val="20"/>
                <w:szCs w:val="20"/>
                <w:color w:val="auto"/>
              </w:rPr>
            </w:pPr>
            <w:r>
              <w:rPr>
                <w:rFonts w:ascii="Arial" w:cs="Arial" w:eastAsia="Arial" w:hAnsi="Arial"/>
                <w:sz w:val="20"/>
                <w:szCs w:val="20"/>
                <w:color w:val="auto"/>
              </w:rPr>
              <w:t>Decreases for tax positions related to prior years</w:t>
            </w:r>
          </w:p>
        </w:tc>
        <w:tc>
          <w:tcPr>
            <w:tcW w:w="220" w:type="dxa"/>
            <w:vAlign w:val="bottom"/>
          </w:tcPr>
          <w:p>
            <w:pPr>
              <w:spacing w:after="0"/>
              <w:rPr>
                <w:sz w:val="19"/>
                <w:szCs w:val="19"/>
                <w:color w:val="auto"/>
              </w:rPr>
            </w:pPr>
          </w:p>
        </w:tc>
        <w:tc>
          <w:tcPr>
            <w:tcW w:w="2040" w:type="dxa"/>
            <w:vAlign w:val="bottom"/>
          </w:tcPr>
          <w:p>
            <w:pPr>
              <w:jc w:val="right"/>
              <w:spacing w:after="0" w:line="224" w:lineRule="exact"/>
              <w:rPr>
                <w:sz w:val="20"/>
                <w:szCs w:val="20"/>
                <w:color w:val="auto"/>
              </w:rPr>
            </w:pPr>
            <w:r>
              <w:rPr>
                <w:rFonts w:ascii="Arial" w:cs="Arial" w:eastAsia="Arial" w:hAnsi="Arial"/>
                <w:sz w:val="20"/>
                <w:szCs w:val="20"/>
                <w:color w:val="auto"/>
              </w:rPr>
              <w:t>(464)</w:t>
            </w:r>
          </w:p>
        </w:tc>
        <w:tc>
          <w:tcPr>
            <w:tcW w:w="0" w:type="dxa"/>
            <w:vAlign w:val="bottom"/>
          </w:tcPr>
          <w:p>
            <w:pPr>
              <w:spacing w:after="0"/>
              <w:rPr>
                <w:sz w:val="1"/>
                <w:szCs w:val="1"/>
                <w:color w:val="auto"/>
              </w:rPr>
            </w:pPr>
          </w:p>
        </w:tc>
      </w:tr>
      <w:tr>
        <w:trPr>
          <w:trHeight w:val="23"/>
        </w:trPr>
        <w:tc>
          <w:tcPr>
            <w:tcW w:w="526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2015</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tcBorders>
          </w:tcPr>
          <w:p>
            <w:pPr>
              <w:jc w:val="right"/>
              <w:ind w:right="42"/>
              <w:spacing w:after="0" w:line="223" w:lineRule="exact"/>
              <w:rPr>
                <w:sz w:val="20"/>
                <w:szCs w:val="20"/>
                <w:color w:val="auto"/>
              </w:rPr>
            </w:pPr>
            <w:r>
              <w:rPr>
                <w:rFonts w:ascii="Arial" w:cs="Arial" w:eastAsia="Arial" w:hAnsi="Arial"/>
                <w:sz w:val="20"/>
                <w:szCs w:val="20"/>
                <w:color w:val="auto"/>
              </w:rPr>
              <w:t>471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consolidated financial statements. As of December 31, 2015, the Company had accrued approximately $0.2 million in interest and penalties related to unrecognized tax benefits. If the Company were to prevail on all uncertain tax positions it would not have a significant impact on the Company’s effective tax rate.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 is expected that the amount of unrecognized tax benefit change within the next 12 months will not be significant.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On August 7, 2015, the Internal Revenue Service (the “IRS”) began its examination of the Company’s U.S. federal income tax returns for the years ended December 31, 2012 and 2013.</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2012, 2013 and 2014 U.S. federal income tax returns are subject to examination by the IRS. State income tax returns are subject to examination for the 2011 through 2014 tax years.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 reconciliation of the weighted average shares used in the basic and diluted earnings per common share computations for the years ended December 31, 2015, 2014 and 2013 is presented below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720" w:type="dxa"/>
            <w:vAlign w:val="bottom"/>
            <w:vMerge w:val="restart"/>
          </w:tcPr>
          <w:p>
            <w:pPr>
              <w:spacing w:after="0"/>
              <w:rPr>
                <w:sz w:val="20"/>
                <w:szCs w:val="20"/>
                <w:color w:val="auto"/>
              </w:rPr>
            </w:pPr>
            <w:r>
              <w:rPr>
                <w:rFonts w:ascii="Arial" w:cs="Arial" w:eastAsia="Arial" w:hAnsi="Arial"/>
                <w:sz w:val="19"/>
                <w:szCs w:val="19"/>
                <w:color w:val="auto"/>
              </w:rPr>
              <w:t>Weighted-average shares outstanding:</w:t>
            </w:r>
          </w:p>
        </w:tc>
        <w:tc>
          <w:tcPr>
            <w:tcW w:w="136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2015</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2014</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ind w:right="445"/>
              <w:spacing w:after="0"/>
              <w:rPr>
                <w:sz w:val="20"/>
                <w:szCs w:val="20"/>
                <w:color w:val="auto"/>
              </w:rPr>
            </w:pPr>
            <w:r>
              <w:rPr>
                <w:rFonts w:ascii="Arial" w:cs="Arial" w:eastAsia="Arial" w:hAnsi="Arial"/>
                <w:sz w:val="19"/>
                <w:szCs w:val="19"/>
                <w:color w:val="auto"/>
              </w:rPr>
              <w:t>2013</w:t>
            </w:r>
          </w:p>
        </w:tc>
        <w:tc>
          <w:tcPr>
            <w:tcW w:w="0" w:type="dxa"/>
            <w:vAlign w:val="bottom"/>
          </w:tcPr>
          <w:p>
            <w:pPr>
              <w:spacing w:after="0"/>
              <w:rPr>
                <w:sz w:val="1"/>
                <w:szCs w:val="1"/>
                <w:color w:val="auto"/>
              </w:rPr>
            </w:pPr>
          </w:p>
        </w:tc>
      </w:tr>
      <w:tr>
        <w:trPr>
          <w:trHeight w:val="174"/>
        </w:trPr>
        <w:tc>
          <w:tcPr>
            <w:tcW w:w="57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820"/>
              <w:spacing w:after="0" w:line="216" w:lineRule="exact"/>
              <w:rPr>
                <w:sz w:val="20"/>
                <w:szCs w:val="20"/>
                <w:color w:val="auto"/>
              </w:rPr>
            </w:pPr>
            <w:r>
              <w:rPr>
                <w:rFonts w:ascii="Arial" w:cs="Arial" w:eastAsia="Arial" w:hAnsi="Arial"/>
                <w:sz w:val="19"/>
                <w:szCs w:val="19"/>
                <w:color w:val="auto"/>
              </w:rPr>
              <w:t>Basic</w:t>
            </w:r>
          </w:p>
        </w:tc>
        <w:tc>
          <w:tcPr>
            <w:tcW w:w="13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188,816</w:t>
            </w:r>
          </w:p>
        </w:tc>
        <w:tc>
          <w:tcPr>
            <w:tcW w:w="300" w:type="dxa"/>
            <w:vAlign w:val="bottom"/>
          </w:tcPr>
          <w:p>
            <w:pPr>
              <w:spacing w:after="0"/>
              <w:rPr>
                <w:sz w:val="18"/>
                <w:szCs w:val="18"/>
                <w:color w:val="auto"/>
              </w:rPr>
            </w:pPr>
          </w:p>
        </w:tc>
        <w:tc>
          <w:tcPr>
            <w:tcW w:w="13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167,257</w:t>
            </w:r>
          </w:p>
        </w:tc>
        <w:tc>
          <w:tcPr>
            <w:tcW w:w="280" w:type="dxa"/>
            <w:vAlign w:val="bottom"/>
          </w:tcPr>
          <w:p>
            <w:pPr>
              <w:spacing w:after="0"/>
              <w:rPr>
                <w:sz w:val="18"/>
                <w:szCs w:val="18"/>
                <w:color w:val="auto"/>
              </w:rPr>
            </w:pPr>
          </w:p>
        </w:tc>
        <w:tc>
          <w:tcPr>
            <w:tcW w:w="1460" w:type="dxa"/>
            <w:vAlign w:val="bottom"/>
          </w:tcPr>
          <w:p>
            <w:pPr>
              <w:jc w:val="right"/>
              <w:ind w:right="5"/>
              <w:spacing w:after="0" w:line="216" w:lineRule="exact"/>
              <w:rPr>
                <w:sz w:val="20"/>
                <w:szCs w:val="20"/>
                <w:color w:val="auto"/>
              </w:rPr>
            </w:pPr>
            <w:r>
              <w:rPr>
                <w:rFonts w:ascii="Arial" w:cs="Arial" w:eastAsia="Arial" w:hAnsi="Arial"/>
                <w:sz w:val="19"/>
                <w:szCs w:val="19"/>
                <w:color w:val="auto"/>
              </w:rPr>
              <w:t>166,679</w:t>
            </w:r>
          </w:p>
        </w:tc>
        <w:tc>
          <w:tcPr>
            <w:tcW w:w="0" w:type="dxa"/>
            <w:vAlign w:val="bottom"/>
          </w:tcPr>
          <w:p>
            <w:pPr>
              <w:spacing w:after="0"/>
              <w:rPr>
                <w:sz w:val="1"/>
                <w:szCs w:val="1"/>
                <w:color w:val="auto"/>
              </w:rPr>
            </w:pPr>
          </w:p>
        </w:tc>
      </w:tr>
      <w:tr>
        <w:trPr>
          <w:trHeight w:val="216"/>
        </w:trPr>
        <w:tc>
          <w:tcPr>
            <w:tcW w:w="5720" w:type="dxa"/>
            <w:vAlign w:val="bottom"/>
          </w:tcPr>
          <w:p>
            <w:pPr>
              <w:ind w:left="820"/>
              <w:spacing w:after="0" w:line="216" w:lineRule="exact"/>
              <w:rPr>
                <w:sz w:val="20"/>
                <w:szCs w:val="20"/>
                <w:color w:val="auto"/>
              </w:rPr>
            </w:pPr>
            <w:r>
              <w:rPr>
                <w:rFonts w:ascii="Arial" w:cs="Arial" w:eastAsia="Arial" w:hAnsi="Arial"/>
                <w:sz w:val="19"/>
                <w:szCs w:val="19"/>
                <w:color w:val="auto"/>
              </w:rPr>
              <w:t>Dilutive securities</w:t>
            </w:r>
          </w:p>
        </w:tc>
        <w:tc>
          <w:tcPr>
            <w:tcW w:w="1360" w:type="dxa"/>
            <w:vAlign w:val="bottom"/>
          </w:tcPr>
          <w:p>
            <w:pPr>
              <w:jc w:val="right"/>
              <w:ind w:right="5"/>
              <w:spacing w:after="0" w:line="216" w:lineRule="exact"/>
              <w:rPr>
                <w:sz w:val="20"/>
                <w:szCs w:val="20"/>
                <w:color w:val="auto"/>
              </w:rPr>
            </w:pPr>
            <w:r>
              <w:rPr>
                <w:rFonts w:ascii="Arial" w:cs="Arial" w:eastAsia="Arial" w:hAnsi="Arial"/>
                <w:sz w:val="19"/>
                <w:szCs w:val="19"/>
                <w:color w:val="auto"/>
              </w:rPr>
              <w:t>3,770</w:t>
            </w:r>
          </w:p>
        </w:tc>
        <w:tc>
          <w:tcPr>
            <w:tcW w:w="300" w:type="dxa"/>
            <w:vAlign w:val="bottom"/>
          </w:tcPr>
          <w:p>
            <w:pPr>
              <w:spacing w:after="0"/>
              <w:rPr>
                <w:sz w:val="18"/>
                <w:szCs w:val="18"/>
                <w:color w:val="auto"/>
              </w:rPr>
            </w:pPr>
          </w:p>
        </w:tc>
        <w:tc>
          <w:tcPr>
            <w:tcW w:w="1360" w:type="dxa"/>
            <w:vAlign w:val="bottom"/>
          </w:tcPr>
          <w:p>
            <w:pPr>
              <w:jc w:val="right"/>
              <w:ind w:right="5"/>
              <w:spacing w:after="0" w:line="216" w:lineRule="exact"/>
              <w:rPr>
                <w:sz w:val="20"/>
                <w:szCs w:val="20"/>
                <w:color w:val="auto"/>
              </w:rPr>
            </w:pPr>
            <w:r>
              <w:rPr>
                <w:rFonts w:ascii="Arial" w:cs="Arial" w:eastAsia="Arial" w:hAnsi="Arial"/>
                <w:sz w:val="19"/>
                <w:szCs w:val="19"/>
                <w:color w:val="auto"/>
              </w:rPr>
              <w:t>7,028</w:t>
            </w:r>
          </w:p>
        </w:tc>
        <w:tc>
          <w:tcPr>
            <w:tcW w:w="280" w:type="dxa"/>
            <w:vAlign w:val="bottom"/>
          </w:tcPr>
          <w:p>
            <w:pPr>
              <w:spacing w:after="0"/>
              <w:rPr>
                <w:sz w:val="18"/>
                <w:szCs w:val="18"/>
                <w:color w:val="auto"/>
              </w:rPr>
            </w:pPr>
          </w:p>
        </w:tc>
        <w:tc>
          <w:tcPr>
            <w:tcW w:w="1460" w:type="dxa"/>
            <w:vAlign w:val="bottom"/>
          </w:tcPr>
          <w:p>
            <w:pPr>
              <w:jc w:val="right"/>
              <w:ind w:right="5"/>
              <w:spacing w:after="0" w:line="216" w:lineRule="exact"/>
              <w:rPr>
                <w:sz w:val="20"/>
                <w:szCs w:val="20"/>
                <w:color w:val="auto"/>
              </w:rPr>
            </w:pPr>
            <w:r>
              <w:rPr>
                <w:rFonts w:ascii="Arial" w:cs="Arial" w:eastAsia="Arial" w:hAnsi="Arial"/>
                <w:sz w:val="19"/>
                <w:szCs w:val="19"/>
                <w:color w:val="auto"/>
              </w:rPr>
              <w:t>6,708</w:t>
            </w:r>
          </w:p>
        </w:tc>
        <w:tc>
          <w:tcPr>
            <w:tcW w:w="0" w:type="dxa"/>
            <w:vAlign w:val="bottom"/>
          </w:tcPr>
          <w:p>
            <w:pPr>
              <w:spacing w:after="0"/>
              <w:rPr>
                <w:sz w:val="1"/>
                <w:szCs w:val="1"/>
                <w:color w:val="auto"/>
              </w:rPr>
            </w:pPr>
          </w:p>
        </w:tc>
      </w:tr>
      <w:tr>
        <w:trPr>
          <w:trHeight w:val="22"/>
        </w:trPr>
        <w:tc>
          <w:tcPr>
            <w:tcW w:w="5720" w:type="dxa"/>
            <w:vAlign w:val="bottom"/>
            <w:vMerge w:val="restart"/>
          </w:tcPr>
          <w:p>
            <w:pPr>
              <w:ind w:left="820"/>
              <w:spacing w:after="0"/>
              <w:rPr>
                <w:sz w:val="20"/>
                <w:szCs w:val="20"/>
                <w:color w:val="auto"/>
              </w:rPr>
            </w:pPr>
            <w:r>
              <w:rPr>
                <w:rFonts w:ascii="Arial" w:cs="Arial" w:eastAsia="Arial" w:hAnsi="Arial"/>
                <w:sz w:val="19"/>
                <w:szCs w:val="19"/>
                <w:color w:val="auto"/>
              </w:rPr>
              <w:t>Diluted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3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192,586</w:t>
            </w:r>
          </w:p>
        </w:tc>
        <w:tc>
          <w:tcPr>
            <w:tcW w:w="300" w:type="dxa"/>
            <w:vAlign w:val="bottom"/>
          </w:tcPr>
          <w:p>
            <w:pPr>
              <w:spacing w:after="0"/>
              <w:rPr>
                <w:sz w:val="18"/>
                <w:szCs w:val="18"/>
                <w:color w:val="auto"/>
              </w:rPr>
            </w:pPr>
          </w:p>
        </w:tc>
        <w:tc>
          <w:tcPr>
            <w:tcW w:w="13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174,285</w:t>
            </w:r>
          </w:p>
        </w:tc>
        <w:tc>
          <w:tcPr>
            <w:tcW w:w="280" w:type="dxa"/>
            <w:vAlign w:val="bottom"/>
          </w:tcPr>
          <w:p>
            <w:pPr>
              <w:spacing w:after="0"/>
              <w:rPr>
                <w:sz w:val="18"/>
                <w:szCs w:val="18"/>
                <w:color w:val="auto"/>
              </w:rPr>
            </w:pPr>
          </w:p>
        </w:tc>
        <w:tc>
          <w:tcPr>
            <w:tcW w:w="146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173,387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For the years ended December 31, 2015, 2014 and 2013, options and awards outstanding totaling 1.0 million shares, 0.7 million shares and 1.3 million shares respectively, were excluded from the calculations as their effect would have been antidilutive.</w:t>
      </w:r>
    </w:p>
    <w:p>
      <w:pPr>
        <w:spacing w:after="0" w:line="166" w:lineRule="exact"/>
        <w:rPr>
          <w:sz w:val="20"/>
          <w:szCs w:val="20"/>
          <w:color w:val="auto"/>
        </w:rPr>
      </w:pPr>
    </w:p>
    <w:p>
      <w:pPr>
        <w:ind w:left="600" w:hanging="592"/>
        <w:spacing w:after="0"/>
        <w:tabs>
          <w:tab w:leader="none" w:pos="6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EMPLOYEE BENEFIT PLAN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Employees of the Company may participate in the Monster Beverage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$0.7 million, $0.6 million and $0.6 million for the years ended December 31, 2015, 2014 and 2013, respectively.</w:t>
      </w:r>
    </w:p>
    <w:p>
      <w:pPr>
        <w:sectPr>
          <w:pgSz w:w="11900" w:h="16888" w:orient="portrait"/>
          <w:cols w:equalWidth="0" w:num="1">
            <w:col w:w="11420"/>
          </w:cols>
          <w:pgMar w:left="240" w:top="112" w:right="239" w:bottom="0" w:gutter="0" w:footer="0" w:header="0"/>
        </w:sectPr>
      </w:pPr>
    </w:p>
    <w:bookmarkStart w:id="76" w:name="page77"/>
    <w:bookmarkEnd w:id="76"/>
    <w:p>
      <w:pPr>
        <w:ind w:left="640" w:hanging="632"/>
        <w:spacing w:after="0"/>
        <w:tabs>
          <w:tab w:leader="none" w:pos="6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second quarter of 2015, as a result of the acquisitions and divestitures in connection with the TCCC Transaction, the Company revised its reportable segments to reflect managements’ current view of the business and to align its external financial reporting with its new operating and internal financial reporting model. Historical segment information has been revised to reflect the effect of this change.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 has three operating and reportable segments, (i) Finished Products, which is comprised of the Company’s Monster Energy® drink products (previously comprising the majority of the former Direct Store Delivery segment) (“Finished Products”),</w:t>
      </w:r>
    </w:p>
    <w:p>
      <w:pPr>
        <w:spacing w:after="0" w:line="2" w:lineRule="exact"/>
        <w:rPr>
          <w:sz w:val="20"/>
          <w:szCs w:val="20"/>
          <w:color w:val="auto"/>
        </w:rPr>
      </w:pPr>
    </w:p>
    <w:p>
      <w:pPr>
        <w:jc w:val="both"/>
        <w:ind w:firstLine="8"/>
        <w:spacing w:after="0" w:line="260" w:lineRule="auto"/>
        <w:tabs>
          <w:tab w:leader="none" w:pos="327" w:val="left"/>
        </w:tabs>
        <w:numPr>
          <w:ilvl w:val="0"/>
          <w:numId w:val="58"/>
        </w:numPr>
        <w:rPr>
          <w:rFonts w:ascii="Arial" w:cs="Arial" w:eastAsia="Arial" w:hAnsi="Arial"/>
          <w:sz w:val="19"/>
          <w:szCs w:val="19"/>
          <w:color w:val="auto"/>
        </w:rPr>
      </w:pPr>
      <w:r>
        <w:rPr>
          <w:rFonts w:ascii="Arial" w:cs="Arial" w:eastAsia="Arial" w:hAnsi="Arial"/>
          <w:sz w:val="19"/>
          <w:szCs w:val="19"/>
          <w:color w:val="auto"/>
        </w:rPr>
        <w:t>Concentrate, the principal products of which include the various energy drink brands acquired from TCCC as a result of the TCCC Transaction (“Concentrate”) and (iii) Other, the principal products of which include the brands disposed of as a result of the TCCC Transaction (previously comprising the majority of the former Warehouse segment and the Peace Tea® brand) (“Other”).</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Finished Products segment generates net operating revenues by selling ready-to-drink packaged energy drinks to full service beverage distributors, retail grocery and specialty chains, wholesalers, club stores, drug chains, mass merchandisers, convenience chains, health food distributors, food service customers and the military.</w:t>
      </w:r>
    </w:p>
    <w:p>
      <w:pPr>
        <w:spacing w:after="0" w:line="200" w:lineRule="exact"/>
        <w:rPr>
          <w:sz w:val="20"/>
          <w:szCs w:val="20"/>
          <w:color w:val="auto"/>
        </w:rPr>
      </w:pPr>
    </w:p>
    <w:p>
      <w:pPr>
        <w:jc w:val="both"/>
        <w:ind w:firstLine="689"/>
        <w:spacing w:after="0" w:line="246" w:lineRule="auto"/>
        <w:rPr>
          <w:sz w:val="20"/>
          <w:szCs w:val="20"/>
          <w:color w:val="auto"/>
        </w:rPr>
      </w:pPr>
      <w:r>
        <w:rPr>
          <w:rFonts w:ascii="Arial" w:cs="Arial" w:eastAsia="Arial" w:hAnsi="Arial"/>
          <w:sz w:val="20"/>
          <w:szCs w:val="20"/>
          <w:color w:val="auto"/>
        </w:rPr>
        <w:t>The Company’s Concentrate segment generates net operating revenues by selling “concentrates” and/or “beverage bases” to authorized bottling and canning operations. Such bottlers generally combine the concentrates and/or beverage bases with sweeteners and water, which are then filled in authorized containers bearing the Company’s respective trademarks and sold to customers directly (or in some cases through wholesalers or other bottlers).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Generally, the Finished Products segment generates higher per case net operating revenues, but lower per case gross profit margins than the Concentrate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revenues derived from the Company’s reportable segments and other financial information related thereto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2015, 2014 and 2013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gridSpan w:val="2"/>
            <w:vMerge w:val="restart"/>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2015</w:t>
            </w:r>
          </w:p>
        </w:tc>
        <w:tc>
          <w:tcPr>
            <w:tcW w:w="20" w:type="dxa"/>
            <w:vAlign w:val="bottom"/>
            <w:tcBorders>
              <w:top w:val="single" w:sz="8" w:color="auto"/>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193"/>
        </w:trPr>
        <w:tc>
          <w:tcPr>
            <w:tcW w:w="4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2,518,505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2,314,492</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2,094,387</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Concentrate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143,282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60,777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150,375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152,041</w:t>
            </w:r>
          </w:p>
        </w:tc>
        <w:tc>
          <w:tcPr>
            <w:tcW w:w="0" w:type="dxa"/>
            <w:vAlign w:val="bottom"/>
          </w:tcPr>
          <w:p>
            <w:pPr>
              <w:spacing w:after="0"/>
              <w:rPr>
                <w:sz w:val="1"/>
                <w:szCs w:val="1"/>
                <w:color w:val="auto"/>
              </w:rPr>
            </w:pPr>
          </w:p>
        </w:tc>
      </w:tr>
      <w:tr>
        <w:trPr>
          <w:trHeight w:val="246"/>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2,722,564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2,464,867</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2,246,428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193"/>
        </w:trPr>
        <w:tc>
          <w:tcPr>
            <w:tcW w:w="4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 (2)</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836,053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904,224</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728,298</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Concentrate</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89,841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(3)</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165,233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7,560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(3,124)</w:t>
            </w:r>
          </w:p>
        </w:tc>
        <w:tc>
          <w:tcPr>
            <w:tcW w:w="0" w:type="dxa"/>
            <w:vAlign w:val="bottom"/>
          </w:tcPr>
          <w:p>
            <w:pPr>
              <w:spacing w:after="0"/>
              <w:rPr>
                <w:sz w:val="1"/>
                <w:szCs w:val="1"/>
                <w:color w:val="auto"/>
              </w:rPr>
            </w:pPr>
          </w:p>
        </w:tc>
      </w:tr>
      <w:tr>
        <w:trPr>
          <w:trHeight w:val="246"/>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Corporate and unallocated</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(197,474)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(164,279)</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(152,258)</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893,653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747,505</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572,916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gridSpan w:val="2"/>
            <w:vMerge w:val="restart"/>
          </w:tcPr>
          <w:p>
            <w:pPr>
              <w:spacing w:after="0"/>
              <w:rPr>
                <w:sz w:val="20"/>
                <w:szCs w:val="20"/>
                <w:color w:val="auto"/>
              </w:rPr>
            </w:pPr>
            <w:r>
              <w:rPr>
                <w:rFonts w:ascii="Arial" w:cs="Arial" w:eastAsia="Arial" w:hAnsi="Arial"/>
                <w:sz w:val="20"/>
                <w:szCs w:val="20"/>
                <w:color w:val="auto"/>
              </w:rPr>
              <w:t>Income before tax:</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193"/>
        </w:trPr>
        <w:tc>
          <w:tcPr>
            <w:tcW w:w="4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Finished Products</w:t>
            </w:r>
            <w:r>
              <w:rPr>
                <w:rFonts w:ascii="Arial" w:cs="Arial" w:eastAsia="Arial" w:hAnsi="Arial"/>
                <w:sz w:val="12"/>
                <w:szCs w:val="12"/>
                <w:color w:val="auto"/>
              </w:rPr>
              <w:t>(1) (2)</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836,429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904,888</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729,053</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Concentrate</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89,825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(3)</w:t>
            </w: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165,233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7,557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(3,125)</w:t>
            </w:r>
          </w:p>
        </w:tc>
        <w:tc>
          <w:tcPr>
            <w:tcW w:w="0" w:type="dxa"/>
            <w:vAlign w:val="bottom"/>
          </w:tcPr>
          <w:p>
            <w:pPr>
              <w:spacing w:after="0"/>
              <w:rPr>
                <w:sz w:val="1"/>
                <w:szCs w:val="1"/>
                <w:color w:val="auto"/>
              </w:rPr>
            </w:pPr>
          </w:p>
        </w:tc>
      </w:tr>
      <w:tr>
        <w:trPr>
          <w:trHeight w:val="246"/>
        </w:trPr>
        <w:tc>
          <w:tcPr>
            <w:tcW w:w="4480" w:type="dxa"/>
            <w:vAlign w:val="bottom"/>
            <w:gridSpan w:val="2"/>
          </w:tcPr>
          <w:p>
            <w:pPr>
              <w:ind w:left="26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(199,939)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(166,657)</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(162,034)</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891,548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745,788</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563,894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Includes $62.8 million, $15.0 million and $14.8 million for the years ended December 31, 2015, 2014 and 2013, respectively, related to the recognition of deferred revenue.</w:t>
      </w:r>
    </w:p>
    <w:p>
      <w:pPr>
        <w:spacing w:after="0" w:line="136" w:lineRule="exact"/>
        <w:rPr>
          <w:rFonts w:ascii="Arial" w:cs="Arial" w:eastAsia="Arial" w:hAnsi="Arial"/>
          <w:sz w:val="14"/>
          <w:szCs w:val="14"/>
          <w:color w:val="auto"/>
        </w:rPr>
      </w:pPr>
    </w:p>
    <w:p>
      <w:pPr>
        <w:ind w:left="640" w:hanging="30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Includes $224.0 million, ($0.2) million and $10.8 million for the years ended December 31, 2015, 2014 and 2013, respectively, related to distributor termination costs.</w:t>
      </w:r>
    </w:p>
    <w:p>
      <w:pPr>
        <w:spacing w:after="0" w:line="136" w:lineRule="exact"/>
        <w:rPr>
          <w:rFonts w:ascii="Arial" w:cs="Arial" w:eastAsia="Arial" w:hAnsi="Arial"/>
          <w:sz w:val="14"/>
          <w:szCs w:val="14"/>
          <w:color w:val="auto"/>
        </w:rPr>
      </w:pPr>
    </w:p>
    <w:p>
      <w:pPr>
        <w:ind w:left="640" w:hanging="30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Includes $161.5 million gain on the sale of Monster Non-Energy for the year ended December 31, 2015.</w:t>
      </w:r>
    </w:p>
    <w:p>
      <w:pPr>
        <w:sectPr>
          <w:pgSz w:w="11900" w:h="16838" w:orient="portrait"/>
          <w:cols w:equalWidth="0" w:num="1">
            <w:col w:w="11420"/>
          </w:cols>
          <w:pgMar w:left="240" w:top="352" w:right="239" w:bottom="2"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4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7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color w:val="auto"/>
              </w:rPr>
              <w:t>2015</w:t>
            </w:r>
          </w:p>
        </w:tc>
        <w:tc>
          <w:tcPr>
            <w:tcW w:w="2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color w:val="auto"/>
              </w:rPr>
              <w:t>2014</w:t>
            </w:r>
          </w:p>
        </w:tc>
        <w:tc>
          <w:tcPr>
            <w:tcW w:w="26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193"/>
        </w:trPr>
        <w:tc>
          <w:tcPr>
            <w:tcW w:w="314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20"/>
                <w:szCs w:val="20"/>
                <w:color w:val="auto"/>
              </w:rPr>
              <w:t>Finished Products</w:t>
            </w:r>
          </w:p>
        </w:tc>
        <w:tc>
          <w:tcPr>
            <w:tcW w:w="104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21,464</w:t>
            </w:r>
          </w:p>
        </w:tc>
        <w:tc>
          <w:tcPr>
            <w:tcW w:w="280" w:type="dxa"/>
            <w:vAlign w:val="bottom"/>
          </w:tcPr>
          <w:p>
            <w:pPr>
              <w:spacing w:after="0"/>
              <w:rPr>
                <w:sz w:val="19"/>
                <w:szCs w:val="19"/>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19,572</w:t>
            </w:r>
          </w:p>
        </w:tc>
        <w:tc>
          <w:tcPr>
            <w:tcW w:w="260" w:type="dxa"/>
            <w:vAlign w:val="bottom"/>
          </w:tcPr>
          <w:p>
            <w:pPr>
              <w:spacing w:after="0"/>
              <w:rPr>
                <w:sz w:val="19"/>
                <w:szCs w:val="19"/>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18,888</w:t>
            </w: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20"/>
                <w:szCs w:val="20"/>
                <w:color w:val="auto"/>
              </w:rPr>
              <w:t>Concentrate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3,868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20"/>
                <w:szCs w:val="20"/>
                <w:color w:val="auto"/>
              </w:rPr>
              <w:t>Other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231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531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423</w:t>
            </w:r>
          </w:p>
        </w:tc>
        <w:tc>
          <w:tcPr>
            <w:tcW w:w="0" w:type="dxa"/>
            <w:vAlign w:val="bottom"/>
          </w:tcPr>
          <w:p>
            <w:pPr>
              <w:spacing w:after="0"/>
              <w:rPr>
                <w:sz w:val="1"/>
                <w:szCs w:val="1"/>
                <w:color w:val="auto"/>
              </w:rPr>
            </w:pPr>
          </w:p>
        </w:tc>
      </w:tr>
      <w:tr>
        <w:trPr>
          <w:trHeight w:val="246"/>
        </w:trPr>
        <w:tc>
          <w:tcPr>
            <w:tcW w:w="314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5,297</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5,548</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3,451</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30,860</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25,651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22,762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Corporate and unallocated expenses were $197.5 million for the year ended December 31, 2015 and included $109.8 million of payroll costs, of which $32.7 million was attributable to stock-based compensation expense (see Note 14, “Stock-Based Compensation”), $60.8 million of professional service expenses, including accounting and legal costs, $7.0 million of insurance costs and $19.9 million of other operating expenses. Corporate and unallocated expenses were $164.3 million for the year ended December 31, 2014 and included $86.2 million of payroll costs, of which $28.6 million was attributable to stock-based compensation expense (see Note 14, “Stock-Based Compensation”), $43.8 million of professional service expenses, including accounting and legal costs, $7.4 million of insurance costs and $26.9 million of other operating expenses. Corporate and unallocated expenses were $152.3 million for the year ended December 31, 2013 and included $82.5 million of payroll costs, of which $28.8 million was attributable to stock-based compensation expense (see Note 14, “Stock-Based Compensation”), $38.7 million of professional service expenses, including accounting and legal costs, and $31.1 million of other operating expenses.</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TCCC, through the TCCC Subsidiaries, accounted for approximately 42%, 29% and 29% of the Company’s net sales for the years ended December 31, 2015, 2014 and 2013,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to customers outside the United States amounted to $580.3 million, $534.2 million and $467.2 million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respectively.  Such sales were approximately 21.3%, 21.7% and 20.8% of net sales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2015, 2014 and 2013, respectively.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Goodwill and other intangible assets for the Company’s reportable segments as of December 31, 2015 and 2014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Arial" w:cs="Arial" w:eastAsia="Arial" w:hAnsi="Arial"/>
                <w:sz w:val="20"/>
                <w:szCs w:val="20"/>
                <w:color w:val="auto"/>
              </w:rPr>
              <w:t>December 31,</w:t>
            </w:r>
          </w:p>
        </w:tc>
        <w:tc>
          <w:tcPr>
            <w:tcW w:w="280" w:type="dxa"/>
            <w:vAlign w:val="bottom"/>
          </w:tcPr>
          <w:p>
            <w:pPr>
              <w:spacing w:after="0"/>
              <w:rPr>
                <w:sz w:val="19"/>
                <w:szCs w:val="19"/>
                <w:color w:val="auto"/>
              </w:rPr>
            </w:pPr>
          </w:p>
        </w:tc>
        <w:tc>
          <w:tcPr>
            <w:tcW w:w="1520" w:type="dxa"/>
            <w:vAlign w:val="bottom"/>
          </w:tcPr>
          <w:p>
            <w:pPr>
              <w:jc w:val="right"/>
              <w:ind w:right="241"/>
              <w:spacing w:after="0"/>
              <w:rPr>
                <w:sz w:val="20"/>
                <w:szCs w:val="20"/>
                <w:color w:val="auto"/>
              </w:rPr>
            </w:pPr>
            <w:r>
              <w:rPr>
                <w:rFonts w:ascii="Arial" w:cs="Arial" w:eastAsia="Arial" w:hAnsi="Arial"/>
                <w:sz w:val="20"/>
                <w:szCs w:val="20"/>
                <w:color w:val="auto"/>
                <w:w w:val="92"/>
              </w:rPr>
              <w:t>December 31,</w:t>
            </w:r>
          </w:p>
        </w:tc>
        <w:tc>
          <w:tcPr>
            <w:tcW w:w="0" w:type="dxa"/>
            <w:vAlign w:val="bottom"/>
          </w:tcPr>
          <w:p>
            <w:pPr>
              <w:spacing w:after="0"/>
              <w:rPr>
                <w:sz w:val="1"/>
                <w:szCs w:val="1"/>
                <w:color w:val="auto"/>
              </w:rPr>
            </w:pPr>
          </w:p>
        </w:tc>
      </w:tr>
      <w:tr>
        <w:trPr>
          <w:trHeight w:val="246"/>
        </w:trPr>
        <w:tc>
          <w:tcPr>
            <w:tcW w:w="440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2015</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93"/>
        </w:trPr>
        <w:tc>
          <w:tcPr>
            <w:tcW w:w="4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20"/>
                <w:szCs w:val="20"/>
                <w:color w:val="auto"/>
              </w:rPr>
              <w:t>Finished Products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699,346</w:t>
            </w: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50,748</w:t>
            </w: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20"/>
                <w:szCs w:val="20"/>
                <w:color w:val="auto"/>
              </w:rPr>
              <w:t>Concentrate</w:t>
            </w:r>
          </w:p>
        </w:tc>
        <w:tc>
          <w:tcPr>
            <w:tcW w:w="28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1,008,355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18,079</w:t>
            </w:r>
          </w:p>
        </w:tc>
        <w:tc>
          <w:tcPr>
            <w:tcW w:w="0" w:type="dxa"/>
            <w:vAlign w:val="bottom"/>
          </w:tcPr>
          <w:p>
            <w:pPr>
              <w:spacing w:after="0"/>
              <w:rPr>
                <w:sz w:val="1"/>
                <w:szCs w:val="1"/>
                <w:color w:val="auto"/>
              </w:rPr>
            </w:pPr>
          </w:p>
        </w:tc>
      </w:tr>
      <w:tr>
        <w:trPr>
          <w:trHeight w:val="246"/>
        </w:trPr>
        <w:tc>
          <w:tcPr>
            <w:tcW w:w="440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1,707,701</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68,827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As a result of the TCCC Transaction, TCCC controls more than 10% of the voting interests of the Company. The TCCC Subsidiaries and certain TCCC affiliated companies (the “TCCC Affiliates”) purchase and distribute certain of the Company’s products both domestically and in certain international territories. The Company also pays TCCC a sales commission based on certain sales within the TCCC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bottling network. TCCC commissions, based on sales to the TCCC Affiliates for the years ended December 31, 2015, 2014 and 2013, were $18.0 million, $1.0 million and $0.8 million, respectively. TCCC commissions, based on sales to the TCCC Subsidiaries, are accounted for as a reduction to revenue and are reported in net sales to the TCCC Subsidiaries. Net sales to the TCCC Subsidiaries for the years ended December 31, 2015, 2014 and 2013 were $1,151.7 million, $717.6 million and $650.6 million, respectively. The Company also purchases concentrates from TCCC which are then sold to both the TCCC Affiliates and the TCCC Subsidiaries. Concentrate purchases from TCCC were $16.0 million for the year ended December 31, 2015. A certain TCCC Subsidiary also contract manufactures certain of the Company’s Monster Energy® brand energy drinks. Contract manufacturing expenses were $6.9 million, $6.5 million and $6.0 million for the years ended</w:t>
      </w:r>
    </w:p>
    <w:p>
      <w:pPr>
        <w:sectPr>
          <w:pgSz w:w="11900" w:h="16838" w:orient="portrait"/>
          <w:cols w:equalWidth="0" w:num="1">
            <w:col w:w="11420"/>
          </w:cols>
          <w:pgMar w:left="240" w:top="125" w:right="239" w:bottom="0" w:gutter="0" w:footer="0" w:header="0"/>
        </w:sectPr>
      </w:pPr>
    </w:p>
    <w:bookmarkStart w:id="78" w:name="page79"/>
    <w:bookmarkEnd w:id="78"/>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respectively. Accounts receivable, accounts payable and accrued promotional allowances related to the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TCCC Subsidiaries are as follows at:</w:t>
      </w:r>
    </w:p>
    <w:p>
      <w:pPr>
        <w:spacing w:after="0" w:line="200" w:lineRule="exact"/>
        <w:rPr>
          <w:sz w:val="20"/>
          <w:szCs w:val="20"/>
          <w:color w:val="auto"/>
        </w:rPr>
      </w:pP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20"/>
                <w:szCs w:val="20"/>
                <w:color w:val="auto"/>
              </w:rPr>
              <w:t>December 31,</w:t>
            </w:r>
          </w:p>
        </w:tc>
        <w:tc>
          <w:tcPr>
            <w:tcW w:w="260" w:type="dxa"/>
            <w:vAlign w:val="bottom"/>
          </w:tcPr>
          <w:p>
            <w:pPr>
              <w:spacing w:after="0"/>
              <w:rPr>
                <w:sz w:val="19"/>
                <w:szCs w:val="19"/>
                <w:color w:val="auto"/>
              </w:rPr>
            </w:pPr>
          </w:p>
        </w:tc>
        <w:tc>
          <w:tcPr>
            <w:tcW w:w="1500" w:type="dxa"/>
            <w:vAlign w:val="bottom"/>
          </w:tcPr>
          <w:p>
            <w:pPr>
              <w:jc w:val="right"/>
              <w:ind w:right="221"/>
              <w:spacing w:after="0"/>
              <w:rPr>
                <w:sz w:val="20"/>
                <w:szCs w:val="20"/>
                <w:color w:val="auto"/>
              </w:rPr>
            </w:pPr>
            <w:r>
              <w:rPr>
                <w:rFonts w:ascii="Arial" w:cs="Arial" w:eastAsia="Arial" w:hAnsi="Arial"/>
                <w:sz w:val="20"/>
                <w:szCs w:val="20"/>
                <w:color w:val="auto"/>
                <w:w w:val="92"/>
              </w:rPr>
              <w:t>December 31,</w:t>
            </w:r>
          </w:p>
        </w:tc>
      </w:tr>
      <w:tr>
        <w:trPr>
          <w:trHeight w:val="246"/>
        </w:trPr>
        <w:tc>
          <w:tcPr>
            <w:tcW w:w="4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2015</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2014</w:t>
            </w:r>
          </w:p>
        </w:tc>
      </w:tr>
      <w:tr>
        <w:trPr>
          <w:trHeight w:val="422"/>
        </w:trPr>
        <w:tc>
          <w:tcPr>
            <w:tcW w:w="45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172,201</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78,011</w:t>
            </w:r>
          </w:p>
        </w:tc>
      </w:tr>
      <w:tr>
        <w:trPr>
          <w:trHeight w:val="230"/>
        </w:trPr>
        <w:tc>
          <w:tcPr>
            <w:tcW w:w="4560" w:type="dxa"/>
            <w:vAlign w:val="bottom"/>
          </w:tcPr>
          <w:p>
            <w:pPr>
              <w:spacing w:after="0"/>
              <w:rPr>
                <w:sz w:val="20"/>
                <w:szCs w:val="20"/>
                <w:color w:val="auto"/>
              </w:rPr>
            </w:pPr>
            <w:r>
              <w:rPr>
                <w:rFonts w:ascii="Arial" w:cs="Arial" w:eastAsia="Arial" w:hAnsi="Arial"/>
                <w:sz w:val="20"/>
                <w:szCs w:val="20"/>
                <w:color w:val="auto"/>
              </w:rPr>
              <w:t>Accounts payable</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58,579</w:t>
            </w: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13,738</w:t>
            </w:r>
          </w:p>
        </w:tc>
      </w:tr>
      <w:tr>
        <w:trPr>
          <w:trHeight w:val="250"/>
        </w:trPr>
        <w:tc>
          <w:tcPr>
            <w:tcW w:w="456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1"/>
              <w:spacing w:after="0"/>
              <w:rPr>
                <w:sz w:val="20"/>
                <w:szCs w:val="20"/>
                <w:color w:val="auto"/>
              </w:rPr>
            </w:pPr>
            <w:r>
              <w:rPr>
                <w:rFonts w:ascii="Arial" w:cs="Arial" w:eastAsia="Arial" w:hAnsi="Arial"/>
                <w:sz w:val="20"/>
                <w:szCs w:val="20"/>
                <w:color w:val="auto"/>
              </w:rPr>
              <w:t>27,544</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23,776</w:t>
            </w:r>
          </w:p>
        </w:tc>
      </w:tr>
    </w:tbl>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2015, 2014 and 2013 were $1.9 million, $0.6 million and $1.0 million, respectively.</w:t>
      </w:r>
    </w:p>
    <w:p>
      <w:pPr>
        <w:spacing w:after="0" w:line="200"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SUBSEQUENT EVENTS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February 22, 2016, the Company entered into a definitive agreement to acquire flavor supplier and long-time business partner, American Fruits &amp; Flavors (“AFF”) in a transaction that will bring the Company’s primary flavor supplier in-house, secure the intellectual property of the Company’s most important flavors in perpetuity and further enhance its flavor development and global flavor footprint capabilities. Pursuant to the terms of the transaction, the Company will purchase AFF for $690 million, subject to adjustments. The transaction, which is expected to close in the first quarter of 2016, is subject to customary closing conditions.</w:t>
      </w:r>
    </w:p>
    <w:p>
      <w:pPr>
        <w:spacing w:after="0" w:line="19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On February 24, 2016, the Company’s Board of Directors authorized a repurchase program of up to $1.75 billion of the Company’s outstanding common stock. In addition, there is approximately $250 million remaining available under the 2015 Share Repurchase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QUARTERLY FINANCIAL DATA (Unaudited)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5"/>
          </w:tcPr>
          <w:p>
            <w:pPr>
              <w:jc w:val="right"/>
              <w:ind w:right="381"/>
              <w:spacing w:after="0"/>
              <w:rPr>
                <w:sz w:val="20"/>
                <w:szCs w:val="20"/>
                <w:color w:val="auto"/>
              </w:rPr>
            </w:pPr>
            <w:r>
              <w:rPr>
                <w:rFonts w:ascii="Arial" w:cs="Arial" w:eastAsia="Arial" w:hAnsi="Arial"/>
                <w:sz w:val="20"/>
                <w:szCs w:val="20"/>
                <w:color w:val="auto"/>
                <w:w w:val="96"/>
              </w:rPr>
              <w:t>Net Income per Common</w:t>
            </w:r>
          </w:p>
        </w:tc>
        <w:tc>
          <w:tcPr>
            <w:tcW w:w="0" w:type="dxa"/>
            <w:vAlign w:val="bottom"/>
          </w:tcPr>
          <w:p>
            <w:pPr>
              <w:spacing w:after="0"/>
              <w:rPr>
                <w:sz w:val="1"/>
                <w:szCs w:val="1"/>
                <w:color w:val="auto"/>
              </w:rPr>
            </w:pPr>
          </w:p>
        </w:tc>
      </w:tr>
      <w:tr>
        <w:trPr>
          <w:trHeight w:val="246"/>
        </w:trPr>
        <w:tc>
          <w:tcPr>
            <w:tcW w:w="3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20"/>
                <w:szCs w:val="20"/>
                <w:color w:val="auto"/>
              </w:rPr>
              <w:t>Net Sales</w:t>
            </w:r>
          </w:p>
        </w:tc>
        <w:tc>
          <w:tcPr>
            <w:tcW w:w="200" w:type="dxa"/>
            <w:vAlign w:val="bottom"/>
          </w:tcPr>
          <w:p>
            <w:pPr>
              <w:spacing w:after="0"/>
              <w:rPr>
                <w:sz w:val="21"/>
                <w:szCs w:val="21"/>
                <w:color w:val="auto"/>
              </w:rPr>
            </w:pPr>
          </w:p>
        </w:tc>
        <w:tc>
          <w:tcPr>
            <w:tcW w:w="1440" w:type="dxa"/>
            <w:vAlign w:val="bottom"/>
            <w:gridSpan w:val="2"/>
            <w:vMerge w:val="restart"/>
          </w:tcPr>
          <w:p>
            <w:pPr>
              <w:spacing w:after="0"/>
              <w:rPr>
                <w:sz w:val="20"/>
                <w:szCs w:val="20"/>
                <w:color w:val="auto"/>
              </w:rPr>
            </w:pPr>
            <w:r>
              <w:rPr>
                <w:rFonts w:ascii="Arial" w:cs="Arial" w:eastAsia="Arial" w:hAnsi="Arial"/>
                <w:sz w:val="20"/>
                <w:szCs w:val="20"/>
                <w:color w:val="auto"/>
              </w:rPr>
              <w:t>Gross Profit</w:t>
            </w:r>
          </w:p>
        </w:tc>
        <w:tc>
          <w:tcPr>
            <w:tcW w:w="220" w:type="dxa"/>
            <w:vAlign w:val="bottom"/>
          </w:tcPr>
          <w:p>
            <w:pPr>
              <w:spacing w:after="0"/>
              <w:rPr>
                <w:sz w:val="21"/>
                <w:szCs w:val="21"/>
                <w:color w:val="auto"/>
              </w:rPr>
            </w:pPr>
          </w:p>
        </w:tc>
        <w:tc>
          <w:tcPr>
            <w:tcW w:w="1160" w:type="dxa"/>
            <w:vAlign w:val="bottom"/>
            <w:vMerge w:val="restart"/>
          </w:tcPr>
          <w:p>
            <w:pPr>
              <w:jc w:val="right"/>
              <w:ind w:right="121"/>
              <w:spacing w:after="0"/>
              <w:rPr>
                <w:sz w:val="20"/>
                <w:szCs w:val="20"/>
                <w:color w:val="auto"/>
              </w:rPr>
            </w:pPr>
            <w:r>
              <w:rPr>
                <w:rFonts w:ascii="Arial" w:cs="Arial" w:eastAsia="Arial" w:hAnsi="Arial"/>
                <w:sz w:val="20"/>
                <w:szCs w:val="20"/>
                <w:color w:val="auto"/>
                <w:w w:val="89"/>
              </w:rPr>
              <w:t>Net Income</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20"/>
                <w:szCs w:val="20"/>
                <w:color w:val="auto"/>
                <w:w w:val="82"/>
              </w:rPr>
              <w:t>Share</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vMerge w:val="restart"/>
          </w:tcPr>
          <w:p>
            <w:pPr>
              <w:spacing w:after="0"/>
              <w:rPr>
                <w:sz w:val="20"/>
                <w:szCs w:val="20"/>
                <w:color w:val="auto"/>
              </w:rPr>
            </w:pPr>
            <w:r>
              <w:rPr>
                <w:rFonts w:ascii="Arial" w:cs="Arial" w:eastAsia="Arial" w:hAnsi="Arial"/>
                <w:sz w:val="20"/>
                <w:szCs w:val="20"/>
                <w:color w:val="auto"/>
              </w:rPr>
              <w:t>Quarter ended:</w:t>
            </w:r>
          </w:p>
        </w:tc>
        <w:tc>
          <w:tcPr>
            <w:tcW w:w="2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261"/>
              <w:spacing w:after="0" w:line="223" w:lineRule="exact"/>
              <w:rPr>
                <w:sz w:val="20"/>
                <w:szCs w:val="20"/>
                <w:color w:val="auto"/>
              </w:rPr>
            </w:pPr>
            <w:r>
              <w:rPr>
                <w:rFonts w:ascii="Arial" w:cs="Arial" w:eastAsia="Arial" w:hAnsi="Arial"/>
                <w:sz w:val="20"/>
                <w:szCs w:val="20"/>
                <w:color w:val="auto"/>
              </w:rPr>
              <w:t>Basic</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281"/>
              <w:spacing w:after="0" w:line="223" w:lineRule="exact"/>
              <w:rPr>
                <w:sz w:val="20"/>
                <w:szCs w:val="20"/>
                <w:color w:val="auto"/>
              </w:rPr>
            </w:pPr>
            <w:r>
              <w:rPr>
                <w:rFonts w:ascii="Arial" w:cs="Arial" w:eastAsia="Arial" w:hAnsi="Arial"/>
                <w:sz w:val="20"/>
                <w:szCs w:val="20"/>
                <w:color w:val="auto"/>
              </w:rPr>
              <w:t>Diluted</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March 31, 2015</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626,791</w:t>
            </w:r>
          </w:p>
        </w:tc>
        <w:tc>
          <w:tcPr>
            <w:tcW w:w="3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368,957</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4,414</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0.03</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0.03</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June 30, 2015</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693,722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394,508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229,004</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1.29</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September 30, 2015</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756,619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465,476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174,574</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0.85</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0.84</w:t>
            </w:r>
          </w:p>
        </w:tc>
        <w:tc>
          <w:tcPr>
            <w:tcW w:w="0" w:type="dxa"/>
            <w:vAlign w:val="bottom"/>
          </w:tcPr>
          <w:p>
            <w:pPr>
              <w:spacing w:after="0"/>
              <w:rPr>
                <w:sz w:val="1"/>
                <w:szCs w:val="1"/>
                <w:color w:val="auto"/>
              </w:rPr>
            </w:pPr>
          </w:p>
        </w:tc>
      </w:tr>
      <w:tr>
        <w:trPr>
          <w:trHeight w:val="246"/>
        </w:trPr>
        <w:tc>
          <w:tcPr>
            <w:tcW w:w="3460" w:type="dxa"/>
            <w:vAlign w:val="bottom"/>
          </w:tcPr>
          <w:p>
            <w:pPr>
              <w:ind w:left="260"/>
              <w:spacing w:after="0"/>
              <w:rPr>
                <w:sz w:val="20"/>
                <w:szCs w:val="20"/>
                <w:color w:val="auto"/>
              </w:rPr>
            </w:pPr>
            <w:r>
              <w:rPr>
                <w:rFonts w:ascii="Arial" w:cs="Arial" w:eastAsia="Arial" w:hAnsi="Arial"/>
                <w:sz w:val="20"/>
                <w:szCs w:val="20"/>
                <w:color w:val="auto"/>
              </w:rPr>
              <w:t>December 31, 2015</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645,432</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403,360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138,741</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0.68</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0.67</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2,722,564</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1,632,301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546,733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20"/>
                <w:szCs w:val="20"/>
                <w:color w:val="auto"/>
              </w:rPr>
              <w:t>Quarter ended:</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March 31, 2014</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536,129</w:t>
            </w:r>
          </w:p>
        </w:tc>
        <w:tc>
          <w:tcPr>
            <w:tcW w:w="3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286,818</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95,250</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0.57</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0.55</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June 30, 2014</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687,199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379,288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141,003</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0.84</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0.81</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September 30, 2014</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635,972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341,920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121,600</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0.73</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0.70</w:t>
            </w:r>
          </w:p>
        </w:tc>
        <w:tc>
          <w:tcPr>
            <w:tcW w:w="0" w:type="dxa"/>
            <w:vAlign w:val="bottom"/>
          </w:tcPr>
          <w:p>
            <w:pPr>
              <w:spacing w:after="0"/>
              <w:rPr>
                <w:sz w:val="1"/>
                <w:szCs w:val="1"/>
                <w:color w:val="auto"/>
              </w:rPr>
            </w:pPr>
          </w:p>
        </w:tc>
      </w:tr>
      <w:tr>
        <w:trPr>
          <w:trHeight w:val="246"/>
        </w:trPr>
        <w:tc>
          <w:tcPr>
            <w:tcW w:w="3460" w:type="dxa"/>
            <w:vAlign w:val="bottom"/>
          </w:tcPr>
          <w:p>
            <w:pPr>
              <w:ind w:left="260"/>
              <w:spacing w:after="0"/>
              <w:rPr>
                <w:sz w:val="20"/>
                <w:szCs w:val="20"/>
                <w:color w:val="auto"/>
              </w:rPr>
            </w:pPr>
            <w:r>
              <w:rPr>
                <w:rFonts w:ascii="Arial" w:cs="Arial" w:eastAsia="Arial" w:hAnsi="Arial"/>
                <w:sz w:val="20"/>
                <w:szCs w:val="20"/>
                <w:color w:val="auto"/>
              </w:rPr>
              <w:t>December 31, 2014</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605,567</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331,784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125,332</w:t>
            </w:r>
          </w:p>
        </w:tc>
        <w:tc>
          <w:tcPr>
            <w:tcW w:w="6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0.75</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0.72</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2,464,867</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1,339,810</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483,185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Certain of the figures reported above may differ from previously reported figures for individual quarters due to rounding.</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II – VALUATION AND QUALIFYING ACCOUNTS</w:t>
      </w:r>
    </w:p>
    <w:p>
      <w:pPr>
        <w:spacing w:after="0"/>
        <w:rPr>
          <w:sz w:val="20"/>
          <w:szCs w:val="20"/>
          <w:color w:val="auto"/>
        </w:rPr>
      </w:pPr>
      <w:r>
        <w:rPr>
          <w:rFonts w:ascii="Arial" w:cs="Arial" w:eastAsia="Arial" w:hAnsi="Arial"/>
          <w:sz w:val="22"/>
          <w:szCs w:val="22"/>
          <w:b w:val="1"/>
          <w:bCs w:val="1"/>
          <w:color w:val="auto"/>
        </w:rPr>
        <w:t>FOR THE YEARS ENDED DECEMBER 31, 2015, 2014 AND 2013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9"/>
                <w:szCs w:val="19"/>
                <w:color w:val="auto"/>
                <w:w w:val="86"/>
              </w:rPr>
              <w:t>Balance at</w:t>
            </w:r>
          </w:p>
        </w:tc>
        <w:tc>
          <w:tcPr>
            <w:tcW w:w="1660" w:type="dxa"/>
            <w:vAlign w:val="bottom"/>
            <w:gridSpan w:val="2"/>
          </w:tcPr>
          <w:p>
            <w:pPr>
              <w:jc w:val="center"/>
              <w:ind w:right="300"/>
              <w:spacing w:after="0"/>
              <w:rPr>
                <w:sz w:val="20"/>
                <w:szCs w:val="20"/>
                <w:color w:val="auto"/>
              </w:rPr>
            </w:pPr>
            <w:r>
              <w:rPr>
                <w:rFonts w:ascii="Arial" w:cs="Arial" w:eastAsia="Arial" w:hAnsi="Arial"/>
                <w:sz w:val="19"/>
                <w:szCs w:val="19"/>
                <w:color w:val="auto"/>
                <w:w w:val="89"/>
              </w:rPr>
              <w:t>Charged to</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9"/>
                <w:szCs w:val="19"/>
                <w:color w:val="auto"/>
                <w:w w:val="89"/>
              </w:rPr>
              <w:t>Balance at</w:t>
            </w:r>
          </w:p>
        </w:tc>
      </w:tr>
      <w:tr>
        <w:trPr>
          <w:trHeight w:val="216"/>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9"/>
              </w:rPr>
              <w:t>beginning</w:t>
            </w:r>
          </w:p>
        </w:tc>
        <w:tc>
          <w:tcPr>
            <w:tcW w:w="1660" w:type="dxa"/>
            <w:vAlign w:val="bottom"/>
            <w:gridSpan w:val="2"/>
          </w:tcPr>
          <w:p>
            <w:pPr>
              <w:jc w:val="center"/>
              <w:ind w:right="280"/>
              <w:spacing w:after="0" w:line="216" w:lineRule="exact"/>
              <w:rPr>
                <w:sz w:val="20"/>
                <w:szCs w:val="20"/>
                <w:color w:val="auto"/>
              </w:rPr>
            </w:pPr>
            <w:r>
              <w:rPr>
                <w:rFonts w:ascii="Arial" w:cs="Arial" w:eastAsia="Arial" w:hAnsi="Arial"/>
                <w:sz w:val="19"/>
                <w:szCs w:val="19"/>
                <w:color w:val="auto"/>
                <w:w w:val="86"/>
              </w:rPr>
              <w:t>cost and</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Arial" w:cs="Arial" w:eastAsia="Arial" w:hAnsi="Arial"/>
                <w:sz w:val="19"/>
                <w:szCs w:val="19"/>
                <w:color w:val="auto"/>
                <w:w w:val="90"/>
              </w:rPr>
              <w:t>end of</w:t>
            </w:r>
          </w:p>
        </w:tc>
      </w:tr>
      <w:tr>
        <w:trPr>
          <w:trHeight w:val="238"/>
        </w:trPr>
        <w:tc>
          <w:tcPr>
            <w:tcW w:w="4800" w:type="dxa"/>
            <w:vAlign w:val="bottom"/>
            <w:tcBorders>
              <w:bottom w:val="single" w:sz="8" w:color="auto"/>
            </w:tcBorders>
          </w:tcPr>
          <w:p>
            <w:pPr>
              <w:ind w:left="1960"/>
              <w:spacing w:after="0"/>
              <w:rPr>
                <w:sz w:val="20"/>
                <w:szCs w:val="20"/>
                <w:color w:val="auto"/>
              </w:rPr>
            </w:pPr>
            <w:r>
              <w:rPr>
                <w:rFonts w:ascii="Arial" w:cs="Arial" w:eastAsia="Arial" w:hAnsi="Arial"/>
                <w:sz w:val="19"/>
                <w:szCs w:val="19"/>
                <w:color w:val="auto"/>
              </w:rPr>
              <w:t>Description</w:t>
            </w:r>
          </w:p>
        </w:tc>
        <w:tc>
          <w:tcPr>
            <w:tcW w:w="3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of period</w:t>
            </w:r>
          </w:p>
        </w:tc>
        <w:tc>
          <w:tcPr>
            <w:tcW w:w="3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3"/>
              </w:rPr>
              <w:t>expenses</w:t>
            </w:r>
          </w:p>
        </w:tc>
        <w:tc>
          <w:tcPr>
            <w:tcW w:w="280" w:type="dxa"/>
            <w:vAlign w:val="bottom"/>
          </w:tcPr>
          <w:p>
            <w:pPr>
              <w:spacing w:after="0"/>
              <w:rPr>
                <w:sz w:val="20"/>
                <w:szCs w:val="20"/>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9"/>
                <w:szCs w:val="19"/>
                <w:color w:val="auto"/>
              </w:rPr>
              <w:t>Deductions</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period</w:t>
            </w:r>
          </w:p>
        </w:tc>
      </w:tr>
    </w:tbl>
    <w:p>
      <w:pPr>
        <w:sectPr>
          <w:pgSz w:w="11900" w:h="16884" w:orient="portrait"/>
          <w:cols w:equalWidth="0" w:num="1">
            <w:col w:w="11420"/>
          </w:cols>
          <w:pgMar w:left="240" w:top="121" w:right="239" w:bottom="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40" w:type="dxa"/>
            <w:vAlign w:val="bottom"/>
          </w:tcPr>
          <w:p>
            <w:pPr>
              <w:spacing w:after="0"/>
              <w:rPr>
                <w:sz w:val="20"/>
                <w:szCs w:val="20"/>
                <w:color w:val="auto"/>
              </w:rPr>
            </w:pPr>
            <w:r>
              <w:rPr>
                <w:rFonts w:ascii="Arial" w:cs="Arial" w:eastAsia="Arial" w:hAnsi="Arial"/>
                <w:sz w:val="19"/>
                <w:szCs w:val="19"/>
                <w:color w:val="auto"/>
                <w:w w:val="91"/>
              </w:rPr>
              <w:t>Allowance for doubtful accounts, sales returns and cash discounts:</w:t>
            </w:r>
          </w:p>
        </w:tc>
        <w:tc>
          <w:tcPr>
            <w:tcW w:w="200" w:type="dxa"/>
            <w:vAlign w:val="bottom"/>
          </w:tcPr>
          <w:p>
            <w:pPr>
              <w:spacing w:after="0"/>
              <w:rPr>
                <w:sz w:val="20"/>
                <w:szCs w:val="20"/>
                <w:color w:val="auto"/>
              </w:rPr>
            </w:pPr>
          </w:p>
        </w:tc>
      </w:tr>
      <w:tr>
        <w:trPr>
          <w:trHeight w:val="408"/>
        </w:trPr>
        <w:tc>
          <w:tcPr>
            <w:tcW w:w="5140" w:type="dxa"/>
            <w:vAlign w:val="bottom"/>
          </w:tcPr>
          <w:p>
            <w:pPr>
              <w:spacing w:after="0"/>
              <w:rPr>
                <w:sz w:val="20"/>
                <w:szCs w:val="20"/>
                <w:color w:val="auto"/>
              </w:rPr>
            </w:pPr>
            <w:r>
              <w:rPr>
                <w:rFonts w:ascii="Arial" w:cs="Arial" w:eastAsia="Arial" w:hAnsi="Arial"/>
                <w:sz w:val="19"/>
                <w:szCs w:val="19"/>
                <w:color w:val="auto"/>
              </w:rPr>
              <w:t>2015</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16"/>
        </w:trPr>
        <w:tc>
          <w:tcPr>
            <w:tcW w:w="5140" w:type="dxa"/>
            <w:vAlign w:val="bottom"/>
          </w:tcPr>
          <w:p>
            <w:pPr>
              <w:spacing w:after="0" w:line="216" w:lineRule="exact"/>
              <w:rPr>
                <w:sz w:val="20"/>
                <w:szCs w:val="20"/>
                <w:color w:val="auto"/>
              </w:rPr>
            </w:pPr>
            <w:r>
              <w:rPr>
                <w:rFonts w:ascii="Arial" w:cs="Arial" w:eastAsia="Arial" w:hAnsi="Arial"/>
                <w:sz w:val="19"/>
                <w:szCs w:val="19"/>
                <w:color w:val="auto"/>
              </w:rPr>
              <w:t>2014</w:t>
            </w:r>
          </w:p>
        </w:tc>
        <w:tc>
          <w:tcPr>
            <w:tcW w:w="2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r>
      <w:tr>
        <w:trPr>
          <w:trHeight w:val="240"/>
        </w:trPr>
        <w:tc>
          <w:tcPr>
            <w:tcW w:w="5140" w:type="dxa"/>
            <w:vAlign w:val="bottom"/>
          </w:tcPr>
          <w:p>
            <w:pPr>
              <w:spacing w:after="0"/>
              <w:rPr>
                <w:sz w:val="20"/>
                <w:szCs w:val="20"/>
                <w:color w:val="auto"/>
              </w:rPr>
            </w:pPr>
            <w:r>
              <w:rPr>
                <w:rFonts w:ascii="Arial" w:cs="Arial" w:eastAsia="Arial" w:hAnsi="Arial"/>
                <w:sz w:val="19"/>
                <w:szCs w:val="19"/>
                <w:color w:val="auto"/>
              </w:rPr>
              <w:t>2013</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Allowance on Deferred Tax Assets and Unrecognized Tax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00" w:type="dxa"/>
            <w:vAlign w:val="bottom"/>
          </w:tcPr>
          <w:p>
            <w:pPr>
              <w:jc w:val="right"/>
              <w:ind w:right="2325"/>
              <w:spacing w:after="0"/>
              <w:rPr>
                <w:sz w:val="20"/>
                <w:szCs w:val="20"/>
                <w:color w:val="auto"/>
              </w:rPr>
            </w:pPr>
            <w:r>
              <w:rPr>
                <w:rFonts w:ascii="Arial" w:cs="Arial" w:eastAsia="Arial" w:hAnsi="Arial"/>
                <w:sz w:val="19"/>
                <w:szCs w:val="19"/>
                <w:color w:val="auto"/>
                <w:w w:val="85"/>
              </w:rPr>
              <w:t>2015</w:t>
            </w:r>
          </w:p>
        </w:tc>
        <w:tc>
          <w:tcPr>
            <w:tcW w:w="24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16"/>
        </w:trPr>
        <w:tc>
          <w:tcPr>
            <w:tcW w:w="2800" w:type="dxa"/>
            <w:vAlign w:val="bottom"/>
          </w:tcPr>
          <w:p>
            <w:pPr>
              <w:jc w:val="right"/>
              <w:ind w:right="2325"/>
              <w:spacing w:after="0" w:line="216" w:lineRule="exact"/>
              <w:rPr>
                <w:sz w:val="20"/>
                <w:szCs w:val="20"/>
                <w:color w:val="auto"/>
              </w:rPr>
            </w:pPr>
            <w:r>
              <w:rPr>
                <w:rFonts w:ascii="Arial" w:cs="Arial" w:eastAsia="Arial" w:hAnsi="Arial"/>
                <w:sz w:val="19"/>
                <w:szCs w:val="19"/>
                <w:color w:val="auto"/>
                <w:w w:val="85"/>
              </w:rPr>
              <w:t>2014</w:t>
            </w:r>
          </w:p>
        </w:tc>
        <w:tc>
          <w:tcPr>
            <w:tcW w:w="24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r>
      <w:tr>
        <w:trPr>
          <w:trHeight w:val="240"/>
        </w:trPr>
        <w:tc>
          <w:tcPr>
            <w:tcW w:w="2800" w:type="dxa"/>
            <w:vAlign w:val="bottom"/>
          </w:tcPr>
          <w:p>
            <w:pPr>
              <w:jc w:val="right"/>
              <w:ind w:right="2325"/>
              <w:spacing w:after="0"/>
              <w:rPr>
                <w:sz w:val="20"/>
                <w:szCs w:val="20"/>
                <w:color w:val="auto"/>
              </w:rPr>
            </w:pPr>
            <w:r>
              <w:rPr>
                <w:rFonts w:ascii="Arial" w:cs="Arial" w:eastAsia="Arial" w:hAnsi="Arial"/>
                <w:sz w:val="19"/>
                <w:szCs w:val="19"/>
                <w:color w:val="auto"/>
                <w:w w:val="85"/>
              </w:rPr>
              <w:t>2013</w:t>
            </w:r>
          </w:p>
        </w:tc>
        <w:tc>
          <w:tcPr>
            <w:tcW w:w="248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18"/>
        </w:trPr>
        <w:tc>
          <w:tcPr>
            <w:tcW w:w="760" w:type="dxa"/>
            <w:vAlign w:val="bottom"/>
          </w:tcPr>
          <w:p>
            <w:pPr>
              <w:jc w:val="right"/>
              <w:ind w:right="145"/>
              <w:spacing w:after="0"/>
              <w:rPr>
                <w:sz w:val="20"/>
                <w:szCs w:val="20"/>
                <w:color w:val="auto"/>
              </w:rPr>
            </w:pPr>
            <w:r>
              <w:rPr>
                <w:rFonts w:ascii="Arial" w:cs="Arial" w:eastAsia="Arial" w:hAnsi="Arial"/>
                <w:sz w:val="19"/>
                <w:szCs w:val="19"/>
                <w:color w:val="auto"/>
              </w:rPr>
              <w:t>1,704</w:t>
            </w:r>
          </w:p>
        </w:tc>
        <w:tc>
          <w:tcPr>
            <w:tcW w:w="6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185"/>
              <w:spacing w:after="0"/>
              <w:rPr>
                <w:sz w:val="20"/>
                <w:szCs w:val="20"/>
                <w:color w:val="auto"/>
              </w:rPr>
            </w:pPr>
            <w:r>
              <w:rPr>
                <w:rFonts w:ascii="Arial" w:cs="Arial" w:eastAsia="Arial" w:hAnsi="Arial"/>
                <w:sz w:val="19"/>
                <w:szCs w:val="19"/>
                <w:color w:val="auto"/>
              </w:rPr>
              <w:t>8,407</w:t>
            </w:r>
          </w:p>
        </w:tc>
        <w:tc>
          <w:tcPr>
            <w:tcW w:w="60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05"/>
              <w:spacing w:after="0"/>
              <w:rPr>
                <w:sz w:val="20"/>
                <w:szCs w:val="20"/>
                <w:color w:val="auto"/>
              </w:rPr>
            </w:pPr>
            <w:r>
              <w:rPr>
                <w:rFonts w:ascii="Arial" w:cs="Arial" w:eastAsia="Arial" w:hAnsi="Arial"/>
                <w:sz w:val="19"/>
                <w:szCs w:val="19"/>
                <w:color w:val="auto"/>
              </w:rPr>
              <w:t>(8,863)</w:t>
            </w:r>
          </w:p>
        </w:tc>
        <w:tc>
          <w:tcPr>
            <w:tcW w:w="56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1,248</w:t>
            </w:r>
          </w:p>
        </w:tc>
      </w:tr>
      <w:tr>
        <w:trPr>
          <w:trHeight w:val="216"/>
        </w:trPr>
        <w:tc>
          <w:tcPr>
            <w:tcW w:w="76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2,926</w:t>
            </w:r>
          </w:p>
        </w:tc>
        <w:tc>
          <w:tcPr>
            <w:tcW w:w="62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2,652</w:t>
            </w:r>
          </w:p>
        </w:tc>
        <w:tc>
          <w:tcPr>
            <w:tcW w:w="60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(3,874)</w:t>
            </w:r>
          </w:p>
        </w:tc>
        <w:tc>
          <w:tcPr>
            <w:tcW w:w="560" w:type="dxa"/>
            <w:vAlign w:val="bottom"/>
          </w:tcPr>
          <w:p>
            <w:pPr>
              <w:jc w:val="right"/>
              <w:ind w:right="165"/>
              <w:spacing w:after="0" w:line="216" w:lineRule="exact"/>
              <w:rPr>
                <w:sz w:val="20"/>
                <w:szCs w:val="20"/>
                <w:color w:val="auto"/>
              </w:rPr>
            </w:pPr>
            <w:r>
              <w:rPr>
                <w:rFonts w:ascii="Arial" w:cs="Arial" w:eastAsia="Arial" w:hAnsi="Arial"/>
                <w:sz w:val="19"/>
                <w:szCs w:val="19"/>
                <w:color w:val="auto"/>
              </w:rPr>
              <w:t>$</w:t>
            </w:r>
          </w:p>
        </w:tc>
        <w:tc>
          <w:tcPr>
            <w:tcW w:w="800" w:type="dxa"/>
            <w:vAlign w:val="bottom"/>
          </w:tcPr>
          <w:p>
            <w:pPr>
              <w:jc w:val="right"/>
              <w:spacing w:after="0" w:line="216" w:lineRule="exact"/>
              <w:rPr>
                <w:sz w:val="20"/>
                <w:szCs w:val="20"/>
                <w:color w:val="auto"/>
              </w:rPr>
            </w:pPr>
            <w:r>
              <w:rPr>
                <w:rFonts w:ascii="Arial" w:cs="Arial" w:eastAsia="Arial" w:hAnsi="Arial"/>
                <w:sz w:val="19"/>
                <w:szCs w:val="19"/>
                <w:color w:val="auto"/>
              </w:rPr>
              <w:t>1,704</w:t>
            </w:r>
          </w:p>
        </w:tc>
      </w:tr>
      <w:tr>
        <w:trPr>
          <w:trHeight w:val="240"/>
        </w:trPr>
        <w:tc>
          <w:tcPr>
            <w:tcW w:w="760" w:type="dxa"/>
            <w:vAlign w:val="bottom"/>
          </w:tcPr>
          <w:p>
            <w:pPr>
              <w:jc w:val="right"/>
              <w:ind w:right="145"/>
              <w:spacing w:after="0"/>
              <w:rPr>
                <w:sz w:val="20"/>
                <w:szCs w:val="20"/>
                <w:color w:val="auto"/>
              </w:rPr>
            </w:pPr>
            <w:r>
              <w:rPr>
                <w:rFonts w:ascii="Arial" w:cs="Arial" w:eastAsia="Arial" w:hAnsi="Arial"/>
                <w:sz w:val="19"/>
                <w:szCs w:val="19"/>
                <w:color w:val="auto"/>
              </w:rPr>
              <w:t>1,430</w:t>
            </w:r>
          </w:p>
        </w:tc>
        <w:tc>
          <w:tcPr>
            <w:tcW w:w="6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185"/>
              <w:spacing w:after="0"/>
              <w:rPr>
                <w:sz w:val="20"/>
                <w:szCs w:val="20"/>
                <w:color w:val="auto"/>
              </w:rPr>
            </w:pPr>
            <w:r>
              <w:rPr>
                <w:rFonts w:ascii="Arial" w:cs="Arial" w:eastAsia="Arial" w:hAnsi="Arial"/>
                <w:sz w:val="19"/>
                <w:szCs w:val="19"/>
                <w:color w:val="auto"/>
              </w:rPr>
              <w:t>4,894</w:t>
            </w:r>
          </w:p>
        </w:tc>
        <w:tc>
          <w:tcPr>
            <w:tcW w:w="60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105"/>
              <w:spacing w:after="0"/>
              <w:rPr>
                <w:sz w:val="20"/>
                <w:szCs w:val="20"/>
                <w:color w:val="auto"/>
              </w:rPr>
            </w:pPr>
            <w:r>
              <w:rPr>
                <w:rFonts w:ascii="Arial" w:cs="Arial" w:eastAsia="Arial" w:hAnsi="Arial"/>
                <w:sz w:val="19"/>
                <w:szCs w:val="19"/>
                <w:color w:val="auto"/>
              </w:rPr>
              <w:t>(3,398)</w:t>
            </w:r>
          </w:p>
        </w:tc>
        <w:tc>
          <w:tcPr>
            <w:tcW w:w="56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2,926</w:t>
            </w:r>
          </w:p>
        </w:tc>
      </w:tr>
      <w:tr>
        <w:trPr>
          <w:trHeight w:val="840"/>
        </w:trPr>
        <w:tc>
          <w:tcPr>
            <w:tcW w:w="760" w:type="dxa"/>
            <w:vAlign w:val="bottom"/>
          </w:tcPr>
          <w:p>
            <w:pPr>
              <w:jc w:val="right"/>
              <w:ind w:right="145"/>
              <w:spacing w:after="0"/>
              <w:rPr>
                <w:sz w:val="20"/>
                <w:szCs w:val="20"/>
                <w:color w:val="auto"/>
              </w:rPr>
            </w:pPr>
            <w:r>
              <w:rPr>
                <w:rFonts w:ascii="Arial" w:cs="Arial" w:eastAsia="Arial" w:hAnsi="Arial"/>
                <w:sz w:val="19"/>
                <w:szCs w:val="19"/>
                <w:color w:val="auto"/>
                <w:w w:val="85"/>
              </w:rPr>
              <w:t>19,786</w:t>
            </w:r>
          </w:p>
        </w:tc>
        <w:tc>
          <w:tcPr>
            <w:tcW w:w="6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105"/>
              <w:spacing w:after="0"/>
              <w:rPr>
                <w:sz w:val="20"/>
                <w:szCs w:val="20"/>
                <w:color w:val="auto"/>
              </w:rPr>
            </w:pPr>
            <w:r>
              <w:rPr>
                <w:rFonts w:ascii="Arial" w:cs="Arial" w:eastAsia="Arial" w:hAnsi="Arial"/>
                <w:sz w:val="19"/>
                <w:szCs w:val="19"/>
                <w:color w:val="auto"/>
              </w:rPr>
              <w:t>(1,940)</w:t>
            </w:r>
          </w:p>
        </w:tc>
        <w:tc>
          <w:tcPr>
            <w:tcW w:w="60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405"/>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17,846</w:t>
            </w:r>
          </w:p>
        </w:tc>
      </w:tr>
      <w:tr>
        <w:trPr>
          <w:trHeight w:val="216"/>
        </w:trPr>
        <w:tc>
          <w:tcPr>
            <w:tcW w:w="760" w:type="dxa"/>
            <w:vAlign w:val="bottom"/>
          </w:tcPr>
          <w:p>
            <w:pPr>
              <w:jc w:val="right"/>
              <w:ind w:right="145"/>
              <w:spacing w:after="0" w:line="216" w:lineRule="exact"/>
              <w:rPr>
                <w:sz w:val="20"/>
                <w:szCs w:val="20"/>
                <w:color w:val="auto"/>
              </w:rPr>
            </w:pPr>
            <w:r>
              <w:rPr>
                <w:rFonts w:ascii="Arial" w:cs="Arial" w:eastAsia="Arial" w:hAnsi="Arial"/>
                <w:sz w:val="19"/>
                <w:szCs w:val="19"/>
                <w:color w:val="auto"/>
                <w:w w:val="85"/>
              </w:rPr>
              <w:t>24,130</w:t>
            </w:r>
          </w:p>
        </w:tc>
        <w:tc>
          <w:tcPr>
            <w:tcW w:w="62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(4,344)</w:t>
            </w:r>
          </w:p>
        </w:tc>
        <w:tc>
          <w:tcPr>
            <w:tcW w:w="60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ind w:right="405"/>
              <w:spacing w:after="0" w:line="216" w:lineRule="exact"/>
              <w:rPr>
                <w:sz w:val="20"/>
                <w:szCs w:val="20"/>
                <w:color w:val="auto"/>
              </w:rPr>
            </w:pPr>
            <w:r>
              <w:rPr>
                <w:rFonts w:ascii="Arial" w:cs="Arial" w:eastAsia="Arial" w:hAnsi="Arial"/>
                <w:sz w:val="19"/>
                <w:szCs w:val="19"/>
                <w:color w:val="auto"/>
              </w:rPr>
              <w:t>-</w:t>
            </w:r>
          </w:p>
        </w:tc>
        <w:tc>
          <w:tcPr>
            <w:tcW w:w="560" w:type="dxa"/>
            <w:vAlign w:val="bottom"/>
          </w:tcPr>
          <w:p>
            <w:pPr>
              <w:jc w:val="right"/>
              <w:ind w:right="165"/>
              <w:spacing w:after="0" w:line="216" w:lineRule="exact"/>
              <w:rPr>
                <w:sz w:val="20"/>
                <w:szCs w:val="20"/>
                <w:color w:val="auto"/>
              </w:rPr>
            </w:pPr>
            <w:r>
              <w:rPr>
                <w:rFonts w:ascii="Arial" w:cs="Arial" w:eastAsia="Arial" w:hAnsi="Arial"/>
                <w:sz w:val="19"/>
                <w:szCs w:val="19"/>
                <w:color w:val="auto"/>
              </w:rPr>
              <w:t>$</w:t>
            </w:r>
          </w:p>
        </w:tc>
        <w:tc>
          <w:tcPr>
            <w:tcW w:w="800" w:type="dxa"/>
            <w:vAlign w:val="bottom"/>
          </w:tcPr>
          <w:p>
            <w:pPr>
              <w:jc w:val="right"/>
              <w:spacing w:after="0" w:line="216" w:lineRule="exact"/>
              <w:rPr>
                <w:sz w:val="20"/>
                <w:szCs w:val="20"/>
                <w:color w:val="auto"/>
              </w:rPr>
            </w:pPr>
            <w:r>
              <w:rPr>
                <w:rFonts w:ascii="Arial" w:cs="Arial" w:eastAsia="Arial" w:hAnsi="Arial"/>
                <w:sz w:val="19"/>
                <w:szCs w:val="19"/>
                <w:color w:val="auto"/>
              </w:rPr>
              <w:t>19,786</w:t>
            </w:r>
          </w:p>
        </w:tc>
      </w:tr>
      <w:tr>
        <w:trPr>
          <w:trHeight w:val="240"/>
        </w:trPr>
        <w:tc>
          <w:tcPr>
            <w:tcW w:w="760" w:type="dxa"/>
            <w:vAlign w:val="bottom"/>
          </w:tcPr>
          <w:p>
            <w:pPr>
              <w:jc w:val="right"/>
              <w:ind w:right="145"/>
              <w:spacing w:after="0"/>
              <w:rPr>
                <w:sz w:val="20"/>
                <w:szCs w:val="20"/>
                <w:color w:val="auto"/>
              </w:rPr>
            </w:pPr>
            <w:r>
              <w:rPr>
                <w:rFonts w:ascii="Arial" w:cs="Arial" w:eastAsia="Arial" w:hAnsi="Arial"/>
                <w:sz w:val="19"/>
                <w:szCs w:val="19"/>
                <w:color w:val="auto"/>
                <w:w w:val="85"/>
              </w:rPr>
              <w:t>12,579</w:t>
            </w:r>
          </w:p>
        </w:tc>
        <w:tc>
          <w:tcPr>
            <w:tcW w:w="6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185"/>
              <w:spacing w:after="0"/>
              <w:rPr>
                <w:sz w:val="20"/>
                <w:szCs w:val="20"/>
                <w:color w:val="auto"/>
              </w:rPr>
            </w:pPr>
            <w:r>
              <w:rPr>
                <w:rFonts w:ascii="Arial" w:cs="Arial" w:eastAsia="Arial" w:hAnsi="Arial"/>
                <w:sz w:val="19"/>
                <w:szCs w:val="19"/>
                <w:color w:val="auto"/>
              </w:rPr>
              <w:t>11,551</w:t>
            </w:r>
          </w:p>
        </w:tc>
        <w:tc>
          <w:tcPr>
            <w:tcW w:w="60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040" w:type="dxa"/>
            <w:vAlign w:val="bottom"/>
          </w:tcPr>
          <w:p>
            <w:pPr>
              <w:jc w:val="right"/>
              <w:ind w:right="405"/>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165"/>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24,130</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84455</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5340" w:space="260"/>
            <w:col w:w="5720"/>
          </w:cols>
          <w:pgMar w:left="240" w:top="333" w:right="339" w:bottom="1440" w:gutter="0" w:footer="0" w:header="0"/>
        </w:sectPr>
      </w:pPr>
    </w:p>
    <w:bookmarkStart w:id="80" w:name="page81"/>
    <w:bookmarkEnd w:id="80"/>
    <w:p>
      <w:pPr>
        <w:ind w:left="10320"/>
        <w:spacing w:after="0"/>
        <w:rPr>
          <w:sz w:val="20"/>
          <w:szCs w:val="20"/>
          <w:color w:val="auto"/>
        </w:rPr>
      </w:pPr>
      <w:r>
        <w:rPr>
          <w:rFonts w:ascii="Arial" w:cs="Arial" w:eastAsia="Arial" w:hAnsi="Arial"/>
          <w:sz w:val="20"/>
          <w:szCs w:val="20"/>
          <w:b w:val="1"/>
          <w:bCs w:val="1"/>
          <w:color w:val="auto"/>
        </w:rPr>
        <w:t>EXHIBIT 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jc w:val="center"/>
              <w:ind w:left="3609"/>
              <w:spacing w:after="0"/>
              <w:rPr>
                <w:sz w:val="20"/>
                <w:szCs w:val="20"/>
                <w:color w:val="auto"/>
              </w:rPr>
            </w:pPr>
            <w:r>
              <w:rPr>
                <w:rFonts w:ascii="Arial" w:cs="Arial" w:eastAsia="Arial" w:hAnsi="Arial"/>
                <w:sz w:val="20"/>
                <w:szCs w:val="20"/>
                <w:b w:val="1"/>
                <w:bCs w:val="1"/>
                <w:color w:val="auto"/>
                <w:w w:val="96"/>
              </w:rPr>
              <w:t>SUBSIDIARIES</w:t>
            </w:r>
          </w:p>
        </w:tc>
        <w:tc>
          <w:tcPr>
            <w:tcW w:w="3780" w:type="dxa"/>
            <w:vAlign w:val="bottom"/>
          </w:tcPr>
          <w:p>
            <w:pPr>
              <w:spacing w:after="0"/>
              <w:rPr>
                <w:sz w:val="19"/>
                <w:szCs w:val="19"/>
                <w:color w:val="auto"/>
              </w:rPr>
            </w:pPr>
          </w:p>
        </w:tc>
      </w:tr>
      <w:tr>
        <w:trPr>
          <w:trHeight w:val="230"/>
        </w:trPr>
        <w:tc>
          <w:tcPr>
            <w:tcW w:w="7680" w:type="dxa"/>
            <w:vAlign w:val="bottom"/>
          </w:tcPr>
          <w:p>
            <w:pPr>
              <w:jc w:val="center"/>
              <w:ind w:left="3669"/>
              <w:spacing w:after="0"/>
              <w:rPr>
                <w:sz w:val="20"/>
                <w:szCs w:val="20"/>
                <w:color w:val="auto"/>
              </w:rPr>
            </w:pPr>
            <w:r>
              <w:rPr>
                <w:rFonts w:ascii="Arial" w:cs="Arial" w:eastAsia="Arial" w:hAnsi="Arial"/>
                <w:sz w:val="20"/>
                <w:szCs w:val="20"/>
                <w:b w:val="1"/>
                <w:bCs w:val="1"/>
                <w:color w:val="auto"/>
              </w:rPr>
              <w:t>OF</w:t>
            </w:r>
          </w:p>
        </w:tc>
        <w:tc>
          <w:tcPr>
            <w:tcW w:w="3780" w:type="dxa"/>
            <w:vAlign w:val="bottom"/>
          </w:tcPr>
          <w:p>
            <w:pPr>
              <w:spacing w:after="0"/>
              <w:rPr>
                <w:sz w:val="19"/>
                <w:szCs w:val="19"/>
                <w:color w:val="auto"/>
              </w:rPr>
            </w:pPr>
          </w:p>
        </w:tc>
      </w:tr>
      <w:tr>
        <w:trPr>
          <w:trHeight w:val="256"/>
        </w:trPr>
        <w:tc>
          <w:tcPr>
            <w:tcW w:w="7680" w:type="dxa"/>
            <w:vAlign w:val="bottom"/>
          </w:tcPr>
          <w:p>
            <w:pPr>
              <w:jc w:val="center"/>
              <w:ind w:left="3649"/>
              <w:spacing w:after="0"/>
              <w:rPr>
                <w:sz w:val="20"/>
                <w:szCs w:val="20"/>
                <w:color w:val="auto"/>
              </w:rPr>
            </w:pPr>
            <w:r>
              <w:rPr>
                <w:rFonts w:ascii="Arial" w:cs="Arial" w:eastAsia="Arial" w:hAnsi="Arial"/>
                <w:sz w:val="20"/>
                <w:szCs w:val="20"/>
                <w:b w:val="1"/>
                <w:bCs w:val="1"/>
                <w:color w:val="auto"/>
                <w:w w:val="99"/>
              </w:rPr>
              <w:t>MONSTER BEVERAGE CORPORATION</w:t>
            </w:r>
          </w:p>
        </w:tc>
        <w:tc>
          <w:tcPr>
            <w:tcW w:w="3780" w:type="dxa"/>
            <w:vAlign w:val="bottom"/>
          </w:tcPr>
          <w:p>
            <w:pPr>
              <w:spacing w:after="0"/>
              <w:rPr>
                <w:sz w:val="22"/>
                <w:szCs w:val="22"/>
                <w:color w:val="auto"/>
              </w:rPr>
            </w:pPr>
          </w:p>
        </w:tc>
      </w:tr>
      <w:tr>
        <w:trPr>
          <w:trHeight w:val="446"/>
        </w:trPr>
        <w:tc>
          <w:tcPr>
            <w:tcW w:w="7680" w:type="dxa"/>
            <w:vAlign w:val="bottom"/>
          </w:tcPr>
          <w:p>
            <w:pPr>
              <w:spacing w:after="0"/>
              <w:rPr>
                <w:sz w:val="20"/>
                <w:szCs w:val="20"/>
                <w:color w:val="auto"/>
              </w:rPr>
            </w:pPr>
            <w:r>
              <w:rPr>
                <w:rFonts w:ascii="Arial" w:cs="Arial" w:eastAsia="Arial" w:hAnsi="Arial"/>
                <w:sz w:val="20"/>
                <w:szCs w:val="20"/>
                <w:b w:val="1"/>
                <w:bCs w:val="1"/>
                <w:color w:val="auto"/>
              </w:rPr>
              <w:t>Entity Name</w:t>
            </w:r>
          </w:p>
        </w:tc>
        <w:tc>
          <w:tcPr>
            <w:tcW w:w="3780" w:type="dxa"/>
            <w:vAlign w:val="bottom"/>
          </w:tcPr>
          <w:p>
            <w:pPr>
              <w:ind w:left="100"/>
              <w:spacing w:after="0"/>
              <w:rPr>
                <w:sz w:val="20"/>
                <w:szCs w:val="20"/>
                <w:color w:val="auto"/>
              </w:rPr>
            </w:pPr>
            <w:r>
              <w:rPr>
                <w:rFonts w:ascii="Arial" w:cs="Arial" w:eastAsia="Arial" w:hAnsi="Arial"/>
                <w:sz w:val="20"/>
                <w:szCs w:val="20"/>
                <w:b w:val="1"/>
                <w:bCs w:val="1"/>
                <w:color w:val="auto"/>
              </w:rPr>
              <w:t>Jurisdiction</w:t>
            </w:r>
          </w:p>
        </w:tc>
      </w:tr>
      <w:tr>
        <w:trPr>
          <w:trHeight w:val="253"/>
        </w:trPr>
        <w:tc>
          <w:tcPr>
            <w:tcW w:w="7680" w:type="dxa"/>
            <w:vAlign w:val="bottom"/>
          </w:tcPr>
          <w:p>
            <w:pPr>
              <w:spacing w:after="0"/>
              <w:rPr>
                <w:sz w:val="20"/>
                <w:szCs w:val="20"/>
                <w:color w:val="auto"/>
              </w:rPr>
            </w:pPr>
            <w:r>
              <w:rPr>
                <w:rFonts w:ascii="Arial" w:cs="Arial" w:eastAsia="Arial" w:hAnsi="Arial"/>
                <w:sz w:val="18"/>
                <w:szCs w:val="18"/>
                <w:color w:val="auto"/>
              </w:rPr>
              <w:t>Monster Energy Company</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Hansen Beverage Company</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LDA Company</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Hansen Junior Juice Company</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Blue Sky Natural Beverage Co.</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Europe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Ireland</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Au Pty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Australia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Fastest, LLC</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HBC Corona Summit, LLC</w:t>
            </w:r>
          </w:p>
        </w:tc>
        <w:tc>
          <w:tcPr>
            <w:tcW w:w="3780" w:type="dxa"/>
            <w:vAlign w:val="bottom"/>
          </w:tcPr>
          <w:p>
            <w:pPr>
              <w:ind w:left="100"/>
              <w:spacing w:after="0"/>
              <w:rPr>
                <w:sz w:val="20"/>
                <w:szCs w:val="20"/>
                <w:color w:val="auto"/>
              </w:rPr>
            </w:pPr>
            <w:r>
              <w:rPr>
                <w:rFonts w:ascii="Arial" w:cs="Arial" w:eastAsia="Arial" w:hAnsi="Arial"/>
                <w:sz w:val="18"/>
                <w:szCs w:val="18"/>
                <w:color w:val="auto"/>
              </w:rPr>
              <w:t>California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HBC Corona Summit II, LLC</w:t>
            </w:r>
          </w:p>
        </w:tc>
        <w:tc>
          <w:tcPr>
            <w:tcW w:w="3780" w:type="dxa"/>
            <w:vAlign w:val="bottom"/>
          </w:tcPr>
          <w:p>
            <w:pPr>
              <w:ind w:left="100"/>
              <w:spacing w:after="0"/>
              <w:rPr>
                <w:sz w:val="20"/>
                <w:szCs w:val="20"/>
                <w:color w:val="auto"/>
              </w:rPr>
            </w:pPr>
            <w:r>
              <w:rPr>
                <w:rFonts w:ascii="Arial" w:cs="Arial" w:eastAsia="Arial" w:hAnsi="Arial"/>
                <w:sz w:val="18"/>
                <w:szCs w:val="18"/>
                <w:color w:val="auto"/>
              </w:rPr>
              <w:t>California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Hansen PRE, LLC</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Canada Ltd.</w:t>
            </w:r>
          </w:p>
        </w:tc>
        <w:tc>
          <w:tcPr>
            <w:tcW w:w="3780" w:type="dxa"/>
            <w:vAlign w:val="bottom"/>
          </w:tcPr>
          <w:p>
            <w:pPr>
              <w:ind w:left="100"/>
              <w:spacing w:after="0"/>
              <w:rPr>
                <w:sz w:val="20"/>
                <w:szCs w:val="20"/>
                <w:color w:val="auto"/>
              </w:rPr>
            </w:pPr>
            <w:r>
              <w:rPr>
                <w:rFonts w:ascii="Arial" w:cs="Arial" w:eastAsia="Arial" w:hAnsi="Arial"/>
                <w:sz w:val="18"/>
                <w:szCs w:val="18"/>
                <w:color w:val="auto"/>
              </w:rPr>
              <w:t>Canada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Racing, Inc.</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Brasil Comércio de Bebidas Ltda</w:t>
            </w:r>
          </w:p>
        </w:tc>
        <w:tc>
          <w:tcPr>
            <w:tcW w:w="3780" w:type="dxa"/>
            <w:vAlign w:val="bottom"/>
          </w:tcPr>
          <w:p>
            <w:pPr>
              <w:ind w:left="100"/>
              <w:spacing w:after="0"/>
              <w:rPr>
                <w:sz w:val="20"/>
                <w:szCs w:val="20"/>
                <w:color w:val="auto"/>
              </w:rPr>
            </w:pPr>
            <w:r>
              <w:rPr>
                <w:rFonts w:ascii="Arial" w:cs="Arial" w:eastAsia="Arial" w:hAnsi="Arial"/>
                <w:sz w:val="18"/>
                <w:szCs w:val="18"/>
                <w:color w:val="auto"/>
              </w:rPr>
              <w:t>Brazil</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Mexico, S. de R.L. de C.V</w:t>
            </w:r>
          </w:p>
        </w:tc>
        <w:tc>
          <w:tcPr>
            <w:tcW w:w="3780" w:type="dxa"/>
            <w:vAlign w:val="bottom"/>
          </w:tcPr>
          <w:p>
            <w:pPr>
              <w:ind w:left="100"/>
              <w:spacing w:after="0"/>
              <w:rPr>
                <w:sz w:val="20"/>
                <w:szCs w:val="20"/>
                <w:color w:val="auto"/>
              </w:rPr>
            </w:pPr>
            <w:r>
              <w:rPr>
                <w:rFonts w:ascii="Arial" w:cs="Arial" w:eastAsia="Arial" w:hAnsi="Arial"/>
                <w:sz w:val="18"/>
                <w:szCs w:val="18"/>
                <w:color w:val="auto"/>
              </w:rPr>
              <w:t>Mexico</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ME Management Services, S. de R.L. de C. V.</w:t>
            </w:r>
          </w:p>
        </w:tc>
        <w:tc>
          <w:tcPr>
            <w:tcW w:w="3780" w:type="dxa"/>
            <w:vAlign w:val="bottom"/>
          </w:tcPr>
          <w:p>
            <w:pPr>
              <w:ind w:left="100"/>
              <w:spacing w:after="0"/>
              <w:rPr>
                <w:sz w:val="20"/>
                <w:szCs w:val="20"/>
                <w:color w:val="auto"/>
              </w:rPr>
            </w:pPr>
            <w:r>
              <w:rPr>
                <w:rFonts w:ascii="Arial" w:cs="Arial" w:eastAsia="Arial" w:hAnsi="Arial"/>
                <w:sz w:val="18"/>
                <w:szCs w:val="18"/>
                <w:color w:val="auto"/>
              </w:rPr>
              <w:t>Mexico</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France SAS</w:t>
            </w:r>
          </w:p>
        </w:tc>
        <w:tc>
          <w:tcPr>
            <w:tcW w:w="3780" w:type="dxa"/>
            <w:vAlign w:val="bottom"/>
          </w:tcPr>
          <w:p>
            <w:pPr>
              <w:ind w:left="100"/>
              <w:spacing w:after="0"/>
              <w:rPr>
                <w:sz w:val="20"/>
                <w:szCs w:val="20"/>
                <w:color w:val="auto"/>
              </w:rPr>
            </w:pPr>
            <w:r>
              <w:rPr>
                <w:rFonts w:ascii="Arial" w:cs="Arial" w:eastAsia="Arial" w:hAnsi="Arial"/>
                <w:sz w:val="18"/>
                <w:szCs w:val="18"/>
                <w:color w:val="auto"/>
              </w:rPr>
              <w:t>France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Austria GmbH</w:t>
            </w:r>
          </w:p>
        </w:tc>
        <w:tc>
          <w:tcPr>
            <w:tcW w:w="3780" w:type="dxa"/>
            <w:vAlign w:val="bottom"/>
          </w:tcPr>
          <w:p>
            <w:pPr>
              <w:ind w:left="100"/>
              <w:spacing w:after="0"/>
              <w:rPr>
                <w:sz w:val="20"/>
                <w:szCs w:val="20"/>
                <w:color w:val="auto"/>
              </w:rPr>
            </w:pPr>
            <w:r>
              <w:rPr>
                <w:rFonts w:ascii="Arial" w:cs="Arial" w:eastAsia="Arial" w:hAnsi="Arial"/>
                <w:sz w:val="18"/>
                <w:szCs w:val="18"/>
                <w:color w:val="auto"/>
              </w:rPr>
              <w:t>Austria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Colombia SAS</w:t>
            </w:r>
          </w:p>
        </w:tc>
        <w:tc>
          <w:tcPr>
            <w:tcW w:w="3780" w:type="dxa"/>
            <w:vAlign w:val="bottom"/>
          </w:tcPr>
          <w:p>
            <w:pPr>
              <w:ind w:left="100"/>
              <w:spacing w:after="0"/>
              <w:rPr>
                <w:sz w:val="20"/>
                <w:szCs w:val="20"/>
                <w:color w:val="auto"/>
              </w:rPr>
            </w:pPr>
            <w:r>
              <w:rPr>
                <w:rFonts w:ascii="Arial" w:cs="Arial" w:eastAsia="Arial" w:hAnsi="Arial"/>
                <w:sz w:val="18"/>
                <w:szCs w:val="18"/>
                <w:color w:val="auto"/>
              </w:rPr>
              <w:t>Colombia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Hong Kong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Hong Kong</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Beverage Company of South Africa (Proprietary)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South Africa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Ukraine LLC</w:t>
            </w:r>
          </w:p>
        </w:tc>
        <w:tc>
          <w:tcPr>
            <w:tcW w:w="3780" w:type="dxa"/>
            <w:vAlign w:val="bottom"/>
          </w:tcPr>
          <w:p>
            <w:pPr>
              <w:ind w:left="100"/>
              <w:spacing w:after="0"/>
              <w:rPr>
                <w:sz w:val="20"/>
                <w:szCs w:val="20"/>
                <w:color w:val="auto"/>
              </w:rPr>
            </w:pPr>
            <w:r>
              <w:rPr>
                <w:rFonts w:ascii="Arial" w:cs="Arial" w:eastAsia="Arial" w:hAnsi="Arial"/>
                <w:sz w:val="18"/>
                <w:szCs w:val="18"/>
                <w:color w:val="auto"/>
              </w:rPr>
              <w:t>Ukraine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Beverage Company Peru, S.R.L</w:t>
            </w:r>
          </w:p>
        </w:tc>
        <w:tc>
          <w:tcPr>
            <w:tcW w:w="3780" w:type="dxa"/>
            <w:vAlign w:val="bottom"/>
          </w:tcPr>
          <w:p>
            <w:pPr>
              <w:ind w:left="100"/>
              <w:spacing w:after="0"/>
              <w:rPr>
                <w:sz w:val="20"/>
                <w:szCs w:val="20"/>
                <w:color w:val="auto"/>
              </w:rPr>
            </w:pPr>
            <w:r>
              <w:rPr>
                <w:rFonts w:ascii="Arial" w:cs="Arial" w:eastAsia="Arial" w:hAnsi="Arial"/>
                <w:sz w:val="18"/>
                <w:szCs w:val="18"/>
                <w:color w:val="auto"/>
              </w:rPr>
              <w:t>Peru</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Bebidas Ecuador Cia. Ltda</w:t>
            </w:r>
          </w:p>
        </w:tc>
        <w:tc>
          <w:tcPr>
            <w:tcW w:w="3780" w:type="dxa"/>
            <w:vAlign w:val="bottom"/>
          </w:tcPr>
          <w:p>
            <w:pPr>
              <w:ind w:left="100"/>
              <w:spacing w:after="0"/>
              <w:rPr>
                <w:sz w:val="20"/>
                <w:szCs w:val="20"/>
                <w:color w:val="auto"/>
              </w:rPr>
            </w:pPr>
            <w:r>
              <w:rPr>
                <w:rFonts w:ascii="Arial" w:cs="Arial" w:eastAsia="Arial" w:hAnsi="Arial"/>
                <w:sz w:val="18"/>
                <w:szCs w:val="18"/>
                <w:color w:val="auto"/>
              </w:rPr>
              <w:t>Ecuador</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Argentina S.A.</w:t>
            </w:r>
          </w:p>
        </w:tc>
        <w:tc>
          <w:tcPr>
            <w:tcW w:w="3780" w:type="dxa"/>
            <w:vAlign w:val="bottom"/>
          </w:tcPr>
          <w:p>
            <w:pPr>
              <w:ind w:left="100"/>
              <w:spacing w:after="0"/>
              <w:rPr>
                <w:sz w:val="20"/>
                <w:szCs w:val="20"/>
                <w:color w:val="auto"/>
              </w:rPr>
            </w:pPr>
            <w:r>
              <w:rPr>
                <w:rFonts w:ascii="Arial" w:cs="Arial" w:eastAsia="Arial" w:hAnsi="Arial"/>
                <w:sz w:val="18"/>
                <w:szCs w:val="18"/>
                <w:color w:val="auto"/>
              </w:rPr>
              <w:t>Argentina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Peace Tea Beverage Company</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NOS Energy Company</w:t>
            </w:r>
          </w:p>
        </w:tc>
        <w:tc>
          <w:tcPr>
            <w:tcW w:w="3780" w:type="dxa"/>
            <w:vAlign w:val="bottom"/>
          </w:tcPr>
          <w:p>
            <w:pPr>
              <w:ind w:left="100"/>
              <w:spacing w:after="0"/>
              <w:rPr>
                <w:sz w:val="20"/>
                <w:szCs w:val="20"/>
                <w:color w:val="auto"/>
              </w:rPr>
            </w:pPr>
            <w:r>
              <w:rPr>
                <w:rFonts w:ascii="Arial" w:cs="Arial" w:eastAsia="Arial" w:hAnsi="Arial"/>
                <w:sz w:val="18"/>
                <w:szCs w:val="18"/>
                <w:color w:val="auto"/>
              </w:rPr>
              <w:t>California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Full Throttle Energy Company</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Beverage Company</w:t>
            </w:r>
          </w:p>
        </w:tc>
        <w:tc>
          <w:tcPr>
            <w:tcW w:w="3780" w:type="dxa"/>
            <w:vAlign w:val="bottom"/>
          </w:tcPr>
          <w:p>
            <w:pPr>
              <w:ind w:left="100"/>
              <w:spacing w:after="0"/>
              <w:rPr>
                <w:sz w:val="20"/>
                <w:szCs w:val="20"/>
                <w:color w:val="auto"/>
              </w:rPr>
            </w:pPr>
            <w:r>
              <w:rPr>
                <w:rFonts w:ascii="Arial" w:cs="Arial" w:eastAsia="Arial" w:hAnsi="Arial"/>
                <w:sz w:val="18"/>
                <w:szCs w:val="18"/>
                <w:color w:val="auto"/>
              </w:rPr>
              <w:t>Connecticut</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Hansen Natural Corporation</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Singapore Pte. Ltd.</w:t>
            </w:r>
          </w:p>
        </w:tc>
        <w:tc>
          <w:tcPr>
            <w:tcW w:w="3780" w:type="dxa"/>
            <w:vAlign w:val="bottom"/>
          </w:tcPr>
          <w:p>
            <w:pPr>
              <w:ind w:left="100"/>
              <w:spacing w:after="0"/>
              <w:rPr>
                <w:sz w:val="20"/>
                <w:szCs w:val="20"/>
                <w:color w:val="auto"/>
              </w:rPr>
            </w:pPr>
            <w:r>
              <w:rPr>
                <w:rFonts w:ascii="Arial" w:cs="Arial" w:eastAsia="Arial" w:hAnsi="Arial"/>
                <w:sz w:val="18"/>
                <w:szCs w:val="18"/>
                <w:color w:val="auto"/>
              </w:rPr>
              <w:t>Singapore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Korea, Ltd.</w:t>
            </w:r>
          </w:p>
        </w:tc>
        <w:tc>
          <w:tcPr>
            <w:tcW w:w="3780" w:type="dxa"/>
            <w:vAlign w:val="bottom"/>
          </w:tcPr>
          <w:p>
            <w:pPr>
              <w:ind w:left="100"/>
              <w:spacing w:after="0"/>
              <w:rPr>
                <w:sz w:val="20"/>
                <w:szCs w:val="20"/>
                <w:color w:val="auto"/>
              </w:rPr>
            </w:pPr>
            <w:r>
              <w:rPr>
                <w:rFonts w:ascii="Arial" w:cs="Arial" w:eastAsia="Arial" w:hAnsi="Arial"/>
                <w:sz w:val="18"/>
                <w:szCs w:val="18"/>
                <w:color w:val="auto"/>
              </w:rPr>
              <w:t>Korea, South</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Japan Godo Kaisha</w:t>
            </w:r>
          </w:p>
        </w:tc>
        <w:tc>
          <w:tcPr>
            <w:tcW w:w="3780" w:type="dxa"/>
            <w:vAlign w:val="bottom"/>
          </w:tcPr>
          <w:p>
            <w:pPr>
              <w:ind w:left="100"/>
              <w:spacing w:after="0"/>
              <w:rPr>
                <w:sz w:val="20"/>
                <w:szCs w:val="20"/>
                <w:color w:val="auto"/>
              </w:rPr>
            </w:pPr>
            <w:r>
              <w:rPr>
                <w:rFonts w:ascii="Arial" w:cs="Arial" w:eastAsia="Arial" w:hAnsi="Arial"/>
                <w:sz w:val="18"/>
                <w:szCs w:val="18"/>
                <w:color w:val="auto"/>
              </w:rPr>
              <w:t>Japan</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Company-Chile-Limitada</w:t>
            </w:r>
          </w:p>
        </w:tc>
        <w:tc>
          <w:tcPr>
            <w:tcW w:w="3780" w:type="dxa"/>
            <w:vAlign w:val="bottom"/>
          </w:tcPr>
          <w:p>
            <w:pPr>
              <w:ind w:left="100"/>
              <w:spacing w:after="0"/>
              <w:rPr>
                <w:sz w:val="20"/>
                <w:szCs w:val="20"/>
                <w:color w:val="auto"/>
              </w:rPr>
            </w:pPr>
            <w:r>
              <w:rPr>
                <w:rFonts w:ascii="Arial" w:cs="Arial" w:eastAsia="Arial" w:hAnsi="Arial"/>
                <w:sz w:val="18"/>
                <w:szCs w:val="18"/>
                <w:color w:val="auto"/>
              </w:rPr>
              <w:t>Chile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Switzerland Holding GmbH</w:t>
            </w:r>
          </w:p>
        </w:tc>
        <w:tc>
          <w:tcPr>
            <w:tcW w:w="3780" w:type="dxa"/>
            <w:vAlign w:val="bottom"/>
          </w:tcPr>
          <w:p>
            <w:pPr>
              <w:ind w:left="100"/>
              <w:spacing w:after="0"/>
              <w:rPr>
                <w:sz w:val="20"/>
                <w:szCs w:val="20"/>
                <w:color w:val="auto"/>
              </w:rPr>
            </w:pPr>
            <w:r>
              <w:rPr>
                <w:rFonts w:ascii="Arial" w:cs="Arial" w:eastAsia="Arial" w:hAnsi="Arial"/>
                <w:sz w:val="18"/>
                <w:szCs w:val="18"/>
                <w:color w:val="auto"/>
              </w:rPr>
              <w:t>Switzerland</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Rus LLC</w:t>
            </w:r>
          </w:p>
        </w:tc>
        <w:tc>
          <w:tcPr>
            <w:tcW w:w="3780" w:type="dxa"/>
            <w:vAlign w:val="bottom"/>
          </w:tcPr>
          <w:p>
            <w:pPr>
              <w:ind w:left="100"/>
              <w:spacing w:after="0"/>
              <w:rPr>
                <w:sz w:val="20"/>
                <w:szCs w:val="20"/>
                <w:color w:val="auto"/>
              </w:rPr>
            </w:pPr>
            <w:r>
              <w:rPr>
                <w:rFonts w:ascii="Arial" w:cs="Arial" w:eastAsia="Arial" w:hAnsi="Arial"/>
                <w:sz w:val="18"/>
                <w:szCs w:val="18"/>
                <w:color w:val="auto"/>
              </w:rPr>
              <w:t>Russia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Vietnam Company Ltd.</w:t>
            </w:r>
          </w:p>
        </w:tc>
        <w:tc>
          <w:tcPr>
            <w:tcW w:w="3780" w:type="dxa"/>
            <w:vAlign w:val="bottom"/>
          </w:tcPr>
          <w:p>
            <w:pPr>
              <w:ind w:left="100"/>
              <w:spacing w:after="0"/>
              <w:rPr>
                <w:sz w:val="20"/>
                <w:szCs w:val="20"/>
                <w:color w:val="auto"/>
              </w:rPr>
            </w:pPr>
            <w:r>
              <w:rPr>
                <w:rFonts w:ascii="Arial" w:cs="Arial" w:eastAsia="Arial" w:hAnsi="Arial"/>
                <w:sz w:val="18"/>
                <w:szCs w:val="18"/>
                <w:color w:val="auto"/>
              </w:rPr>
              <w:t>Vietnam</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India Private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India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PRC Holdings (HK)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Hong Kong</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Company (Taiwan)</w:t>
            </w:r>
          </w:p>
        </w:tc>
        <w:tc>
          <w:tcPr>
            <w:tcW w:w="3780" w:type="dxa"/>
            <w:vAlign w:val="bottom"/>
          </w:tcPr>
          <w:p>
            <w:pPr>
              <w:ind w:left="100"/>
              <w:spacing w:after="0"/>
              <w:rPr>
                <w:sz w:val="20"/>
                <w:szCs w:val="20"/>
                <w:color w:val="auto"/>
              </w:rPr>
            </w:pPr>
            <w:r>
              <w:rPr>
                <w:rFonts w:ascii="Arial" w:cs="Arial" w:eastAsia="Arial" w:hAnsi="Arial"/>
                <w:sz w:val="18"/>
                <w:szCs w:val="18"/>
                <w:color w:val="auto"/>
              </w:rPr>
              <w:t>Taiwan</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İçecek Ticaret Limited Şirketi</w:t>
            </w:r>
          </w:p>
        </w:tc>
        <w:tc>
          <w:tcPr>
            <w:tcW w:w="3780" w:type="dxa"/>
            <w:vAlign w:val="bottom"/>
          </w:tcPr>
          <w:p>
            <w:pPr>
              <w:ind w:left="100"/>
              <w:spacing w:after="0"/>
              <w:rPr>
                <w:sz w:val="20"/>
                <w:szCs w:val="20"/>
                <w:color w:val="auto"/>
              </w:rPr>
            </w:pPr>
            <w:r>
              <w:rPr>
                <w:rFonts w:ascii="Arial" w:cs="Arial" w:eastAsia="Arial" w:hAnsi="Arial"/>
                <w:sz w:val="18"/>
                <w:szCs w:val="18"/>
                <w:color w:val="auto"/>
              </w:rPr>
              <w:t>Turkey</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Nigeria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Nigeria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SER doo Beograd-Vracar</w:t>
            </w:r>
          </w:p>
        </w:tc>
        <w:tc>
          <w:tcPr>
            <w:tcW w:w="3780" w:type="dxa"/>
            <w:vAlign w:val="bottom"/>
          </w:tcPr>
          <w:p>
            <w:pPr>
              <w:ind w:left="100"/>
              <w:spacing w:after="0"/>
              <w:rPr>
                <w:sz w:val="20"/>
                <w:szCs w:val="20"/>
                <w:color w:val="auto"/>
              </w:rPr>
            </w:pPr>
            <w:r>
              <w:rPr>
                <w:rFonts w:ascii="Arial" w:cs="Arial" w:eastAsia="Arial" w:hAnsi="Arial"/>
                <w:sz w:val="18"/>
                <w:szCs w:val="18"/>
                <w:color w:val="auto"/>
              </w:rPr>
              <w:t>Serbia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Limited Liability Company M Energy Rus</w:t>
            </w:r>
          </w:p>
        </w:tc>
        <w:tc>
          <w:tcPr>
            <w:tcW w:w="3780" w:type="dxa"/>
            <w:vAlign w:val="bottom"/>
          </w:tcPr>
          <w:p>
            <w:pPr>
              <w:ind w:left="100"/>
              <w:spacing w:after="0"/>
              <w:rPr>
                <w:sz w:val="20"/>
                <w:szCs w:val="20"/>
                <w:color w:val="auto"/>
              </w:rPr>
            </w:pPr>
            <w:r>
              <w:rPr>
                <w:rFonts w:ascii="Arial" w:cs="Arial" w:eastAsia="Arial" w:hAnsi="Arial"/>
                <w:sz w:val="18"/>
                <w:szCs w:val="18"/>
                <w:color w:val="auto"/>
              </w:rPr>
              <w:t>Russia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International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Ireland</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Rialto Renaissance LLC</w:t>
            </w:r>
          </w:p>
        </w:tc>
        <w:tc>
          <w:tcPr>
            <w:tcW w:w="3780" w:type="dxa"/>
            <w:vAlign w:val="bottom"/>
          </w:tcPr>
          <w:p>
            <w:pPr>
              <w:ind w:left="100"/>
              <w:spacing w:after="0"/>
              <w:rPr>
                <w:sz w:val="20"/>
                <w:szCs w:val="20"/>
                <w:color w:val="auto"/>
              </w:rPr>
            </w:pPr>
            <w:r>
              <w:rPr>
                <w:rFonts w:ascii="Arial" w:cs="Arial" w:eastAsia="Arial" w:hAnsi="Arial"/>
                <w:sz w:val="18"/>
                <w:szCs w:val="18"/>
                <w:color w:val="auto"/>
              </w:rPr>
              <w:t>California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TC Corona LLC</w:t>
            </w:r>
          </w:p>
        </w:tc>
        <w:tc>
          <w:tcPr>
            <w:tcW w:w="3780" w:type="dxa"/>
            <w:vAlign w:val="bottom"/>
          </w:tcPr>
          <w:p>
            <w:pPr>
              <w:ind w:left="100"/>
              <w:spacing w:after="0"/>
              <w:rPr>
                <w:sz w:val="20"/>
                <w:szCs w:val="20"/>
                <w:color w:val="auto"/>
              </w:rPr>
            </w:pPr>
            <w:r>
              <w:rPr>
                <w:rFonts w:ascii="Arial" w:cs="Arial" w:eastAsia="Arial" w:hAnsi="Arial"/>
                <w:sz w:val="18"/>
                <w:szCs w:val="18"/>
                <w:color w:val="auto"/>
              </w:rPr>
              <w:t>California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Energy Beverages LLC</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Energy Beverages Australia Pty Ltd.</w:t>
            </w:r>
          </w:p>
        </w:tc>
        <w:tc>
          <w:tcPr>
            <w:tcW w:w="3780" w:type="dxa"/>
            <w:vAlign w:val="bottom"/>
          </w:tcPr>
          <w:p>
            <w:pPr>
              <w:ind w:left="100"/>
              <w:spacing w:after="0"/>
              <w:rPr>
                <w:sz w:val="20"/>
                <w:szCs w:val="20"/>
                <w:color w:val="auto"/>
              </w:rPr>
            </w:pPr>
            <w:r>
              <w:rPr>
                <w:rFonts w:ascii="Arial" w:cs="Arial" w:eastAsia="Arial" w:hAnsi="Arial"/>
                <w:sz w:val="18"/>
                <w:szCs w:val="18"/>
                <w:color w:val="auto"/>
              </w:rPr>
              <w:t>Australia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Beverage (Shanghai) Co., Ltd.</w:t>
            </w:r>
          </w:p>
        </w:tc>
        <w:tc>
          <w:tcPr>
            <w:tcW w:w="378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Costa Rica, Ltda</w:t>
            </w:r>
          </w:p>
        </w:tc>
        <w:tc>
          <w:tcPr>
            <w:tcW w:w="3780" w:type="dxa"/>
            <w:vAlign w:val="bottom"/>
          </w:tcPr>
          <w:p>
            <w:pPr>
              <w:ind w:left="100"/>
              <w:spacing w:after="0"/>
              <w:rPr>
                <w:sz w:val="20"/>
                <w:szCs w:val="20"/>
                <w:color w:val="auto"/>
              </w:rPr>
            </w:pPr>
            <w:r>
              <w:rPr>
                <w:rFonts w:ascii="Arial" w:cs="Arial" w:eastAsia="Arial" w:hAnsi="Arial"/>
                <w:sz w:val="18"/>
                <w:szCs w:val="18"/>
                <w:color w:val="auto"/>
              </w:rPr>
              <w:t>Costa Rica</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Energy Company (Swaziland)(Proprietary)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Swaziland</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Monster Beverage 1990 Corporation</w:t>
            </w:r>
          </w:p>
        </w:tc>
        <w:tc>
          <w:tcPr>
            <w:tcW w:w="378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Energy Beverages Europe Limited</w:t>
            </w:r>
          </w:p>
        </w:tc>
        <w:tc>
          <w:tcPr>
            <w:tcW w:w="3780" w:type="dxa"/>
            <w:vAlign w:val="bottom"/>
          </w:tcPr>
          <w:p>
            <w:pPr>
              <w:ind w:left="100"/>
              <w:spacing w:after="0"/>
              <w:rPr>
                <w:sz w:val="20"/>
                <w:szCs w:val="20"/>
                <w:color w:val="auto"/>
              </w:rPr>
            </w:pPr>
            <w:r>
              <w:rPr>
                <w:rFonts w:ascii="Arial" w:cs="Arial" w:eastAsia="Arial" w:hAnsi="Arial"/>
                <w:sz w:val="18"/>
                <w:szCs w:val="18"/>
                <w:color w:val="auto"/>
              </w:rPr>
              <w:t>Ireland</w:t>
            </w:r>
          </w:p>
        </w:tc>
      </w:tr>
      <w:tr>
        <w:trPr>
          <w:trHeight w:val="348"/>
        </w:trPr>
        <w:tc>
          <w:tcPr>
            <w:tcW w:w="76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73"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consent to the incorporation by reference in Post-Effective Amendment No. 1 to Registration Statement No. 333-41333, No. 333-89123, No. 333-112482, No. 333-131467, No. 333-170713 and No. 333-174614 and Post-Effective Amendment No. 2 to Registration Statement No. 033-92526 on Form S-8 of our reports dated February 29, 2016, relating to the consolidated financial statements and financial statement schedule of Monster Beverage Corporation and subsidiaries (the “Company”) and the effectiveness of the Company’s internal control over financial reporting, appearing in this Annual Report on Form 10-K of Monster Beverage Corporation and subsidiaries for the year ended December 31, 2015.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w:t>
      </w:r>
      <w:r>
        <w:rPr>
          <w:rFonts w:ascii="Arial" w:cs="Arial" w:eastAsia="Arial" w:hAnsi="Arial"/>
          <w:sz w:val="20"/>
          <w:szCs w:val="20"/>
          <w:i w:val="1"/>
          <w:iCs w:val="1"/>
          <w:color w:val="auto"/>
        </w:rPr>
        <w:t>,</w:t>
      </w:r>
      <w:r>
        <w:rPr>
          <w:rFonts w:ascii="Arial" w:cs="Arial" w:eastAsia="Arial" w:hAnsi="Arial"/>
          <w:sz w:val="20"/>
          <w:szCs w:val="20"/>
          <w:color w:val="auto"/>
        </w:rPr>
        <w:t xml:space="preserve">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2" w:name="page83"/>
    <w:bookmarkEnd w:id="82"/>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23"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85" w:val="left"/>
        </w:tabs>
        <w:numPr>
          <w:ilvl w:val="0"/>
          <w:numId w:val="6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 w:hanging="332"/>
        <w:spacing w:after="0" w:line="316" w:lineRule="auto"/>
        <w:tabs>
          <w:tab w:leader="none" w:pos="4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412"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7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1802" w:val="left"/>
        </w:tabs>
        <w:numPr>
          <w:ilvl w:val="1"/>
          <w:numId w:val="6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705"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439"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654" w:val="left"/>
        </w:tabs>
        <w:numPr>
          <w:ilvl w:val="1"/>
          <w:numId w:val="6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732"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20"/>
              <w:spacing w:after="0"/>
              <w:rPr>
                <w:sz w:val="20"/>
                <w:szCs w:val="20"/>
                <w:color w:val="auto"/>
              </w:rPr>
            </w:pPr>
            <w:r>
              <w:rPr>
                <w:rFonts w:ascii="Arial" w:cs="Arial" w:eastAsia="Arial" w:hAnsi="Arial"/>
                <w:sz w:val="20"/>
                <w:szCs w:val="20"/>
                <w:color w:val="auto"/>
              </w:rPr>
              <w:t>February 29, 2016</w:t>
            </w:r>
          </w:p>
        </w:tc>
        <w:tc>
          <w:tcPr>
            <w:tcW w:w="57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2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2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72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4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83" w:name="page84"/>
    <w:bookmarkEnd w:id="83"/>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85" w:val="left"/>
        </w:tabs>
        <w:numPr>
          <w:ilvl w:val="0"/>
          <w:numId w:val="6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 w:hanging="332"/>
        <w:spacing w:after="0" w:line="316" w:lineRule="auto"/>
        <w:tabs>
          <w:tab w:leader="none" w:pos="4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412"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73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1802" w:val="left"/>
        </w:tabs>
        <w:numPr>
          <w:ilvl w:val="1"/>
          <w:numId w:val="6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7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439"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654" w:val="left"/>
        </w:tabs>
        <w:numPr>
          <w:ilvl w:val="1"/>
          <w:numId w:val="6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732"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00"/>
              <w:spacing w:after="0"/>
              <w:rPr>
                <w:sz w:val="20"/>
                <w:szCs w:val="20"/>
                <w:color w:val="auto"/>
              </w:rPr>
            </w:pPr>
            <w:r>
              <w:rPr>
                <w:rFonts w:ascii="Arial" w:cs="Arial" w:eastAsia="Arial" w:hAnsi="Arial"/>
                <w:sz w:val="20"/>
                <w:szCs w:val="20"/>
                <w:color w:val="auto"/>
              </w:rPr>
              <w:t>February 29, 2016</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 President, Chief</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Operating Officer, Chief Financial Officer and Secretary</w:t>
            </w:r>
          </w:p>
        </w:tc>
        <w:tc>
          <w:tcPr>
            <w:tcW w:w="40" w:type="dxa"/>
            <w:vAlign w:val="bottom"/>
          </w:tcPr>
          <w:p>
            <w:pPr>
              <w:spacing w:after="0"/>
              <w:rPr>
                <w:sz w:val="21"/>
                <w:szCs w:val="21"/>
                <w:color w:val="auto"/>
              </w:rPr>
            </w:pPr>
          </w:p>
        </w:tc>
      </w:tr>
      <w:tr>
        <w:trPr>
          <w:trHeight w:val="357"/>
        </w:trPr>
        <w:tc>
          <w:tcPr>
            <w:tcW w:w="86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84" w:name="page85"/>
    <w:bookmarkEnd w:id="84"/>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2015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40" w:hanging="324"/>
        <w:spacing w:after="0" w:line="260" w:lineRule="auto"/>
        <w:tabs>
          <w:tab w:leader="none" w:pos="984"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20"/>
              <w:spacing w:after="0"/>
              <w:rPr>
                <w:sz w:val="20"/>
                <w:szCs w:val="20"/>
                <w:color w:val="auto"/>
              </w:rPr>
            </w:pPr>
            <w:r>
              <w:rPr>
                <w:rFonts w:ascii="Arial" w:cs="Arial" w:eastAsia="Arial" w:hAnsi="Arial"/>
                <w:sz w:val="20"/>
                <w:szCs w:val="20"/>
                <w:color w:val="auto"/>
              </w:rPr>
              <w:t>February 29, 2016</w:t>
            </w:r>
          </w:p>
        </w:tc>
        <w:tc>
          <w:tcPr>
            <w:tcW w:w="5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68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68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68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8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85" w:name="page86"/>
    <w:bookmarkEnd w:id="85"/>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2015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40" w:hanging="324"/>
        <w:spacing w:after="0" w:line="260" w:lineRule="auto"/>
        <w:tabs>
          <w:tab w:leader="none" w:pos="984"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20"/>
              <w:spacing w:after="0"/>
              <w:rPr>
                <w:sz w:val="20"/>
                <w:szCs w:val="20"/>
                <w:color w:val="auto"/>
              </w:rPr>
            </w:pPr>
            <w:r>
              <w:rPr>
                <w:rFonts w:ascii="Arial" w:cs="Arial" w:eastAsia="Arial" w:hAnsi="Arial"/>
                <w:sz w:val="20"/>
                <w:szCs w:val="20"/>
                <w:color w:val="auto"/>
              </w:rPr>
              <w:t>February 29, 2016</w:t>
            </w:r>
          </w:p>
        </w:tc>
        <w:tc>
          <w:tcPr>
            <w:tcW w:w="5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68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68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 President, Chief</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680" w:type="dxa"/>
            <w:vAlign w:val="bottom"/>
          </w:tcPr>
          <w:p>
            <w:pPr>
              <w:ind w:left="100"/>
              <w:spacing w:after="0"/>
              <w:rPr>
                <w:sz w:val="20"/>
                <w:szCs w:val="20"/>
                <w:color w:val="auto"/>
              </w:rPr>
            </w:pPr>
            <w:r>
              <w:rPr>
                <w:rFonts w:ascii="Arial" w:cs="Arial" w:eastAsia="Arial" w:hAnsi="Arial"/>
                <w:sz w:val="20"/>
                <w:szCs w:val="20"/>
                <w:color w:val="auto"/>
              </w:rPr>
              <w:t>Operating Officer, Chief Financial Officer and Secretary</w:t>
            </w:r>
          </w:p>
        </w:tc>
        <w:tc>
          <w:tcPr>
            <w:tcW w:w="40" w:type="dxa"/>
            <w:vAlign w:val="bottom"/>
          </w:tcPr>
          <w:p>
            <w:pPr>
              <w:spacing w:after="0"/>
              <w:rPr>
                <w:sz w:val="21"/>
                <w:szCs w:val="21"/>
                <w:color w:val="auto"/>
              </w:rPr>
            </w:pPr>
          </w:p>
        </w:tc>
      </w:tr>
      <w:tr>
        <w:trPr>
          <w:trHeight w:val="357"/>
        </w:trPr>
        <w:tc>
          <w:tcPr>
            <w:tcW w:w="88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5"/>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lowerRoman"/>
      <w:start w:val="3"/>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lowerLetter"/>
      <w:start w:val="1"/>
    </w:lvl>
  </w:abstractNum>
  <w:abstractNum w:abstractNumId="8">
    <w:nsid w:val="7724C67E"/>
    <w:multiLevelType w:val="hybridMultilevel"/>
    <w:lvl w:ilvl="0">
      <w:lvlJc w:val="left"/>
      <w:lvlText w:val="(%1)"/>
      <w:numFmt w:val="lowerLetter"/>
      <w:start w:val="5"/>
    </w:lvl>
  </w:abstractNum>
  <w:abstractNum w:abstractNumId="9">
    <w:nsid w:val="5C482A97"/>
    <w:multiLevelType w:val="hybridMultilevel"/>
    <w:lvl w:ilvl="0">
      <w:lvlJc w:val="left"/>
      <w:lvlText w:val="(%1)"/>
      <w:numFmt w:val="decimal"/>
      <w:start w:val="951"/>
    </w:lvl>
  </w:abstractNum>
  <w:abstractNum w:abstractNumId="10">
    <w:nsid w:val="2463B9EA"/>
    <w:multiLevelType w:val="hybridMultilevel"/>
    <w:lvl w:ilvl="0">
      <w:lvlJc w:val="left"/>
      <w:lvlText w:val="(%1)"/>
      <w:numFmt w:val="decimal"/>
      <w:start w:val="800"/>
    </w:lvl>
  </w:abstractNum>
  <w:abstractNum w:abstractNumId="11">
    <w:nsid w:val="5E884ADC"/>
    <w:multiLevelType w:val="hybridMultilevel"/>
    <w:lvl w:ilvl="0">
      <w:lvlJc w:val="left"/>
      <w:lvlText w:val="(%1)"/>
      <w:numFmt w:val="lowerRoman"/>
      <w:start w:val="1"/>
    </w:lvl>
    <w:lvl w:ilvl="1">
      <w:lvlJc w:val="left"/>
      <w:lvlText w:val="(%2)"/>
      <w:numFmt w:val="lowerRoman"/>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lowerRoman"/>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lvl w:ilvl="1">
      <w:lvlJc w:val="left"/>
      <w:lvlText w:val="(%2)"/>
      <w:numFmt w:val="decimal"/>
      <w:start w:val="951"/>
    </w:lvl>
  </w:abstractNum>
  <w:abstractNum w:abstractNumId="28">
    <w:nsid w:val="38437FDB"/>
    <w:multiLevelType w:val="hybridMultilevel"/>
    <w:lvl w:ilvl="0">
      <w:lvlJc w:val="left"/>
      <w:lvlText w:val="(%1)"/>
      <w:numFmt w:val="decimal"/>
      <w:start w:val="800"/>
    </w:lvl>
    <w:lvl w:ilvl="1">
      <w:lvlJc w:val="left"/>
      <w:lvlText w:val="%2"/>
      <w:numFmt w:val="decimal"/>
      <w:start w:val="1"/>
    </w:lvl>
  </w:abstractNum>
  <w:abstractNum w:abstractNumId="29">
    <w:nsid w:val="7644A45C"/>
    <w:multiLevelType w:val="hybridMultilevel"/>
    <w:lvl w:ilvl="0">
      <w:lvlJc w:val="left"/>
      <w:lvlText w:val="(%1)"/>
      <w:numFmt w:val="lowerLetter"/>
      <w:start w:val="3"/>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4"/>
    </w:lvl>
  </w:abstractNum>
  <w:abstractNum w:abstractNumId="35">
    <w:nsid w:val="1BA026FA"/>
    <w:multiLevelType w:val="hybridMultilevel"/>
    <w:lvl w:ilvl="0">
      <w:lvlJc w:val="left"/>
      <w:lvlText w:val="%1."/>
      <w:numFmt w:val="decimal"/>
      <w:start w:val="2"/>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3"/>
    </w:lvl>
  </w:abstractNum>
  <w:abstractNum w:abstractNumId="39">
    <w:nsid w:val="70C6A529"/>
    <w:multiLevelType w:val="hybridMultilevel"/>
    <w:lvl w:ilvl="0">
      <w:lvlJc w:val="left"/>
      <w:lvlText w:val="%1."/>
      <w:numFmt w:val="decimal"/>
      <w:start w:val="4"/>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decimal"/>
      <w:start w:val="5"/>
    </w:lvl>
  </w:abstractNum>
  <w:abstractNum w:abstractNumId="43">
    <w:nsid w:val="23F9C13C"/>
    <w:multiLevelType w:val="hybridMultilevel"/>
    <w:lvl w:ilvl="0">
      <w:lvlJc w:val="left"/>
      <w:lvlText w:val="%1."/>
      <w:numFmt w:val="decimal"/>
      <w:start w:val="6"/>
    </w:lvl>
  </w:abstractNum>
  <w:abstractNum w:abstractNumId="44">
    <w:nsid w:val="649BB77C"/>
    <w:multiLevelType w:val="hybridMultilevel"/>
    <w:lvl w:ilvl="0">
      <w:lvlJc w:val="left"/>
      <w:lvlText w:val="%1."/>
      <w:numFmt w:val="decimal"/>
      <w:start w:val="7"/>
    </w:lvl>
  </w:abstractNum>
  <w:abstractNum w:abstractNumId="45">
    <w:nsid w:val="275AC794"/>
    <w:multiLevelType w:val="hybridMultilevel"/>
    <w:lvl w:ilvl="0">
      <w:lvlJc w:val="left"/>
      <w:lvlText w:val="%1."/>
      <w:numFmt w:val="decimal"/>
      <w:start w:val="8"/>
    </w:lvl>
  </w:abstractNum>
  <w:abstractNum w:abstractNumId="46">
    <w:nsid w:val="39386575"/>
    <w:multiLevelType w:val="hybridMultilevel"/>
    <w:lvl w:ilvl="0">
      <w:lvlJc w:val="left"/>
      <w:lvlText w:val="%1."/>
      <w:numFmt w:val="decimal"/>
      <w:start w:val="9"/>
    </w:lvl>
  </w:abstractNum>
  <w:abstractNum w:abstractNumId="47">
    <w:nsid w:val="1CF10FD8"/>
    <w:multiLevelType w:val="hybridMultilevel"/>
    <w:lvl w:ilvl="0">
      <w:lvlJc w:val="left"/>
      <w:lvlText w:val="%1."/>
      <w:numFmt w:val="decimal"/>
      <w:start w:val="10"/>
    </w:lvl>
  </w:abstractNum>
  <w:abstractNum w:abstractNumId="48">
    <w:nsid w:val="180115BE"/>
    <w:multiLevelType w:val="hybridMultilevel"/>
    <w:lvl w:ilvl="0">
      <w:lvlJc w:val="left"/>
      <w:lvlText w:val="%1."/>
      <w:numFmt w:val="decimal"/>
      <w:start w:val="11"/>
    </w:lvl>
  </w:abstractNum>
  <w:abstractNum w:abstractNumId="49">
    <w:nsid w:val="235BA861"/>
    <w:multiLevelType w:val="hybridMultilevel"/>
    <w:lvl w:ilvl="0">
      <w:lvlJc w:val="left"/>
      <w:lvlText w:val="(%1)"/>
      <w:numFmt w:val="lowerRoman"/>
      <w:start w:val="1"/>
    </w:lvl>
    <w:lvl w:ilvl="1">
      <w:lvlJc w:val="left"/>
      <w:lvlText w:val="(%2)"/>
      <w:numFmt w:val="lowerRoman"/>
      <w:start w:val="1"/>
    </w:lvl>
  </w:abstractNum>
  <w:abstractNum w:abstractNumId="50">
    <w:nsid w:val="47398C89"/>
    <w:multiLevelType w:val="hybridMultilevel"/>
    <w:lvl w:ilvl="0">
      <w:lvlJc w:val="left"/>
      <w:lvlText w:val="%1."/>
      <w:numFmt w:val="decimal"/>
      <w:start w:val="12"/>
    </w:lvl>
  </w:abstractNum>
  <w:abstractNum w:abstractNumId="51">
    <w:nsid w:val="354FE9F9"/>
    <w:multiLevelType w:val="hybridMultilevel"/>
    <w:lvl w:ilvl="0">
      <w:lvlJc w:val="left"/>
      <w:lvlText w:val="%1."/>
      <w:numFmt w:val="decimal"/>
      <w:start w:val="13"/>
    </w:lvl>
  </w:abstractNum>
  <w:abstractNum w:abstractNumId="52">
    <w:nsid w:val="15B5AF5C"/>
    <w:multiLevelType w:val="hybridMultilevel"/>
    <w:lvl w:ilvl="0">
      <w:lvlJc w:val="left"/>
      <w:lvlText w:val="%1."/>
      <w:numFmt w:val="decimal"/>
      <w:start w:val="14"/>
    </w:lvl>
  </w:abstractNum>
  <w:abstractNum w:abstractNumId="53">
    <w:nsid w:val="741226BB"/>
    <w:multiLevelType w:val="hybridMultilevel"/>
    <w:lvl w:ilvl="0">
      <w:lvlJc w:val="left"/>
      <w:lvlText w:val="%1."/>
      <w:numFmt w:val="decimal"/>
      <w:start w:val="15"/>
    </w:lvl>
  </w:abstractNum>
  <w:abstractNum w:abstractNumId="54">
    <w:nsid w:val="D34B6A8"/>
    <w:multiLevelType w:val="hybridMultilevel"/>
    <w:lvl w:ilvl="0">
      <w:lvlJc w:val="left"/>
      <w:lvlText w:val="%1."/>
      <w:numFmt w:val="decimal"/>
      <w:start w:val="16"/>
    </w:lvl>
  </w:abstractNum>
  <w:abstractNum w:abstractNumId="55">
    <w:nsid w:val="10233C99"/>
    <w:multiLevelType w:val="hybridMultilevel"/>
    <w:lvl w:ilvl="0">
      <w:lvlJc w:val="left"/>
      <w:lvlText w:val="%1."/>
      <w:numFmt w:val="decimal"/>
      <w:start w:val="17"/>
    </w:lvl>
  </w:abstractNum>
  <w:abstractNum w:abstractNumId="56">
    <w:nsid w:val="3F6AB60F"/>
    <w:multiLevelType w:val="hybridMultilevel"/>
    <w:lvl w:ilvl="0">
      <w:lvlJc w:val="left"/>
      <w:lvlText w:val="%1."/>
      <w:numFmt w:val="decimal"/>
      <w:start w:val="18"/>
    </w:lvl>
  </w:abstractNum>
  <w:abstractNum w:abstractNumId="57">
    <w:nsid w:val="61574095"/>
    <w:multiLevelType w:val="hybridMultilevel"/>
    <w:lvl w:ilvl="0">
      <w:lvlJc w:val="left"/>
      <w:lvlText w:val="(%1)"/>
      <w:numFmt w:val="lowerRoman"/>
      <w:start w:val="2"/>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9"/>
    </w:lvl>
  </w:abstractNum>
  <w:abstractNum w:abstractNumId="60">
    <w:nsid w:val="579BE4F1"/>
    <w:multiLevelType w:val="hybridMultilevel"/>
    <w:lvl w:ilvl="0">
      <w:lvlJc w:val="left"/>
      <w:lvlText w:val="%1."/>
      <w:numFmt w:val="decimal"/>
      <w:start w:val="20"/>
    </w:lvl>
  </w:abstractNum>
  <w:abstractNum w:abstractNumId="61">
    <w:nsid w:val="310C50B3"/>
    <w:multiLevelType w:val="hybridMultilevel"/>
    <w:lvl w:ilvl="0">
      <w:lvlJc w:val="left"/>
      <w:lvlText w:val="%1."/>
      <w:numFmt w:val="decimal"/>
      <w:start w:val="2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2019-12-29T13:10:11Z</dcterms:created>
  <dcterms:modified xsi:type="dcterms:W3CDTF">2019-12-29T13:10:11Z</dcterms:modified>
</cp:coreProperties>
</file>