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7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32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spacing w:after="0"/>
        <w:tabs>
          <w:tab w:leader="none" w:pos="7700" w:val="left"/>
        </w:tabs>
        <w:rPr>
          <w:sz w:val="20"/>
          <w:szCs w:val="20"/>
          <w:color w:val="auto"/>
        </w:rPr>
      </w:pPr>
      <w:r>
        <w:rPr>
          <w:rFonts w:ascii="Arial" w:cs="Arial" w:eastAsia="Arial" w:hAnsi="Arial"/>
          <w:sz w:val="20"/>
          <w:szCs w:val="20"/>
          <w:color w:val="auto"/>
        </w:rPr>
        <w:t>For the quarterly period ended September 30, 2017</w:t>
      </w:r>
      <w:r>
        <w:rPr>
          <w:sz w:val="20"/>
          <w:szCs w:val="20"/>
          <w:color w:val="auto"/>
        </w:rPr>
        <w:tab/>
      </w:r>
      <w:r>
        <w:rPr>
          <w:rFonts w:ascii="Arial" w:cs="Arial" w:eastAsia="Arial" w:hAnsi="Arial"/>
          <w:sz w:val="18"/>
          <w:szCs w:val="18"/>
          <w:color w:val="auto"/>
        </w:rPr>
        <w:t xml:space="preserve">Commission File Number </w:t>
      </w:r>
      <w:r>
        <w:rPr>
          <w:rFonts w:ascii="Arial" w:cs="Arial" w:eastAsia="Arial" w:hAnsi="Arial"/>
          <w:sz w:val="19"/>
          <w:szCs w:val="19"/>
          <w:color w:val="auto"/>
        </w:rPr>
        <w:t>001-18761</w:t>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MONSTER BEVERAGE CORPORATION</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420"/>
          </w:cols>
          <w:pgMar w:left="240" w:top="233" w:right="239" w:bottom="0" w:gutter="0" w:footer="0" w:header="0"/>
        </w:sectPr>
      </w:pPr>
    </w:p>
    <w:p>
      <w:pPr>
        <w:spacing w:after="0" w:line="200" w:lineRule="exact"/>
        <w:rPr>
          <w:sz w:val="24"/>
          <w:szCs w:val="24"/>
          <w:color w:val="auto"/>
        </w:rPr>
      </w:pPr>
    </w:p>
    <w:p>
      <w:pPr>
        <w:spacing w:after="0" w:line="210" w:lineRule="exact"/>
        <w:rPr>
          <w:sz w:val="24"/>
          <w:szCs w:val="24"/>
          <w:color w:val="auto"/>
        </w:rPr>
      </w:pPr>
    </w:p>
    <w:p>
      <w:pPr>
        <w:jc w:val="center"/>
        <w:ind w:left="740"/>
        <w:spacing w:after="0"/>
        <w:rPr>
          <w:sz w:val="20"/>
          <w:szCs w:val="20"/>
          <w:color w:val="auto"/>
        </w:rPr>
      </w:pPr>
      <w:r>
        <w:rPr>
          <w:rFonts w:ascii="Arial" w:cs="Arial" w:eastAsia="Arial" w:hAnsi="Arial"/>
          <w:sz w:val="16"/>
          <w:szCs w:val="16"/>
          <w:color w:val="auto"/>
        </w:rPr>
        <w:t>Delaware</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spacing w:after="0"/>
        <w:rPr>
          <w:sz w:val="20"/>
          <w:szCs w:val="20"/>
          <w:color w:val="auto"/>
        </w:rPr>
      </w:pPr>
      <w:r>
        <w:rPr>
          <w:rFonts w:ascii="Arial" w:cs="Arial" w:eastAsia="Arial" w:hAnsi="Arial"/>
          <w:sz w:val="16"/>
          <w:szCs w:val="16"/>
          <w:color w:val="auto"/>
        </w:rPr>
        <w:t>47-1809393</w:t>
      </w:r>
    </w:p>
    <w:p>
      <w:pPr>
        <w:spacing w:after="0" w:line="43" w:lineRule="exact"/>
        <w:rPr>
          <w:sz w:val="24"/>
          <w:szCs w:val="24"/>
          <w:color w:val="auto"/>
        </w:rPr>
      </w:pPr>
    </w:p>
    <w:p>
      <w:pPr>
        <w:sectPr>
          <w:pgSz w:w="11900" w:h="16838" w:orient="portrait"/>
          <w:cols w:equalWidth="0" w:num="2">
            <w:col w:w="5900" w:space="720"/>
            <w:col w:w="4800"/>
          </w:cols>
          <w:pgMar w:left="240" w:top="233" w:right="239" w:bottom="0" w:gutter="0" w:footer="0" w:header="0"/>
          <w:type w:val="continuous"/>
        </w:sectPr>
      </w:pPr>
    </w:p>
    <w:p>
      <w:pPr>
        <w:spacing w:after="0" w:line="12" w:lineRule="exact"/>
        <w:rPr>
          <w:sz w:val="24"/>
          <w:szCs w:val="24"/>
          <w:color w:val="auto"/>
        </w:rPr>
      </w:pPr>
    </w:p>
    <w:p>
      <w:pPr>
        <w:ind w:left="2940"/>
        <w:spacing w:after="0"/>
        <w:rPr>
          <w:sz w:val="20"/>
          <w:szCs w:val="20"/>
          <w:color w:val="auto"/>
        </w:rPr>
      </w:pPr>
      <w:r>
        <w:rPr>
          <w:rFonts w:ascii="Arial" w:cs="Arial" w:eastAsia="Arial" w:hAnsi="Arial"/>
          <w:sz w:val="13"/>
          <w:szCs w:val="13"/>
          <w:color w:val="auto"/>
        </w:rPr>
        <w:t>(State or other jurisdiction of</w:t>
      </w:r>
    </w:p>
    <w:p>
      <w:pPr>
        <w:ind w:left="2940"/>
        <w:spacing w:after="0"/>
        <w:rPr>
          <w:sz w:val="20"/>
          <w:szCs w:val="20"/>
          <w:color w:val="auto"/>
        </w:rPr>
      </w:pPr>
      <w:r>
        <w:rPr>
          <w:rFonts w:ascii="Arial" w:cs="Arial" w:eastAsia="Arial" w:hAnsi="Arial"/>
          <w:sz w:val="13"/>
          <w:szCs w:val="13"/>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w:t>
      </w:r>
    </w:p>
    <w:p>
      <w:pPr>
        <w:spacing w:after="0"/>
        <w:rPr>
          <w:sz w:val="20"/>
          <w:szCs w:val="20"/>
          <w:color w:val="auto"/>
        </w:rPr>
      </w:pPr>
      <w:r>
        <w:rPr>
          <w:rFonts w:ascii="Arial" w:cs="Arial" w:eastAsia="Arial" w:hAnsi="Arial"/>
          <w:sz w:val="13"/>
          <w:szCs w:val="13"/>
          <w:color w:val="auto"/>
        </w:rPr>
        <w:t>Identification No.)</w:t>
      </w:r>
    </w:p>
    <w:p>
      <w:pPr>
        <w:spacing w:after="0" w:line="200" w:lineRule="exact"/>
        <w:rPr>
          <w:sz w:val="24"/>
          <w:szCs w:val="24"/>
          <w:color w:val="auto"/>
        </w:rPr>
      </w:pPr>
    </w:p>
    <w:p>
      <w:pPr>
        <w:sectPr>
          <w:pgSz w:w="11900" w:h="16838" w:orient="portrait"/>
          <w:cols w:equalWidth="0" w:num="2">
            <w:col w:w="5900" w:space="720"/>
            <w:col w:w="4800"/>
          </w:cols>
          <w:pgMar w:left="240" w:top="233" w:right="239" w:bottom="0" w:gutter="0" w:footer="0" w:header="0"/>
          <w:type w:val="continuous"/>
        </w:sectPr>
      </w:pP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1 Monster Way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Corona, California 92879</w:t>
      </w:r>
    </w:p>
    <w:p>
      <w:pPr>
        <w:jc w:val="center"/>
        <w:spacing w:after="0"/>
        <w:rPr>
          <w:sz w:val="20"/>
          <w:szCs w:val="20"/>
          <w:color w:val="auto"/>
        </w:rPr>
      </w:pPr>
      <w:r>
        <w:rPr>
          <w:rFonts w:ascii="Arial" w:cs="Arial" w:eastAsia="Arial" w:hAnsi="Arial"/>
          <w:sz w:val="14"/>
          <w:szCs w:val="14"/>
          <w:color w:val="auto"/>
        </w:rPr>
        <w:t>(Address of principal executive offices) (Zip code)</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(951) 739 – 6200</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200" w:lineRule="exact"/>
        <w:rPr>
          <w:sz w:val="24"/>
          <w:szCs w:val="24"/>
          <w:color w:val="auto"/>
        </w:rPr>
      </w:pPr>
    </w:p>
    <w:p>
      <w:pPr>
        <w:spacing w:after="0" w:line="210"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0" w:lineRule="exact"/>
        <w:rPr>
          <w:sz w:val="24"/>
          <w:szCs w:val="24"/>
          <w:color w:val="auto"/>
        </w:rPr>
      </w:pPr>
    </w:p>
    <w:p>
      <w:pPr>
        <w:jc w:val="center"/>
        <w:spacing w:after="0"/>
        <w:tabs>
          <w:tab w:leader="none" w:pos="180" w:val="left"/>
        </w:tabs>
        <w:rPr>
          <w:sz w:val="20"/>
          <w:szCs w:val="20"/>
          <w:color w:val="auto"/>
        </w:rPr>
      </w:pPr>
      <w:r>
        <w:rPr>
          <w:rFonts w:ascii="Arial" w:cs="Arial" w:eastAsia="Arial" w:hAnsi="Arial"/>
          <w:sz w:val="20"/>
          <w:szCs w:val="20"/>
          <w:color w:val="auto"/>
        </w:rPr>
        <w:t xml:space="preserve">Yes </w:t>
      </w:r>
      <w:r>
        <w:rPr>
          <w:rFonts w:ascii="Arial" w:cs="Arial" w:eastAsia="Arial" w:hAnsi="Arial"/>
          <w:sz w:val="20"/>
          <w:szCs w:val="20"/>
          <w:u w:val="single" w:color="auto"/>
          <w:color w:val="auto"/>
        </w:rPr>
        <w:t>X</w:t>
      </w:r>
      <w:r>
        <w:rPr>
          <w:sz w:val="20"/>
          <w:szCs w:val="20"/>
          <w:color w:val="auto"/>
        </w:rPr>
        <w:tab/>
      </w:r>
      <w:r>
        <w:rPr>
          <w:rFonts w:ascii="Arial" w:cs="Arial" w:eastAsia="Arial" w:hAnsi="Arial"/>
          <w:sz w:val="16"/>
          <w:szCs w:val="16"/>
          <w:color w:val="auto"/>
        </w:rPr>
        <w:t>No __</w:t>
      </w:r>
    </w:p>
    <w:p>
      <w:pPr>
        <w:spacing w:after="0" w:line="229"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200" w:lineRule="exact"/>
        <w:rPr>
          <w:sz w:val="24"/>
          <w:szCs w:val="24"/>
          <w:color w:val="auto"/>
        </w:rPr>
      </w:pPr>
    </w:p>
    <w:p>
      <w:pPr>
        <w:jc w:val="center"/>
        <w:spacing w:after="0"/>
        <w:tabs>
          <w:tab w:leader="none" w:pos="240" w:val="left"/>
        </w:tabs>
        <w:rPr>
          <w:sz w:val="20"/>
          <w:szCs w:val="20"/>
          <w:color w:val="auto"/>
        </w:rPr>
      </w:pPr>
      <w:r>
        <w:rPr>
          <w:rFonts w:ascii="Arial" w:cs="Arial" w:eastAsia="Arial" w:hAnsi="Arial"/>
          <w:sz w:val="20"/>
          <w:szCs w:val="20"/>
          <w:color w:val="auto"/>
        </w:rPr>
        <w:t xml:space="preserve">Yes </w:t>
      </w:r>
      <w:r>
        <w:rPr>
          <w:rFonts w:ascii="Arial" w:cs="Arial" w:eastAsia="Arial" w:hAnsi="Arial"/>
          <w:sz w:val="20"/>
          <w:szCs w:val="20"/>
          <w:u w:val="single" w:color="auto"/>
          <w:color w:val="auto"/>
        </w:rPr>
        <w:t>X</w:t>
      </w:r>
      <w:r>
        <w:rPr>
          <w:sz w:val="20"/>
          <w:szCs w:val="20"/>
          <w:color w:val="auto"/>
        </w:rPr>
        <w:tab/>
      </w:r>
      <w:r>
        <w:rPr>
          <w:rFonts w:ascii="Arial" w:cs="Arial" w:eastAsia="Arial" w:hAnsi="Arial"/>
          <w:sz w:val="16"/>
          <w:szCs w:val="16"/>
          <w:color w:val="auto"/>
        </w:rPr>
        <w:t>No __</w:t>
      </w:r>
    </w:p>
    <w:p>
      <w:pPr>
        <w:spacing w:after="0" w:line="200" w:lineRule="exact"/>
        <w:rPr>
          <w:sz w:val="24"/>
          <w:szCs w:val="24"/>
          <w:color w:val="auto"/>
        </w:rPr>
      </w:pPr>
    </w:p>
    <w:p>
      <w:pPr>
        <w:spacing w:after="0" w:line="259"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ectPr>
          <w:pgSz w:w="11900" w:h="16838" w:orient="portrait"/>
          <w:cols w:equalWidth="0" w:num="1">
            <w:col w:w="11420"/>
          </w:cols>
          <w:pgMar w:left="240" w:top="233" w:right="239" w:bottom="0" w:gutter="0" w:footer="0" w:header="0"/>
          <w:type w:val="continuous"/>
        </w:sectPr>
      </w:pPr>
    </w:p>
    <w:p>
      <w:pPr>
        <w:spacing w:after="0" w:line="200" w:lineRule="exact"/>
        <w:rPr>
          <w:sz w:val="24"/>
          <w:szCs w:val="24"/>
          <w:color w:val="auto"/>
        </w:rPr>
      </w:pPr>
    </w:p>
    <w:p>
      <w:pPr>
        <w:spacing w:after="0"/>
        <w:rPr>
          <w:sz w:val="20"/>
          <w:szCs w:val="20"/>
          <w:color w:val="auto"/>
        </w:rPr>
      </w:pPr>
      <w:r>
        <w:rPr>
          <w:rFonts w:ascii="Arial" w:cs="Arial" w:eastAsia="Arial" w:hAnsi="Arial"/>
          <w:sz w:val="18"/>
          <w:szCs w:val="18"/>
          <w:color w:val="auto"/>
        </w:rPr>
        <w:t>Large Accelerated Filer x</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o</w:t>
      </w:r>
    </w:p>
    <w:p>
      <w:pPr>
        <w:spacing w:after="0" w:line="117" w:lineRule="exact"/>
        <w:rPr>
          <w:sz w:val="24"/>
          <w:szCs w:val="24"/>
          <w:color w:val="auto"/>
        </w:rPr>
      </w:pPr>
    </w:p>
    <w:p>
      <w:pPr>
        <w:sectPr>
          <w:pgSz w:w="11900" w:h="16838" w:orient="portrait"/>
          <w:cols w:equalWidth="0" w:num="2">
            <w:col w:w="6680" w:space="720"/>
            <w:col w:w="4020"/>
          </w:cols>
          <w:pgMar w:left="240" w:top="233" w:right="239" w:bottom="0" w:gutter="0" w:footer="0" w:header="0"/>
          <w:type w:val="continuous"/>
        </w:sectPr>
      </w:pPr>
    </w:p>
    <w:p>
      <w:pPr>
        <w:spacing w:after="0"/>
        <w:rPr>
          <w:sz w:val="20"/>
          <w:szCs w:val="20"/>
          <w:color w:val="auto"/>
        </w:rPr>
      </w:pPr>
      <w:r>
        <w:rPr>
          <w:rFonts w:ascii="Arial" w:cs="Arial" w:eastAsia="Arial" w:hAnsi="Arial"/>
          <w:sz w:val="18"/>
          <w:szCs w:val="18"/>
          <w:color w:val="auto"/>
        </w:rPr>
        <w:t>Non-accelerated filer o (Do not check if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 o</w:t>
      </w:r>
    </w:p>
    <w:p>
      <w:pPr>
        <w:spacing w:after="0" w:line="222" w:lineRule="exact"/>
        <w:rPr>
          <w:sz w:val="24"/>
          <w:szCs w:val="24"/>
          <w:color w:val="auto"/>
        </w:rPr>
      </w:pPr>
    </w:p>
    <w:p>
      <w:pPr>
        <w:sectPr>
          <w:pgSz w:w="11900" w:h="16838" w:orient="portrait"/>
          <w:cols w:equalWidth="0" w:num="2">
            <w:col w:w="6680" w:space="720"/>
            <w:col w:w="4020"/>
          </w:cols>
          <w:pgMar w:left="240" w:top="233" w:right="239" w:bottom="0" w:gutter="0" w:footer="0" w:header="0"/>
          <w:type w:val="continuous"/>
        </w:sectPr>
      </w:pPr>
    </w:p>
    <w:p>
      <w:pPr>
        <w:spacing w:after="0" w:line="52"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ectPr>
          <w:pgSz w:w="11900" w:h="16838" w:orient="portrait"/>
          <w:cols w:equalWidth="0" w:num="1">
            <w:col w:w="11420"/>
          </w:cols>
          <w:pgMar w:left="240" w:top="233" w:right="239" w:bottom="0" w:gutter="0" w:footer="0" w:header="0"/>
          <w:type w:val="continuous"/>
        </w:sectPr>
      </w:pPr>
    </w:p>
    <w:p>
      <w:pPr>
        <w:spacing w:after="0" w:line="252" w:lineRule="exact"/>
        <w:rPr>
          <w:sz w:val="24"/>
          <w:szCs w:val="24"/>
          <w:color w:val="auto"/>
        </w:rPr>
      </w:pPr>
    </w:p>
    <w:p>
      <w:pPr>
        <w:ind w:firstLine="648"/>
        <w:spacing w:after="0" w:line="287" w:lineRule="auto"/>
        <w:rPr>
          <w:sz w:val="20"/>
          <w:szCs w:val="20"/>
          <w:color w:val="auto"/>
        </w:rPr>
      </w:pPr>
      <w:r>
        <w:rPr>
          <w:rFonts w:ascii="Arial" w:cs="Arial" w:eastAsia="Arial" w:hAnsi="Arial"/>
          <w:sz w:val="19"/>
          <w:szCs w:val="19"/>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66" w:lineRule="exact"/>
        <w:rPr>
          <w:sz w:val="24"/>
          <w:szCs w:val="24"/>
          <w:color w:val="auto"/>
        </w:rPr>
      </w:pPr>
    </w:p>
    <w:p>
      <w:pPr>
        <w:ind w:left="660"/>
        <w:spacing w:after="0"/>
        <w:rPr>
          <w:sz w:val="20"/>
          <w:szCs w:val="20"/>
          <w:color w:val="auto"/>
        </w:rPr>
      </w:pPr>
      <w:r>
        <w:rPr>
          <w:rFonts w:ascii="Arial" w:cs="Arial" w:eastAsia="Arial" w:hAnsi="Arial"/>
          <w:sz w:val="20"/>
          <w:szCs w:val="20"/>
          <w:color w:val="auto"/>
        </w:rPr>
        <w:t>Indicate by check mark whether the Registrant is a shell company (as defined by Rule 12b-2 of the Exchange Act).</w:t>
      </w:r>
    </w:p>
    <w:p>
      <w:pPr>
        <w:spacing w:after="0" w:line="229" w:lineRule="exact"/>
        <w:rPr>
          <w:sz w:val="24"/>
          <w:szCs w:val="24"/>
          <w:color w:val="auto"/>
        </w:rPr>
      </w:pPr>
    </w:p>
    <w:p>
      <w:pPr>
        <w:jc w:val="center"/>
        <w:ind w:right="-19"/>
        <w:spacing w:after="0"/>
        <w:tabs>
          <w:tab w:leader="none" w:pos="160" w:val="left"/>
        </w:tabs>
        <w:rPr>
          <w:sz w:val="20"/>
          <w:szCs w:val="20"/>
          <w:color w:val="auto"/>
        </w:rPr>
      </w:pPr>
      <w:r>
        <w:rPr>
          <w:rFonts w:ascii="Arial" w:cs="Arial" w:eastAsia="Arial" w:hAnsi="Arial"/>
          <w:sz w:val="20"/>
          <w:szCs w:val="20"/>
          <w:color w:val="auto"/>
        </w:rPr>
        <w:t>Yes ___</w:t>
        <w:tab/>
        <w:t xml:space="preserve">No </w:t>
      </w:r>
      <w:r>
        <w:rPr>
          <w:rFonts w:ascii="Arial" w:cs="Arial" w:eastAsia="Arial" w:hAnsi="Arial"/>
          <w:sz w:val="20"/>
          <w:szCs w:val="20"/>
          <w:u w:val="single" w:color="auto"/>
          <w:color w:val="auto"/>
        </w:rPr>
        <w:t>X</w:t>
      </w:r>
    </w:p>
    <w:p>
      <w:pPr>
        <w:spacing w:after="0" w:line="229" w:lineRule="exact"/>
        <w:rPr>
          <w:sz w:val="24"/>
          <w:szCs w:val="24"/>
          <w:color w:val="auto"/>
        </w:rPr>
      </w:pPr>
    </w:p>
    <w:p>
      <w:pPr>
        <w:ind w:left="660"/>
        <w:spacing w:after="0"/>
        <w:rPr>
          <w:sz w:val="20"/>
          <w:szCs w:val="20"/>
          <w:color w:val="auto"/>
        </w:rPr>
      </w:pPr>
      <w:r>
        <w:rPr>
          <w:rFonts w:ascii="Arial" w:cs="Arial" w:eastAsia="Arial" w:hAnsi="Arial"/>
          <w:sz w:val="19"/>
          <w:szCs w:val="19"/>
          <w:color w:val="auto"/>
        </w:rPr>
        <w:t>The Registrant had 563,963,300 shares of common stock, par value $0.005 per share, outstanding as of October 26,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221615</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233" w:right="239" w:bottom="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20"/>
          <w:szCs w:val="20"/>
          <w:b w:val="1"/>
          <w:bCs w:val="1"/>
          <w:u w:val="single" w:color="auto"/>
          <w:color w:val="auto"/>
        </w:rPr>
        <w:t>MONSTER BEVERAGE CORPORATION AND SUBSIDIARIES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u w:val="single" w:color="auto"/>
          <w:color w:val="auto"/>
        </w:rPr>
        <w:t>SEPTEMBER 30, 2017</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40" w:type="dxa"/>
            <w:vAlign w:val="bottom"/>
            <w:tcBorders>
              <w:bottom w:val="single" w:sz="8" w:color="auto"/>
            </w:tcBorders>
            <w:gridSpan w:val="3"/>
          </w:tcPr>
          <w:p>
            <w:pPr>
              <w:jc w:val="center"/>
              <w:spacing w:after="0"/>
              <w:rPr>
                <w:sz w:val="20"/>
                <w:szCs w:val="20"/>
                <w:color w:val="auto"/>
              </w:rPr>
            </w:pPr>
            <w:r>
              <w:rPr>
                <w:rFonts w:ascii="Arial" w:cs="Arial" w:eastAsia="Arial" w:hAnsi="Arial"/>
                <w:sz w:val="20"/>
                <w:szCs w:val="20"/>
                <w:b w:val="1"/>
                <w:bCs w:val="1"/>
                <w:color w:val="auto"/>
              </w:rPr>
              <w:t>INDEX</w:t>
            </w:r>
          </w:p>
        </w:tc>
        <w:tc>
          <w:tcPr>
            <w:tcW w:w="4640" w:type="dxa"/>
            <w:vAlign w:val="bottom"/>
            <w:gridSpan w:val="7"/>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669"/>
        </w:trPr>
        <w:tc>
          <w:tcPr>
            <w:tcW w:w="560" w:type="dxa"/>
            <w:vAlign w:val="bottom"/>
          </w:tcPr>
          <w:p>
            <w:pPr>
              <w:spacing w:after="0"/>
              <w:rPr>
                <w:rFonts w:ascii="Arial" w:cs="Arial" w:eastAsia="Arial" w:hAnsi="Arial"/>
                <w:sz w:val="20"/>
                <w:szCs w:val="20"/>
                <w:b w:val="1"/>
                <w:bCs w:val="1"/>
                <w:color w:val="0000EE"/>
                <w:w w:val="97"/>
              </w:rPr>
            </w:pPr>
            <w:hyperlink w:anchor="page2">
              <w:r>
                <w:rPr>
                  <w:rFonts w:ascii="Arial" w:cs="Arial" w:eastAsia="Arial" w:hAnsi="Arial"/>
                  <w:sz w:val="20"/>
                  <w:szCs w:val="20"/>
                  <w:b w:val="1"/>
                  <w:bCs w:val="1"/>
                  <w:color w:val="0000EE"/>
                  <w:w w:val="97"/>
                </w:rPr>
                <w:t>Part I.</w:t>
              </w:r>
            </w:hyperlink>
          </w:p>
        </w:tc>
        <w:tc>
          <w:tcPr>
            <w:tcW w:w="780" w:type="dxa"/>
            <w:vAlign w:val="bottom"/>
            <w:gridSpan w:val="3"/>
          </w:tcPr>
          <w:p>
            <w:pPr>
              <w:spacing w:after="0"/>
              <w:rPr>
                <w:sz w:val="24"/>
                <w:szCs w:val="24"/>
                <w:color w:val="auto"/>
              </w:rPr>
            </w:pPr>
          </w:p>
        </w:tc>
        <w:tc>
          <w:tcPr>
            <w:tcW w:w="2640" w:type="dxa"/>
            <w:vAlign w:val="bottom"/>
            <w:gridSpan w:val="10"/>
          </w:tcPr>
          <w:p>
            <w:pPr>
              <w:spacing w:after="0"/>
              <w:rPr>
                <w:rFonts w:ascii="Arial" w:cs="Arial" w:eastAsia="Arial" w:hAnsi="Arial"/>
                <w:sz w:val="20"/>
                <w:szCs w:val="20"/>
                <w:b w:val="1"/>
                <w:bCs w:val="1"/>
                <w:color w:val="0000EE"/>
              </w:rPr>
            </w:pPr>
            <w:hyperlink w:anchor="page2">
              <w:r>
                <w:rPr>
                  <w:rFonts w:ascii="Arial" w:cs="Arial" w:eastAsia="Arial" w:hAnsi="Arial"/>
                  <w:sz w:val="20"/>
                  <w:szCs w:val="20"/>
                  <w:b w:val="1"/>
                  <w:bCs w:val="1"/>
                  <w:color w:val="0000EE"/>
                </w:rPr>
                <w:t>FINANCIAL INFORMATION</w:t>
              </w:r>
            </w:hyperlink>
          </w:p>
        </w:tc>
        <w:tc>
          <w:tcPr>
            <w:tcW w:w="6700" w:type="dxa"/>
            <w:vAlign w:val="bottom"/>
            <w:gridSpan w:val="11"/>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20"/>
                <w:szCs w:val="20"/>
                <w:b w:val="1"/>
                <w:bCs w:val="1"/>
                <w:color w:val="auto"/>
                <w:w w:val="84"/>
              </w:rPr>
              <w:t>Page No.</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1340" w:type="dxa"/>
            <w:vAlign w:val="bottom"/>
            <w:gridSpan w:val="4"/>
          </w:tcPr>
          <w:p>
            <w:pPr>
              <w:spacing w:after="0"/>
              <w:rPr>
                <w:rFonts w:ascii="Arial" w:cs="Arial" w:eastAsia="Arial" w:hAnsi="Arial"/>
                <w:sz w:val="20"/>
                <w:szCs w:val="20"/>
                <w:color w:val="0000EE"/>
              </w:rPr>
            </w:pPr>
            <w:hyperlink w:anchor="page2">
              <w:r>
                <w:rPr>
                  <w:rFonts w:ascii="Arial" w:cs="Arial" w:eastAsia="Arial" w:hAnsi="Arial"/>
                  <w:sz w:val="20"/>
                  <w:szCs w:val="20"/>
                  <w:color w:val="0000EE"/>
                </w:rPr>
                <w:t>Item 1.</w:t>
              </w:r>
            </w:hyperlink>
          </w:p>
        </w:tc>
        <w:tc>
          <w:tcPr>
            <w:tcW w:w="9340" w:type="dxa"/>
            <w:vAlign w:val="bottom"/>
            <w:gridSpan w:val="21"/>
          </w:tcPr>
          <w:p>
            <w:pPr>
              <w:spacing w:after="0"/>
              <w:rPr>
                <w:rFonts w:ascii="Arial" w:cs="Arial" w:eastAsia="Arial" w:hAnsi="Arial"/>
                <w:sz w:val="20"/>
                <w:szCs w:val="20"/>
                <w:color w:val="0000EE"/>
              </w:rPr>
            </w:pPr>
            <w:hyperlink w:anchor="page2">
              <w:r>
                <w:rPr>
                  <w:rFonts w:ascii="Arial" w:cs="Arial" w:eastAsia="Arial" w:hAnsi="Arial"/>
                  <w:sz w:val="20"/>
                  <w:szCs w:val="20"/>
                  <w:color w:val="0000EE"/>
                </w:rPr>
                <w:t>Condensed Consolidated Financial Statements (Unaudited)</w:t>
              </w:r>
            </w:hyperlink>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39"/>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40" w:type="dxa"/>
            <w:vAlign w:val="bottom"/>
            <w:tcBorders>
              <w:bottom w:val="single" w:sz="8" w:color="0000EE"/>
            </w:tcBorders>
            <w:gridSpan w:val="17"/>
          </w:tcPr>
          <w:p>
            <w:pPr>
              <w:spacing w:after="0"/>
              <w:rPr>
                <w:rFonts w:ascii="Arial" w:cs="Arial" w:eastAsia="Arial" w:hAnsi="Arial"/>
                <w:sz w:val="20"/>
                <w:szCs w:val="20"/>
                <w:color w:val="0000EE"/>
                <w:w w:val="87"/>
              </w:rPr>
            </w:pPr>
            <w:hyperlink w:anchor="page2">
              <w:r>
                <w:rPr>
                  <w:rFonts w:ascii="Arial" w:cs="Arial" w:eastAsia="Arial" w:hAnsi="Arial"/>
                  <w:sz w:val="20"/>
                  <w:szCs w:val="20"/>
                  <w:color w:val="0000EE"/>
                  <w:w w:val="87"/>
                </w:rPr>
                <w:t>Condensed Consolidated Balance Sheets as of September 30, 2017 and December 31, 2016</w:t>
              </w:r>
            </w:hyperlink>
          </w:p>
        </w:tc>
        <w:tc>
          <w:tcPr>
            <w:tcW w:w="2100" w:type="dxa"/>
            <w:vAlign w:val="bottom"/>
            <w:gridSpan w:val="4"/>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3</w:t>
            </w:r>
          </w:p>
        </w:tc>
      </w:tr>
      <w:tr>
        <w:trPr>
          <w:trHeight w:val="439"/>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340" w:type="dxa"/>
            <w:vAlign w:val="bottom"/>
            <w:gridSpan w:val="21"/>
          </w:tcPr>
          <w:p>
            <w:pPr>
              <w:spacing w:after="0"/>
              <w:rPr>
                <w:rFonts w:ascii="Arial" w:cs="Arial" w:eastAsia="Arial" w:hAnsi="Arial"/>
                <w:sz w:val="20"/>
                <w:szCs w:val="20"/>
                <w:color w:val="0000EE"/>
                <w:w w:val="93"/>
              </w:rPr>
            </w:pPr>
            <w:hyperlink w:anchor="page3">
              <w:r>
                <w:rPr>
                  <w:rFonts w:ascii="Arial" w:cs="Arial" w:eastAsia="Arial" w:hAnsi="Arial"/>
                  <w:sz w:val="20"/>
                  <w:szCs w:val="20"/>
                  <w:color w:val="0000EE"/>
                  <w:w w:val="93"/>
                </w:rPr>
                <w:t>Condensed Consolidated Statements of Income for the Three- and Nine-Months Ended September 30, 2017 and</w:t>
              </w:r>
            </w:hyperlink>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Borders>
              <w:top w:val="single" w:sz="8" w:color="0000EE"/>
              <w:bottom w:val="single" w:sz="8" w:color="0000EE"/>
            </w:tcBorders>
          </w:tcPr>
          <w:p>
            <w:pPr>
              <w:spacing w:after="0" w:line="209" w:lineRule="exact"/>
              <w:rPr>
                <w:rFonts w:ascii="Arial" w:cs="Arial" w:eastAsia="Arial" w:hAnsi="Arial"/>
                <w:sz w:val="20"/>
                <w:szCs w:val="20"/>
                <w:color w:val="0000EE"/>
                <w:w w:val="85"/>
              </w:rPr>
            </w:pPr>
            <w:hyperlink w:anchor="page3">
              <w:r>
                <w:rPr>
                  <w:rFonts w:ascii="Arial" w:cs="Arial" w:eastAsia="Arial" w:hAnsi="Arial"/>
                  <w:sz w:val="20"/>
                  <w:szCs w:val="20"/>
                  <w:color w:val="0000EE"/>
                  <w:w w:val="85"/>
                </w:rPr>
                <w:t>2016</w:t>
              </w:r>
            </w:hyperlink>
          </w:p>
        </w:tc>
        <w:tc>
          <w:tcPr>
            <w:tcW w:w="2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40"/>
              <w:spacing w:after="0" w:line="209" w:lineRule="exact"/>
              <w:rPr>
                <w:sz w:val="20"/>
                <w:szCs w:val="20"/>
                <w:color w:val="auto"/>
              </w:rPr>
            </w:pPr>
            <w:r>
              <w:rPr>
                <w:rFonts w:ascii="Arial" w:cs="Arial" w:eastAsia="Arial" w:hAnsi="Arial"/>
                <w:sz w:val="20"/>
                <w:szCs w:val="20"/>
                <w:color w:val="auto"/>
              </w:rPr>
              <w:t>4</w:t>
            </w:r>
          </w:p>
        </w:tc>
      </w:tr>
      <w:tr>
        <w:trPr>
          <w:trHeight w:val="439"/>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340" w:type="dxa"/>
            <w:vAlign w:val="bottom"/>
            <w:gridSpan w:val="21"/>
          </w:tcPr>
          <w:p>
            <w:pPr>
              <w:spacing w:after="0"/>
              <w:rPr>
                <w:rFonts w:ascii="Arial" w:cs="Arial" w:eastAsia="Arial" w:hAnsi="Arial"/>
                <w:sz w:val="20"/>
                <w:szCs w:val="20"/>
                <w:color w:val="0000EE"/>
              </w:rPr>
            </w:pPr>
            <w:hyperlink w:anchor="page4">
              <w:r>
                <w:rPr>
                  <w:rFonts w:ascii="Arial" w:cs="Arial" w:eastAsia="Arial" w:hAnsi="Arial"/>
                  <w:sz w:val="20"/>
                  <w:szCs w:val="20"/>
                  <w:color w:val="0000EE"/>
                </w:rPr>
                <w:t>Condensed Consolidated Statements of Comprehensive Income for the Three- and Nine-Months Ended</w:t>
              </w:r>
            </w:hyperlink>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380" w:type="dxa"/>
            <w:vAlign w:val="bottom"/>
            <w:tcBorders>
              <w:top w:val="single" w:sz="8" w:color="0000EE"/>
              <w:bottom w:val="single" w:sz="8" w:color="0000EE"/>
            </w:tcBorders>
            <w:gridSpan w:val="8"/>
          </w:tcPr>
          <w:p>
            <w:pPr>
              <w:spacing w:after="0" w:line="209" w:lineRule="exact"/>
              <w:rPr>
                <w:rFonts w:ascii="Arial" w:cs="Arial" w:eastAsia="Arial" w:hAnsi="Arial"/>
                <w:sz w:val="20"/>
                <w:szCs w:val="20"/>
                <w:color w:val="0000EE"/>
                <w:w w:val="87"/>
              </w:rPr>
            </w:pPr>
            <w:hyperlink w:anchor="page4">
              <w:r>
                <w:rPr>
                  <w:rFonts w:ascii="Arial" w:cs="Arial" w:eastAsia="Arial" w:hAnsi="Arial"/>
                  <w:sz w:val="20"/>
                  <w:szCs w:val="20"/>
                  <w:color w:val="0000EE"/>
                  <w:w w:val="87"/>
                </w:rPr>
                <w:t>September 30, 2017 and 2016</w:t>
              </w:r>
            </w:hyperlink>
          </w:p>
        </w:tc>
        <w:tc>
          <w:tcPr>
            <w:tcW w:w="5800" w:type="dxa"/>
            <w:vAlign w:val="bottom"/>
            <w:tcBorders>
              <w:top w:val="single" w:sz="8" w:color="0000EE"/>
            </w:tcBorders>
            <w:gridSpan w:val="10"/>
          </w:tcPr>
          <w:p>
            <w:pPr>
              <w:spacing w:after="0"/>
              <w:rPr>
                <w:sz w:val="18"/>
                <w:szCs w:val="18"/>
                <w:color w:val="auto"/>
              </w:rPr>
            </w:pPr>
          </w:p>
        </w:tc>
        <w:tc>
          <w:tcPr>
            <w:tcW w:w="1160" w:type="dxa"/>
            <w:vAlign w:val="bottom"/>
            <w:gridSpan w:val="3"/>
          </w:tcPr>
          <w:p>
            <w:pPr>
              <w:spacing w:after="0"/>
              <w:rPr>
                <w:sz w:val="18"/>
                <w:szCs w:val="18"/>
                <w:color w:val="auto"/>
              </w:rPr>
            </w:pPr>
          </w:p>
        </w:tc>
        <w:tc>
          <w:tcPr>
            <w:tcW w:w="780" w:type="dxa"/>
            <w:vAlign w:val="bottom"/>
            <w:gridSpan w:val="2"/>
          </w:tcPr>
          <w:p>
            <w:pPr>
              <w:jc w:val="right"/>
              <w:ind w:right="40"/>
              <w:spacing w:after="0" w:line="209" w:lineRule="exact"/>
              <w:rPr>
                <w:sz w:val="20"/>
                <w:szCs w:val="20"/>
                <w:color w:val="auto"/>
              </w:rPr>
            </w:pPr>
            <w:r>
              <w:rPr>
                <w:rFonts w:ascii="Arial" w:cs="Arial" w:eastAsia="Arial" w:hAnsi="Arial"/>
                <w:sz w:val="20"/>
                <w:szCs w:val="20"/>
                <w:color w:val="auto"/>
              </w:rPr>
              <w:t>5</w:t>
            </w:r>
          </w:p>
        </w:tc>
      </w:tr>
      <w:tr>
        <w:trPr>
          <w:trHeight w:val="439"/>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340" w:type="dxa"/>
            <w:vAlign w:val="bottom"/>
            <w:gridSpan w:val="21"/>
          </w:tcPr>
          <w:p>
            <w:pPr>
              <w:spacing w:after="0"/>
              <w:rPr>
                <w:rFonts w:ascii="Arial" w:cs="Arial" w:eastAsia="Arial" w:hAnsi="Arial"/>
                <w:sz w:val="20"/>
                <w:szCs w:val="20"/>
                <w:color w:val="0000EE"/>
                <w:w w:val="94"/>
              </w:rPr>
            </w:pPr>
            <w:hyperlink w:anchor="page4">
              <w:r>
                <w:rPr>
                  <w:rFonts w:ascii="Arial" w:cs="Arial" w:eastAsia="Arial" w:hAnsi="Arial"/>
                  <w:sz w:val="20"/>
                  <w:szCs w:val="20"/>
                  <w:color w:val="0000EE"/>
                  <w:w w:val="94"/>
                </w:rPr>
                <w:t>Condensed Consolidated Statements of Cash Flows for the Nine-Months Ended September 30, 2017 and 2016</w:t>
              </w:r>
            </w:hyperlink>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6</w:t>
            </w:r>
          </w:p>
        </w:tc>
      </w:tr>
      <w:tr>
        <w:trPr>
          <w:trHeight w:val="439"/>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0" w:type="dxa"/>
            <w:vAlign w:val="bottom"/>
            <w:tcBorders>
              <w:top w:val="single" w:sz="8" w:color="0000EE"/>
              <w:bottom w:val="single" w:sz="8" w:color="0000EE"/>
            </w:tcBorders>
            <w:gridSpan w:val="12"/>
          </w:tcPr>
          <w:p>
            <w:pPr>
              <w:spacing w:after="0"/>
              <w:rPr>
                <w:rFonts w:ascii="Arial" w:cs="Arial" w:eastAsia="Arial" w:hAnsi="Arial"/>
                <w:sz w:val="20"/>
                <w:szCs w:val="20"/>
                <w:color w:val="0000EE"/>
                <w:w w:val="88"/>
              </w:rPr>
            </w:pPr>
            <w:hyperlink w:anchor="page5">
              <w:r>
                <w:rPr>
                  <w:rFonts w:ascii="Arial" w:cs="Arial" w:eastAsia="Arial" w:hAnsi="Arial"/>
                  <w:sz w:val="20"/>
                  <w:szCs w:val="20"/>
                  <w:color w:val="0000EE"/>
                  <w:w w:val="88"/>
                </w:rPr>
                <w:t>Notes to Condensed Consolidated Financial Statements</w:t>
              </w:r>
            </w:hyperlink>
          </w:p>
        </w:tc>
        <w:tc>
          <w:tcPr>
            <w:tcW w:w="4340" w:type="dxa"/>
            <w:vAlign w:val="bottom"/>
            <w:tcBorders>
              <w:top w:val="single" w:sz="8" w:color="0000EE"/>
            </w:tcBorders>
            <w:gridSpan w:val="7"/>
          </w:tcPr>
          <w:p>
            <w:pPr>
              <w:spacing w:after="0"/>
              <w:rPr>
                <w:sz w:val="24"/>
                <w:szCs w:val="24"/>
                <w:color w:val="auto"/>
              </w:rPr>
            </w:pPr>
          </w:p>
        </w:tc>
        <w:tc>
          <w:tcPr>
            <w:tcW w:w="600" w:type="dxa"/>
            <w:vAlign w:val="bottom"/>
            <w:gridSpan w:val="2"/>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8</w:t>
            </w:r>
          </w:p>
        </w:tc>
      </w:tr>
      <w:tr>
        <w:trPr>
          <w:trHeight w:val="439"/>
        </w:trPr>
        <w:tc>
          <w:tcPr>
            <w:tcW w:w="1340" w:type="dxa"/>
            <w:vAlign w:val="bottom"/>
            <w:gridSpan w:val="4"/>
          </w:tcPr>
          <w:p>
            <w:pPr>
              <w:spacing w:after="0"/>
              <w:rPr>
                <w:rFonts w:ascii="Arial" w:cs="Arial" w:eastAsia="Arial" w:hAnsi="Arial"/>
                <w:sz w:val="20"/>
                <w:szCs w:val="20"/>
                <w:color w:val="0000EE"/>
              </w:rPr>
            </w:pPr>
            <w:hyperlink w:anchor="page19">
              <w:r>
                <w:rPr>
                  <w:rFonts w:ascii="Arial" w:cs="Arial" w:eastAsia="Arial" w:hAnsi="Arial"/>
                  <w:sz w:val="20"/>
                  <w:szCs w:val="20"/>
                  <w:color w:val="0000EE"/>
                </w:rPr>
                <w:t>Item 2.</w:t>
              </w:r>
            </w:hyperlink>
          </w:p>
        </w:tc>
        <w:tc>
          <w:tcPr>
            <w:tcW w:w="9340" w:type="dxa"/>
            <w:vAlign w:val="bottom"/>
            <w:gridSpan w:val="21"/>
          </w:tcPr>
          <w:p>
            <w:pPr>
              <w:spacing w:after="0"/>
              <w:rPr>
                <w:rFonts w:ascii="Arial" w:cs="Arial" w:eastAsia="Arial" w:hAnsi="Arial"/>
                <w:sz w:val="20"/>
                <w:szCs w:val="20"/>
                <w:color w:val="0000EE"/>
              </w:rPr>
            </w:pPr>
            <w:hyperlink w:anchor="page19">
              <w:r>
                <w:rPr>
                  <w:rFonts w:ascii="Arial" w:cs="Arial" w:eastAsia="Arial" w:hAnsi="Arial"/>
                  <w:sz w:val="20"/>
                  <w:szCs w:val="20"/>
                  <w:color w:val="0000EE"/>
                </w:rPr>
                <w:t>Management’s Discussion and Analysis of Financial Condition and Results of Operations</w:t>
              </w:r>
            </w:hyperlink>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28</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240" w:type="dxa"/>
            <w:vAlign w:val="bottom"/>
            <w:tcBorders>
              <w:right w:val="single" w:sz="8" w:color="0000EE"/>
            </w:tcBorders>
            <w:gridSpan w:val="6"/>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39"/>
        </w:trPr>
        <w:tc>
          <w:tcPr>
            <w:tcW w:w="1340" w:type="dxa"/>
            <w:vAlign w:val="bottom"/>
            <w:gridSpan w:val="4"/>
          </w:tcPr>
          <w:p>
            <w:pPr>
              <w:spacing w:after="0"/>
              <w:rPr>
                <w:rFonts w:ascii="Arial" w:cs="Arial" w:eastAsia="Arial" w:hAnsi="Arial"/>
                <w:sz w:val="20"/>
                <w:szCs w:val="20"/>
                <w:color w:val="0000EE"/>
              </w:rPr>
            </w:pPr>
            <w:hyperlink w:anchor="page31">
              <w:r>
                <w:rPr>
                  <w:rFonts w:ascii="Arial" w:cs="Arial" w:eastAsia="Arial" w:hAnsi="Arial"/>
                  <w:sz w:val="20"/>
                  <w:szCs w:val="20"/>
                  <w:color w:val="0000EE"/>
                </w:rPr>
                <w:t>Item 3.</w:t>
              </w:r>
            </w:hyperlink>
          </w:p>
        </w:tc>
        <w:tc>
          <w:tcPr>
            <w:tcW w:w="9340" w:type="dxa"/>
            <w:vAlign w:val="bottom"/>
            <w:gridSpan w:val="21"/>
          </w:tcPr>
          <w:p>
            <w:pPr>
              <w:spacing w:after="0"/>
              <w:rPr>
                <w:rFonts w:ascii="Arial" w:cs="Arial" w:eastAsia="Arial" w:hAnsi="Arial"/>
                <w:sz w:val="20"/>
                <w:szCs w:val="20"/>
                <w:color w:val="0000EE"/>
              </w:rPr>
            </w:pPr>
            <w:hyperlink w:anchor="page31">
              <w:r>
                <w:rPr>
                  <w:rFonts w:ascii="Arial" w:cs="Arial" w:eastAsia="Arial" w:hAnsi="Arial"/>
                  <w:sz w:val="20"/>
                  <w:szCs w:val="20"/>
                  <w:color w:val="0000EE"/>
                </w:rPr>
                <w:t>Quantitative and Qualitative Disclosures About Market Risk</w:t>
              </w:r>
            </w:hyperlink>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46</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240" w:type="dxa"/>
            <w:vAlign w:val="bottom"/>
            <w:tcBorders>
              <w:right w:val="single" w:sz="8" w:color="0000EE"/>
            </w:tcBorders>
            <w:gridSpan w:val="6"/>
            <w:shd w:val="clear" w:color="auto" w:fill="0000EE"/>
          </w:tcPr>
          <w:p>
            <w:pPr>
              <w:spacing w:after="0" w:line="20" w:lineRule="exact"/>
              <w:rPr>
                <w:sz w:val="1"/>
                <w:szCs w:val="1"/>
                <w:color w:val="auto"/>
              </w:rPr>
            </w:pPr>
          </w:p>
        </w:tc>
        <w:tc>
          <w:tcPr>
            <w:tcW w:w="4540" w:type="dxa"/>
            <w:vAlign w:val="bottom"/>
            <w:gridSpan w:val="6"/>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39"/>
        </w:trPr>
        <w:tc>
          <w:tcPr>
            <w:tcW w:w="1340" w:type="dxa"/>
            <w:vAlign w:val="bottom"/>
            <w:gridSpan w:val="4"/>
          </w:tcPr>
          <w:p>
            <w:pPr>
              <w:spacing w:after="0"/>
              <w:rPr>
                <w:rFonts w:ascii="Arial" w:cs="Arial" w:eastAsia="Arial" w:hAnsi="Arial"/>
                <w:sz w:val="20"/>
                <w:szCs w:val="20"/>
                <w:color w:val="0000EE"/>
              </w:rPr>
            </w:pPr>
            <w:hyperlink w:anchor="page31">
              <w:r>
                <w:rPr>
                  <w:rFonts w:ascii="Arial" w:cs="Arial" w:eastAsia="Arial" w:hAnsi="Arial"/>
                  <w:sz w:val="20"/>
                  <w:szCs w:val="20"/>
                  <w:color w:val="0000EE"/>
                </w:rPr>
                <w:t>Item 4.</w:t>
              </w:r>
            </w:hyperlink>
          </w:p>
        </w:tc>
        <w:tc>
          <w:tcPr>
            <w:tcW w:w="9340" w:type="dxa"/>
            <w:vAlign w:val="bottom"/>
            <w:gridSpan w:val="21"/>
          </w:tcPr>
          <w:p>
            <w:pPr>
              <w:spacing w:after="0"/>
              <w:rPr>
                <w:rFonts w:ascii="Arial" w:cs="Arial" w:eastAsia="Arial" w:hAnsi="Arial"/>
                <w:sz w:val="20"/>
                <w:szCs w:val="20"/>
                <w:color w:val="0000EE"/>
              </w:rPr>
            </w:pPr>
            <w:hyperlink w:anchor="page31">
              <w:r>
                <w:rPr>
                  <w:rFonts w:ascii="Arial" w:cs="Arial" w:eastAsia="Arial" w:hAnsi="Arial"/>
                  <w:sz w:val="20"/>
                  <w:szCs w:val="20"/>
                  <w:color w:val="0000EE"/>
                </w:rPr>
                <w:t>Controls and Procedures</w:t>
              </w:r>
            </w:hyperlink>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47</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40" w:type="dxa"/>
            <w:vAlign w:val="bottom"/>
            <w:gridSpan w:val="6"/>
          </w:tcPr>
          <w:p>
            <w:pPr>
              <w:spacing w:after="0" w:line="20" w:lineRule="exact"/>
              <w:rPr>
                <w:sz w:val="1"/>
                <w:szCs w:val="1"/>
                <w:color w:val="auto"/>
              </w:rPr>
            </w:pPr>
          </w:p>
        </w:tc>
        <w:tc>
          <w:tcPr>
            <w:tcW w:w="4540" w:type="dxa"/>
            <w:vAlign w:val="bottom"/>
            <w:gridSpan w:val="6"/>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640" w:type="dxa"/>
            <w:vAlign w:val="bottom"/>
            <w:gridSpan w:val="2"/>
          </w:tcPr>
          <w:p>
            <w:pPr>
              <w:spacing w:after="0"/>
              <w:rPr>
                <w:rFonts w:ascii="Arial" w:cs="Arial" w:eastAsia="Arial" w:hAnsi="Arial"/>
                <w:sz w:val="20"/>
                <w:szCs w:val="20"/>
                <w:b w:val="1"/>
                <w:bCs w:val="1"/>
                <w:color w:val="0000EE"/>
              </w:rPr>
            </w:pPr>
            <w:hyperlink w:anchor="page31">
              <w:r>
                <w:rPr>
                  <w:rFonts w:ascii="Arial" w:cs="Arial" w:eastAsia="Arial" w:hAnsi="Arial"/>
                  <w:sz w:val="20"/>
                  <w:szCs w:val="20"/>
                  <w:b w:val="1"/>
                  <w:bCs w:val="1"/>
                  <w:color w:val="0000EE"/>
                </w:rPr>
                <w:t>Part II.</w:t>
              </w:r>
            </w:hyperlink>
          </w:p>
        </w:tc>
        <w:tc>
          <w:tcPr>
            <w:tcW w:w="700" w:type="dxa"/>
            <w:vAlign w:val="bottom"/>
            <w:gridSpan w:val="2"/>
          </w:tcPr>
          <w:p>
            <w:pPr>
              <w:spacing w:after="0"/>
              <w:rPr>
                <w:sz w:val="24"/>
                <w:szCs w:val="24"/>
                <w:color w:val="auto"/>
              </w:rPr>
            </w:pPr>
          </w:p>
        </w:tc>
        <w:tc>
          <w:tcPr>
            <w:tcW w:w="9340" w:type="dxa"/>
            <w:vAlign w:val="bottom"/>
            <w:gridSpan w:val="21"/>
          </w:tcPr>
          <w:p>
            <w:pPr>
              <w:spacing w:after="0"/>
              <w:rPr>
                <w:rFonts w:ascii="Arial" w:cs="Arial" w:eastAsia="Arial" w:hAnsi="Arial"/>
                <w:sz w:val="20"/>
                <w:szCs w:val="20"/>
                <w:b w:val="1"/>
                <w:bCs w:val="1"/>
                <w:color w:val="0000EE"/>
              </w:rPr>
            </w:pPr>
            <w:hyperlink w:anchor="page31">
              <w:r>
                <w:rPr>
                  <w:rFonts w:ascii="Arial" w:cs="Arial" w:eastAsia="Arial" w:hAnsi="Arial"/>
                  <w:sz w:val="20"/>
                  <w:szCs w:val="20"/>
                  <w:b w:val="1"/>
                  <w:bCs w:val="1"/>
                  <w:color w:val="0000EE"/>
                </w:rPr>
                <w:t>OTHER INFORMATION</w:t>
              </w:r>
            </w:hyperlink>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9"/>
        </w:trPr>
        <w:tc>
          <w:tcPr>
            <w:tcW w:w="640" w:type="dxa"/>
            <w:vAlign w:val="bottom"/>
            <w:tcBorders>
              <w:top w:val="single" w:sz="8" w:color="0000EE"/>
            </w:tcBorders>
            <w:gridSpan w:val="2"/>
          </w:tcPr>
          <w:p>
            <w:pPr>
              <w:spacing w:after="0"/>
              <w:rPr>
                <w:rFonts w:ascii="Arial" w:cs="Arial" w:eastAsia="Arial" w:hAnsi="Arial"/>
                <w:sz w:val="20"/>
                <w:szCs w:val="20"/>
                <w:color w:val="0000EE"/>
              </w:rPr>
            </w:pPr>
            <w:hyperlink w:anchor="page32">
              <w:r>
                <w:rPr>
                  <w:rFonts w:ascii="Arial" w:cs="Arial" w:eastAsia="Arial" w:hAnsi="Arial"/>
                  <w:sz w:val="20"/>
                  <w:szCs w:val="20"/>
                  <w:color w:val="0000EE"/>
                </w:rPr>
                <w:t>Item 1.</w:t>
              </w:r>
            </w:hyperlink>
          </w:p>
        </w:tc>
        <w:tc>
          <w:tcPr>
            <w:tcW w:w="700" w:type="dxa"/>
            <w:vAlign w:val="bottom"/>
            <w:gridSpan w:val="2"/>
          </w:tcPr>
          <w:p>
            <w:pPr>
              <w:spacing w:after="0"/>
              <w:rPr>
                <w:sz w:val="24"/>
                <w:szCs w:val="24"/>
                <w:color w:val="auto"/>
              </w:rPr>
            </w:pPr>
          </w:p>
        </w:tc>
        <w:tc>
          <w:tcPr>
            <w:tcW w:w="2220" w:type="dxa"/>
            <w:vAlign w:val="bottom"/>
            <w:tcBorders>
              <w:top w:val="single" w:sz="8" w:color="0000EE"/>
            </w:tcBorders>
            <w:gridSpan w:val="7"/>
          </w:tcPr>
          <w:p>
            <w:pPr>
              <w:spacing w:after="0"/>
              <w:rPr>
                <w:rFonts w:ascii="Arial" w:cs="Arial" w:eastAsia="Arial" w:hAnsi="Arial"/>
                <w:sz w:val="20"/>
                <w:szCs w:val="20"/>
                <w:color w:val="0000EE"/>
              </w:rPr>
            </w:pPr>
            <w:hyperlink w:anchor="page32">
              <w:r>
                <w:rPr>
                  <w:rFonts w:ascii="Arial" w:cs="Arial" w:eastAsia="Arial" w:hAnsi="Arial"/>
                  <w:sz w:val="20"/>
                  <w:szCs w:val="20"/>
                  <w:color w:val="0000EE"/>
                </w:rPr>
                <w:t>Legal Proceedings</w:t>
              </w:r>
            </w:hyperlink>
          </w:p>
        </w:tc>
        <w:tc>
          <w:tcPr>
            <w:tcW w:w="7120" w:type="dxa"/>
            <w:vAlign w:val="bottom"/>
            <w:gridSpan w:val="14"/>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47</w:t>
            </w:r>
          </w:p>
        </w:tc>
      </w:tr>
      <w:tr>
        <w:trPr>
          <w:trHeight w:val="20"/>
        </w:trPr>
        <w:tc>
          <w:tcPr>
            <w:tcW w:w="56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240" w:type="dxa"/>
            <w:vAlign w:val="bottom"/>
            <w:gridSpan w:val="6"/>
          </w:tcPr>
          <w:p>
            <w:pPr>
              <w:spacing w:after="0" w:line="20" w:lineRule="exact"/>
              <w:rPr>
                <w:sz w:val="1"/>
                <w:szCs w:val="1"/>
                <w:color w:val="auto"/>
              </w:rPr>
            </w:pPr>
          </w:p>
        </w:tc>
        <w:tc>
          <w:tcPr>
            <w:tcW w:w="4540" w:type="dxa"/>
            <w:vAlign w:val="bottom"/>
            <w:gridSpan w:val="6"/>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39"/>
        </w:trPr>
        <w:tc>
          <w:tcPr>
            <w:tcW w:w="720" w:type="dxa"/>
            <w:vAlign w:val="bottom"/>
            <w:gridSpan w:val="3"/>
          </w:tcPr>
          <w:p>
            <w:pPr>
              <w:spacing w:after="0"/>
              <w:rPr>
                <w:rFonts w:ascii="Arial" w:cs="Arial" w:eastAsia="Arial" w:hAnsi="Arial"/>
                <w:sz w:val="20"/>
                <w:szCs w:val="20"/>
                <w:color w:val="0000EE"/>
                <w:w w:val="93"/>
              </w:rPr>
            </w:pPr>
            <w:hyperlink w:anchor="page32">
              <w:r>
                <w:rPr>
                  <w:rFonts w:ascii="Arial" w:cs="Arial" w:eastAsia="Arial" w:hAnsi="Arial"/>
                  <w:sz w:val="20"/>
                  <w:szCs w:val="20"/>
                  <w:color w:val="0000EE"/>
                  <w:w w:val="93"/>
                </w:rPr>
                <w:t>Item 1A.</w:t>
              </w:r>
            </w:hyperlink>
          </w:p>
        </w:tc>
        <w:tc>
          <w:tcPr>
            <w:tcW w:w="620" w:type="dxa"/>
            <w:vAlign w:val="bottom"/>
          </w:tcPr>
          <w:p>
            <w:pPr>
              <w:spacing w:after="0"/>
              <w:rPr>
                <w:sz w:val="24"/>
                <w:szCs w:val="24"/>
                <w:color w:val="auto"/>
              </w:rPr>
            </w:pPr>
          </w:p>
        </w:tc>
        <w:tc>
          <w:tcPr>
            <w:tcW w:w="9340" w:type="dxa"/>
            <w:vAlign w:val="bottom"/>
            <w:gridSpan w:val="21"/>
          </w:tcPr>
          <w:p>
            <w:pPr>
              <w:spacing w:after="0"/>
              <w:rPr>
                <w:rFonts w:ascii="Arial" w:cs="Arial" w:eastAsia="Arial" w:hAnsi="Arial"/>
                <w:sz w:val="20"/>
                <w:szCs w:val="20"/>
                <w:color w:val="0000EE"/>
              </w:rPr>
            </w:pPr>
            <w:hyperlink w:anchor="page32">
              <w:r>
                <w:rPr>
                  <w:rFonts w:ascii="Arial" w:cs="Arial" w:eastAsia="Arial" w:hAnsi="Arial"/>
                  <w:sz w:val="20"/>
                  <w:szCs w:val="20"/>
                  <w:color w:val="0000EE"/>
                </w:rPr>
                <w:t>Risk Factors</w:t>
              </w:r>
            </w:hyperlink>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47</w:t>
            </w:r>
          </w:p>
        </w:tc>
      </w:tr>
      <w:tr>
        <w:trPr>
          <w:trHeight w:val="20"/>
        </w:trPr>
        <w:tc>
          <w:tcPr>
            <w:tcW w:w="720" w:type="dxa"/>
            <w:vAlign w:val="bottom"/>
            <w:gridSpan w:val="3"/>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240" w:type="dxa"/>
            <w:vAlign w:val="bottom"/>
            <w:gridSpan w:val="6"/>
          </w:tcPr>
          <w:p>
            <w:pPr>
              <w:spacing w:after="0" w:line="20" w:lineRule="exact"/>
              <w:rPr>
                <w:sz w:val="1"/>
                <w:szCs w:val="1"/>
                <w:color w:val="auto"/>
              </w:rPr>
            </w:pPr>
          </w:p>
        </w:tc>
        <w:tc>
          <w:tcPr>
            <w:tcW w:w="4540" w:type="dxa"/>
            <w:vAlign w:val="bottom"/>
            <w:gridSpan w:val="6"/>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39"/>
        </w:trPr>
        <w:tc>
          <w:tcPr>
            <w:tcW w:w="720" w:type="dxa"/>
            <w:vAlign w:val="bottom"/>
            <w:gridSpan w:val="3"/>
          </w:tcPr>
          <w:p>
            <w:pPr>
              <w:spacing w:after="0"/>
              <w:rPr>
                <w:rFonts w:ascii="Arial" w:cs="Arial" w:eastAsia="Arial" w:hAnsi="Arial"/>
                <w:sz w:val="20"/>
                <w:szCs w:val="20"/>
                <w:color w:val="0000EE"/>
              </w:rPr>
            </w:pPr>
            <w:hyperlink w:anchor="page32">
              <w:r>
                <w:rPr>
                  <w:rFonts w:ascii="Arial" w:cs="Arial" w:eastAsia="Arial" w:hAnsi="Arial"/>
                  <w:sz w:val="20"/>
                  <w:szCs w:val="20"/>
                  <w:color w:val="0000EE"/>
                </w:rPr>
                <w:t>Item 2.</w:t>
              </w:r>
            </w:hyperlink>
          </w:p>
        </w:tc>
        <w:tc>
          <w:tcPr>
            <w:tcW w:w="620" w:type="dxa"/>
            <w:vAlign w:val="bottom"/>
          </w:tcPr>
          <w:p>
            <w:pPr>
              <w:spacing w:after="0"/>
              <w:rPr>
                <w:sz w:val="24"/>
                <w:szCs w:val="24"/>
                <w:color w:val="auto"/>
              </w:rPr>
            </w:pPr>
          </w:p>
        </w:tc>
        <w:tc>
          <w:tcPr>
            <w:tcW w:w="9340" w:type="dxa"/>
            <w:vAlign w:val="bottom"/>
            <w:gridSpan w:val="21"/>
          </w:tcPr>
          <w:p>
            <w:pPr>
              <w:spacing w:after="0"/>
              <w:rPr>
                <w:rFonts w:ascii="Arial" w:cs="Arial" w:eastAsia="Arial" w:hAnsi="Arial"/>
                <w:sz w:val="20"/>
                <w:szCs w:val="20"/>
                <w:color w:val="0000EE"/>
              </w:rPr>
            </w:pPr>
            <w:hyperlink w:anchor="page32">
              <w:r>
                <w:rPr>
                  <w:rFonts w:ascii="Arial" w:cs="Arial" w:eastAsia="Arial" w:hAnsi="Arial"/>
                  <w:sz w:val="20"/>
                  <w:szCs w:val="20"/>
                  <w:color w:val="0000EE"/>
                </w:rPr>
                <w:t>Unregistered Sales of Equity Securities and Use of Proceeds</w:t>
              </w:r>
            </w:hyperlink>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47</w:t>
            </w:r>
          </w:p>
        </w:tc>
      </w:tr>
      <w:tr>
        <w:trPr>
          <w:trHeight w:val="439"/>
        </w:trPr>
        <w:tc>
          <w:tcPr>
            <w:tcW w:w="1340" w:type="dxa"/>
            <w:vAlign w:val="bottom"/>
            <w:tcBorders>
              <w:top w:val="single" w:sz="8" w:color="0000EE"/>
            </w:tcBorders>
            <w:gridSpan w:val="4"/>
          </w:tcPr>
          <w:p>
            <w:pPr>
              <w:spacing w:after="0"/>
              <w:rPr>
                <w:rFonts w:ascii="Arial" w:cs="Arial" w:eastAsia="Arial" w:hAnsi="Arial"/>
                <w:sz w:val="20"/>
                <w:szCs w:val="20"/>
                <w:color w:val="0000EE"/>
              </w:rPr>
            </w:pPr>
            <w:hyperlink w:anchor="page32">
              <w:r>
                <w:rPr>
                  <w:rFonts w:ascii="Arial" w:cs="Arial" w:eastAsia="Arial" w:hAnsi="Arial"/>
                  <w:sz w:val="20"/>
                  <w:szCs w:val="20"/>
                  <w:color w:val="0000EE"/>
                </w:rPr>
                <w:t>Item 3.</w:t>
              </w:r>
            </w:hyperlink>
          </w:p>
        </w:tc>
        <w:tc>
          <w:tcPr>
            <w:tcW w:w="4800" w:type="dxa"/>
            <w:vAlign w:val="bottom"/>
            <w:tcBorders>
              <w:top w:val="single" w:sz="8" w:color="0000EE"/>
            </w:tcBorders>
            <w:gridSpan w:val="15"/>
          </w:tcPr>
          <w:p>
            <w:pPr>
              <w:spacing w:after="0"/>
              <w:rPr>
                <w:rFonts w:ascii="Arial" w:cs="Arial" w:eastAsia="Arial" w:hAnsi="Arial"/>
                <w:sz w:val="20"/>
                <w:szCs w:val="20"/>
                <w:color w:val="0000EE"/>
              </w:rPr>
            </w:pPr>
            <w:hyperlink w:anchor="page32">
              <w:r>
                <w:rPr>
                  <w:rFonts w:ascii="Arial" w:cs="Arial" w:eastAsia="Arial" w:hAnsi="Arial"/>
                  <w:sz w:val="20"/>
                  <w:szCs w:val="20"/>
                  <w:color w:val="0000EE"/>
                </w:rPr>
                <w:t>Defaults Upon Senior Securities</w:t>
              </w:r>
            </w:hyperlink>
          </w:p>
        </w:tc>
        <w:tc>
          <w:tcPr>
            <w:tcW w:w="4540" w:type="dxa"/>
            <w:vAlign w:val="bottom"/>
            <w:gridSpan w:val="6"/>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48</w:t>
            </w:r>
          </w:p>
        </w:tc>
      </w:tr>
      <w:tr>
        <w:trPr>
          <w:trHeight w:val="20"/>
        </w:trPr>
        <w:tc>
          <w:tcPr>
            <w:tcW w:w="560" w:type="dxa"/>
            <w:vAlign w:val="bottom"/>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6780" w:type="dxa"/>
            <w:vAlign w:val="bottom"/>
            <w:gridSpan w:val="1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39"/>
        </w:trPr>
        <w:tc>
          <w:tcPr>
            <w:tcW w:w="1340" w:type="dxa"/>
            <w:vAlign w:val="bottom"/>
            <w:gridSpan w:val="4"/>
          </w:tcPr>
          <w:p>
            <w:pPr>
              <w:spacing w:after="0"/>
              <w:rPr>
                <w:rFonts w:ascii="Arial" w:cs="Arial" w:eastAsia="Arial" w:hAnsi="Arial"/>
                <w:sz w:val="20"/>
                <w:szCs w:val="20"/>
                <w:color w:val="0000EE"/>
              </w:rPr>
            </w:pPr>
            <w:hyperlink w:anchor="page32">
              <w:r>
                <w:rPr>
                  <w:rFonts w:ascii="Arial" w:cs="Arial" w:eastAsia="Arial" w:hAnsi="Arial"/>
                  <w:sz w:val="20"/>
                  <w:szCs w:val="20"/>
                  <w:color w:val="0000EE"/>
                </w:rPr>
                <w:t>Item 4.</w:t>
              </w:r>
            </w:hyperlink>
          </w:p>
        </w:tc>
        <w:tc>
          <w:tcPr>
            <w:tcW w:w="9340" w:type="dxa"/>
            <w:vAlign w:val="bottom"/>
            <w:gridSpan w:val="21"/>
          </w:tcPr>
          <w:p>
            <w:pPr>
              <w:spacing w:after="0"/>
              <w:rPr>
                <w:rFonts w:ascii="Arial" w:cs="Arial" w:eastAsia="Arial" w:hAnsi="Arial"/>
                <w:sz w:val="20"/>
                <w:szCs w:val="20"/>
                <w:color w:val="0000EE"/>
              </w:rPr>
            </w:pPr>
            <w:hyperlink w:anchor="page32">
              <w:r>
                <w:rPr>
                  <w:rFonts w:ascii="Arial" w:cs="Arial" w:eastAsia="Arial" w:hAnsi="Arial"/>
                  <w:sz w:val="20"/>
                  <w:szCs w:val="20"/>
                  <w:color w:val="0000EE"/>
                </w:rPr>
                <w:t>Mine Safety Disclosures</w:t>
              </w:r>
            </w:hyperlink>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48</w:t>
            </w:r>
          </w:p>
        </w:tc>
      </w:tr>
      <w:tr>
        <w:trPr>
          <w:trHeight w:val="20"/>
        </w:trPr>
        <w:tc>
          <w:tcPr>
            <w:tcW w:w="560" w:type="dxa"/>
            <w:vAlign w:val="bottom"/>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7380" w:type="dxa"/>
            <w:vAlign w:val="bottom"/>
            <w:gridSpan w:val="15"/>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39"/>
        </w:trPr>
        <w:tc>
          <w:tcPr>
            <w:tcW w:w="1340" w:type="dxa"/>
            <w:vAlign w:val="bottom"/>
            <w:gridSpan w:val="4"/>
          </w:tcPr>
          <w:p>
            <w:pPr>
              <w:spacing w:after="0"/>
              <w:rPr>
                <w:rFonts w:ascii="Arial" w:cs="Arial" w:eastAsia="Arial" w:hAnsi="Arial"/>
                <w:sz w:val="20"/>
                <w:szCs w:val="20"/>
                <w:color w:val="0000EE"/>
              </w:rPr>
            </w:pPr>
            <w:hyperlink w:anchor="page32">
              <w:r>
                <w:rPr>
                  <w:rFonts w:ascii="Arial" w:cs="Arial" w:eastAsia="Arial" w:hAnsi="Arial"/>
                  <w:sz w:val="20"/>
                  <w:szCs w:val="20"/>
                  <w:color w:val="0000EE"/>
                </w:rPr>
                <w:t>Item 5.</w:t>
              </w:r>
            </w:hyperlink>
          </w:p>
        </w:tc>
        <w:tc>
          <w:tcPr>
            <w:tcW w:w="9340" w:type="dxa"/>
            <w:vAlign w:val="bottom"/>
            <w:gridSpan w:val="21"/>
          </w:tcPr>
          <w:p>
            <w:pPr>
              <w:spacing w:after="0"/>
              <w:rPr>
                <w:rFonts w:ascii="Arial" w:cs="Arial" w:eastAsia="Arial" w:hAnsi="Arial"/>
                <w:sz w:val="20"/>
                <w:szCs w:val="20"/>
                <w:color w:val="0000EE"/>
              </w:rPr>
            </w:pPr>
            <w:hyperlink w:anchor="page32">
              <w:r>
                <w:rPr>
                  <w:rFonts w:ascii="Arial" w:cs="Arial" w:eastAsia="Arial" w:hAnsi="Arial"/>
                  <w:sz w:val="20"/>
                  <w:szCs w:val="20"/>
                  <w:color w:val="0000EE"/>
                </w:rPr>
                <w:t>Other Information</w:t>
              </w:r>
            </w:hyperlink>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48</w:t>
            </w:r>
          </w:p>
        </w:tc>
      </w:tr>
      <w:tr>
        <w:trPr>
          <w:trHeight w:val="20"/>
        </w:trPr>
        <w:tc>
          <w:tcPr>
            <w:tcW w:w="560" w:type="dxa"/>
            <w:vAlign w:val="bottom"/>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880" w:type="dxa"/>
            <w:vAlign w:val="bottom"/>
            <w:gridSpan w:val="16"/>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39"/>
        </w:trPr>
        <w:tc>
          <w:tcPr>
            <w:tcW w:w="1340" w:type="dxa"/>
            <w:vAlign w:val="bottom"/>
            <w:gridSpan w:val="4"/>
          </w:tcPr>
          <w:p>
            <w:pPr>
              <w:spacing w:after="0"/>
              <w:rPr>
                <w:rFonts w:ascii="Arial" w:cs="Arial" w:eastAsia="Arial" w:hAnsi="Arial"/>
                <w:sz w:val="20"/>
                <w:szCs w:val="20"/>
                <w:color w:val="0000EE"/>
              </w:rPr>
            </w:pPr>
            <w:hyperlink w:anchor="page32">
              <w:r>
                <w:rPr>
                  <w:rFonts w:ascii="Arial" w:cs="Arial" w:eastAsia="Arial" w:hAnsi="Arial"/>
                  <w:sz w:val="20"/>
                  <w:szCs w:val="20"/>
                  <w:color w:val="0000EE"/>
                </w:rPr>
                <w:t>Item 6.</w:t>
              </w:r>
            </w:hyperlink>
          </w:p>
        </w:tc>
        <w:tc>
          <w:tcPr>
            <w:tcW w:w="9340" w:type="dxa"/>
            <w:vAlign w:val="bottom"/>
            <w:gridSpan w:val="21"/>
          </w:tcPr>
          <w:p>
            <w:pPr>
              <w:spacing w:after="0"/>
              <w:rPr>
                <w:rFonts w:ascii="Arial" w:cs="Arial" w:eastAsia="Arial" w:hAnsi="Arial"/>
                <w:sz w:val="20"/>
                <w:szCs w:val="20"/>
                <w:color w:val="0000EE"/>
              </w:rPr>
            </w:pPr>
            <w:hyperlink w:anchor="page32">
              <w:r>
                <w:rPr>
                  <w:rFonts w:ascii="Arial" w:cs="Arial" w:eastAsia="Arial" w:hAnsi="Arial"/>
                  <w:sz w:val="20"/>
                  <w:szCs w:val="20"/>
                  <w:color w:val="0000EE"/>
                </w:rPr>
                <w:t>Exhibits</w:t>
              </w:r>
            </w:hyperlink>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48</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500" w:type="dxa"/>
            <w:vAlign w:val="bottom"/>
            <w:gridSpan w:val="18"/>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39"/>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340" w:type="dxa"/>
            <w:vAlign w:val="bottom"/>
            <w:gridSpan w:val="21"/>
          </w:tcPr>
          <w:p>
            <w:pPr>
              <w:spacing w:after="0"/>
              <w:rPr>
                <w:rFonts w:ascii="Arial" w:cs="Arial" w:eastAsia="Arial" w:hAnsi="Arial"/>
                <w:sz w:val="20"/>
                <w:szCs w:val="20"/>
                <w:color w:val="0000EE"/>
              </w:rPr>
            </w:pPr>
            <w:hyperlink w:anchor="page33">
              <w:r>
                <w:rPr>
                  <w:rFonts w:ascii="Arial" w:cs="Arial" w:eastAsia="Arial" w:hAnsi="Arial"/>
                  <w:sz w:val="20"/>
                  <w:szCs w:val="20"/>
                  <w:color w:val="0000EE"/>
                </w:rPr>
                <w:t>Signatures</w:t>
              </w:r>
            </w:hyperlink>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49</w:t>
            </w:r>
          </w:p>
        </w:tc>
      </w:tr>
      <w:tr>
        <w:trPr>
          <w:trHeight w:val="453"/>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Borders>
              <w:top w:val="single" w:sz="8" w:color="0000EE"/>
            </w:tcBorders>
            <w:gridSpan w:val="3"/>
          </w:tcPr>
          <w:p>
            <w:pPr>
              <w:spacing w:after="0"/>
              <w:rPr>
                <w:sz w:val="24"/>
                <w:szCs w:val="24"/>
                <w:color w:val="auto"/>
              </w:rPr>
            </w:pPr>
          </w:p>
        </w:tc>
        <w:tc>
          <w:tcPr>
            <w:tcW w:w="3840" w:type="dxa"/>
            <w:vAlign w:val="bottom"/>
            <w:gridSpan w:val="10"/>
          </w:tcPr>
          <w:p>
            <w:pPr>
              <w:jc w:val="right"/>
              <w:ind w:right="26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4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3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 –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CONDENSED CONSOLIDATED FINANCIAL STATEMENTS (UNAUDITED)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CONDENSED CONSOLIDATED BALANCE SHEETS</w:t>
      </w:r>
    </w:p>
    <w:p>
      <w:pPr>
        <w:spacing w:after="0"/>
        <w:rPr>
          <w:sz w:val="20"/>
          <w:szCs w:val="20"/>
          <w:color w:val="auto"/>
        </w:rPr>
      </w:pPr>
      <w:r>
        <w:rPr>
          <w:rFonts w:ascii="Arial" w:cs="Arial" w:eastAsia="Arial" w:hAnsi="Arial"/>
          <w:sz w:val="20"/>
          <w:szCs w:val="20"/>
          <w:b w:val="1"/>
          <w:bCs w:val="1"/>
          <w:color w:val="auto"/>
        </w:rPr>
        <w:t>AS OF SEPTEMBER 30, 2017 AND DECEMBER 31, 2016</w:t>
      </w:r>
    </w:p>
    <w:p>
      <w:pPr>
        <w:spacing w:after="0"/>
        <w:rPr>
          <w:sz w:val="20"/>
          <w:szCs w:val="20"/>
          <w:color w:val="auto"/>
        </w:rPr>
      </w:pPr>
      <w:r>
        <w:rPr>
          <w:rFonts w:ascii="Arial" w:cs="Arial" w:eastAsia="Arial" w:hAnsi="Arial"/>
          <w:sz w:val="20"/>
          <w:szCs w:val="20"/>
          <w:b w:val="1"/>
          <w:bCs w:val="1"/>
          <w:color w:val="auto"/>
        </w:rPr>
        <w:t>(In Thousands, Except Par Value)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2"/>
          </w:tcPr>
          <w:p>
            <w:pPr>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7"/>
                <w:szCs w:val="17"/>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162"/>
        </w:trPr>
        <w:tc>
          <w:tcPr>
            <w:tcW w:w="3200" w:type="dxa"/>
            <w:vAlign w:val="bottom"/>
            <w:vMerge w:val="restart"/>
          </w:tcPr>
          <w:p>
            <w:pPr>
              <w:spacing w:after="0"/>
              <w:rPr>
                <w:sz w:val="20"/>
                <w:szCs w:val="20"/>
                <w:color w:val="auto"/>
              </w:rPr>
            </w:pPr>
            <w:r>
              <w:rPr>
                <w:rFonts w:ascii="Arial" w:cs="Arial" w:eastAsia="Arial" w:hAnsi="Arial"/>
                <w:sz w:val="16"/>
                <w:szCs w:val="16"/>
                <w:color w:val="auto"/>
              </w:rPr>
              <w:t>CURRENT ASSETS:</w:t>
            </w:r>
          </w:p>
        </w:tc>
        <w:tc>
          <w:tcPr>
            <w:tcW w:w="5100" w:type="dxa"/>
            <w:vAlign w:val="bottom"/>
            <w:gridSpan w:val="3"/>
          </w:tcPr>
          <w:p>
            <w:pPr>
              <w:ind w:left="500"/>
              <w:spacing w:after="0" w:line="161" w:lineRule="exact"/>
              <w:rPr>
                <w:sz w:val="20"/>
                <w:szCs w:val="20"/>
                <w:color w:val="auto"/>
              </w:rPr>
            </w:pPr>
            <w:r>
              <w:rPr>
                <w:rFonts w:ascii="Arial" w:cs="Arial" w:eastAsia="Arial" w:hAnsi="Arial"/>
                <w:sz w:val="16"/>
                <w:szCs w:val="16"/>
                <w:b w:val="1"/>
                <w:bCs w:val="1"/>
                <w:color w:val="auto"/>
              </w:rPr>
              <w:t>ASSETS</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320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4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5280" w:type="dxa"/>
            <w:vAlign w:val="bottom"/>
            <w:gridSpan w:val="4"/>
          </w:tcPr>
          <w:p>
            <w:pPr>
              <w:jc w:val="right"/>
              <w:ind w:right="2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465,559</w:t>
            </w:r>
          </w:p>
        </w:tc>
        <w:tc>
          <w:tcPr>
            <w:tcW w:w="2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377,582</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6"/>
                <w:szCs w:val="16"/>
                <w:color w:val="auto"/>
              </w:rPr>
              <w:t>Short-term investments</w:t>
            </w: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630,348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220,554</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6"/>
                <w:szCs w:val="16"/>
                <w:color w:val="auto"/>
              </w:rPr>
              <w:t>Accounts receivable, net</w:t>
            </w: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535,336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448,051</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6"/>
                <w:szCs w:val="16"/>
                <w:color w:val="auto"/>
              </w:rPr>
              <w:t>TCCC Transaction receivable</w:t>
            </w: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125,000</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6"/>
                <w:szCs w:val="16"/>
                <w:color w:val="auto"/>
              </w:rPr>
              <w:t>Inventories</w:t>
            </w: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213,341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161,971</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6"/>
                <w:szCs w:val="16"/>
                <w:color w:val="auto"/>
              </w:rPr>
              <w:t>Prepaid expenses and other current assets</w:t>
            </w: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46,095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32,562</w:t>
            </w:r>
          </w:p>
        </w:tc>
        <w:tc>
          <w:tcPr>
            <w:tcW w:w="0" w:type="dxa"/>
            <w:vAlign w:val="bottom"/>
          </w:tcPr>
          <w:p>
            <w:pPr>
              <w:spacing w:after="0"/>
              <w:rPr>
                <w:sz w:val="1"/>
                <w:szCs w:val="1"/>
                <w:color w:val="auto"/>
              </w:rPr>
            </w:pPr>
          </w:p>
        </w:tc>
      </w:tr>
      <w:tr>
        <w:trPr>
          <w:trHeight w:val="219"/>
        </w:trPr>
        <w:tc>
          <w:tcPr>
            <w:tcW w:w="3200" w:type="dxa"/>
            <w:vAlign w:val="bottom"/>
          </w:tcPr>
          <w:p>
            <w:pPr>
              <w:spacing w:after="0"/>
              <w:rPr>
                <w:sz w:val="20"/>
                <w:szCs w:val="20"/>
                <w:color w:val="auto"/>
              </w:rPr>
            </w:pPr>
            <w:r>
              <w:rPr>
                <w:rFonts w:ascii="Arial" w:cs="Arial" w:eastAsia="Arial" w:hAnsi="Arial"/>
                <w:sz w:val="16"/>
                <w:szCs w:val="16"/>
                <w:color w:val="auto"/>
              </w:rPr>
              <w:t>Prepaid income taxes</w:t>
            </w: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43,618</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66,550</w:t>
            </w:r>
          </w:p>
        </w:tc>
        <w:tc>
          <w:tcPr>
            <w:tcW w:w="0" w:type="dxa"/>
            <w:vAlign w:val="bottom"/>
          </w:tcPr>
          <w:p>
            <w:pPr>
              <w:spacing w:after="0"/>
              <w:rPr>
                <w:sz w:val="1"/>
                <w:szCs w:val="1"/>
                <w:color w:val="auto"/>
              </w:rPr>
            </w:pPr>
          </w:p>
        </w:tc>
      </w:tr>
    </w:tbl>
    <w:p>
      <w:pPr>
        <w:sectPr>
          <w:pgSz w:w="11900" w:h="16838" w:orient="portrait"/>
          <w:cols w:equalWidth="0" w:num="1">
            <w:col w:w="11460"/>
          </w:cols>
          <w:pgMar w:left="240" w:top="115" w:right="19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300" w:type="dxa"/>
            <w:vAlign w:val="bottom"/>
            <w:gridSpan w:val="3"/>
          </w:tcPr>
          <w:p>
            <w:pPr>
              <w:ind w:left="200"/>
              <w:spacing w:after="0"/>
              <w:rPr>
                <w:sz w:val="20"/>
                <w:szCs w:val="20"/>
                <w:color w:val="auto"/>
              </w:rPr>
            </w:pPr>
            <w:r>
              <w:rPr>
                <w:rFonts w:ascii="Arial" w:cs="Arial" w:eastAsia="Arial" w:hAnsi="Arial"/>
                <w:sz w:val="16"/>
                <w:szCs w:val="16"/>
                <w:color w:val="auto"/>
              </w:rPr>
              <w:t>Total current assets</w:t>
            </w: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1,934,297</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1,432,270</w:t>
            </w:r>
          </w:p>
        </w:tc>
        <w:tc>
          <w:tcPr>
            <w:tcW w:w="0" w:type="dxa"/>
            <w:vAlign w:val="bottom"/>
          </w:tcPr>
          <w:p>
            <w:pPr>
              <w:spacing w:after="0"/>
              <w:rPr>
                <w:sz w:val="1"/>
                <w:szCs w:val="1"/>
                <w:color w:val="auto"/>
              </w:rPr>
            </w:pPr>
          </w:p>
        </w:tc>
      </w:tr>
      <w:tr>
        <w:trPr>
          <w:trHeight w:val="432"/>
        </w:trPr>
        <w:tc>
          <w:tcPr>
            <w:tcW w:w="8300" w:type="dxa"/>
            <w:vAlign w:val="bottom"/>
            <w:gridSpan w:val="3"/>
          </w:tcPr>
          <w:p>
            <w:pPr>
              <w:spacing w:after="0"/>
              <w:rPr>
                <w:sz w:val="20"/>
                <w:szCs w:val="20"/>
                <w:color w:val="auto"/>
              </w:rPr>
            </w:pPr>
            <w:r>
              <w:rPr>
                <w:rFonts w:ascii="Arial" w:cs="Arial" w:eastAsia="Arial" w:hAnsi="Arial"/>
                <w:sz w:val="16"/>
                <w:szCs w:val="16"/>
                <w:color w:val="auto"/>
              </w:rPr>
              <w:t>INVESTMENTS</w:t>
            </w: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7,003</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2,394</w:t>
            </w:r>
          </w:p>
        </w:tc>
        <w:tc>
          <w:tcPr>
            <w:tcW w:w="0" w:type="dxa"/>
            <w:vAlign w:val="bottom"/>
          </w:tcPr>
          <w:p>
            <w:pPr>
              <w:spacing w:after="0"/>
              <w:rPr>
                <w:sz w:val="1"/>
                <w:szCs w:val="1"/>
                <w:color w:val="auto"/>
              </w:rPr>
            </w:pPr>
          </w:p>
        </w:tc>
      </w:tr>
      <w:tr>
        <w:trPr>
          <w:trHeight w:val="216"/>
        </w:trPr>
        <w:tc>
          <w:tcPr>
            <w:tcW w:w="8300" w:type="dxa"/>
            <w:vAlign w:val="bottom"/>
            <w:gridSpan w:val="3"/>
          </w:tcPr>
          <w:p>
            <w:pPr>
              <w:spacing w:after="0"/>
              <w:rPr>
                <w:sz w:val="20"/>
                <w:szCs w:val="20"/>
                <w:color w:val="auto"/>
              </w:rPr>
            </w:pPr>
            <w:r>
              <w:rPr>
                <w:rFonts w:ascii="Arial" w:cs="Arial" w:eastAsia="Arial" w:hAnsi="Arial"/>
                <w:sz w:val="16"/>
                <w:szCs w:val="16"/>
                <w:color w:val="auto"/>
              </w:rPr>
              <w:t>PROPERTY AND EQUIPMENT, net</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225,421</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173,343</w:t>
            </w:r>
          </w:p>
        </w:tc>
        <w:tc>
          <w:tcPr>
            <w:tcW w:w="0" w:type="dxa"/>
            <w:vAlign w:val="bottom"/>
          </w:tcPr>
          <w:p>
            <w:pPr>
              <w:spacing w:after="0"/>
              <w:rPr>
                <w:sz w:val="1"/>
                <w:szCs w:val="1"/>
                <w:color w:val="auto"/>
              </w:rPr>
            </w:pPr>
          </w:p>
        </w:tc>
      </w:tr>
      <w:tr>
        <w:trPr>
          <w:trHeight w:val="216"/>
        </w:trPr>
        <w:tc>
          <w:tcPr>
            <w:tcW w:w="8300" w:type="dxa"/>
            <w:vAlign w:val="bottom"/>
            <w:gridSpan w:val="3"/>
          </w:tcPr>
          <w:p>
            <w:pPr>
              <w:spacing w:after="0"/>
              <w:rPr>
                <w:sz w:val="20"/>
                <w:szCs w:val="20"/>
                <w:color w:val="auto"/>
              </w:rPr>
            </w:pPr>
            <w:r>
              <w:rPr>
                <w:rFonts w:ascii="Arial" w:cs="Arial" w:eastAsia="Arial" w:hAnsi="Arial"/>
                <w:sz w:val="16"/>
                <w:szCs w:val="16"/>
                <w:color w:val="auto"/>
              </w:rPr>
              <w:t>DEFERRED INCOME TAXES</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158,739</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159,556</w:t>
            </w:r>
          </w:p>
        </w:tc>
        <w:tc>
          <w:tcPr>
            <w:tcW w:w="0" w:type="dxa"/>
            <w:vAlign w:val="bottom"/>
          </w:tcPr>
          <w:p>
            <w:pPr>
              <w:spacing w:after="0"/>
              <w:rPr>
                <w:sz w:val="1"/>
                <w:szCs w:val="1"/>
                <w:color w:val="auto"/>
              </w:rPr>
            </w:pPr>
          </w:p>
        </w:tc>
      </w:tr>
      <w:tr>
        <w:trPr>
          <w:trHeight w:val="216"/>
        </w:trPr>
        <w:tc>
          <w:tcPr>
            <w:tcW w:w="8300" w:type="dxa"/>
            <w:vAlign w:val="bottom"/>
            <w:gridSpan w:val="3"/>
          </w:tcPr>
          <w:p>
            <w:pPr>
              <w:spacing w:after="0"/>
              <w:rPr>
                <w:sz w:val="20"/>
                <w:szCs w:val="20"/>
                <w:color w:val="auto"/>
              </w:rPr>
            </w:pPr>
            <w:r>
              <w:rPr>
                <w:rFonts w:ascii="Arial" w:cs="Arial" w:eastAsia="Arial" w:hAnsi="Arial"/>
                <w:sz w:val="16"/>
                <w:szCs w:val="16"/>
                <w:color w:val="auto"/>
              </w:rPr>
              <w:t>GOODWILL</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1,331,643</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1,331,643</w:t>
            </w:r>
          </w:p>
        </w:tc>
        <w:tc>
          <w:tcPr>
            <w:tcW w:w="0" w:type="dxa"/>
            <w:vAlign w:val="bottom"/>
          </w:tcPr>
          <w:p>
            <w:pPr>
              <w:spacing w:after="0"/>
              <w:rPr>
                <w:sz w:val="1"/>
                <w:szCs w:val="1"/>
                <w:color w:val="auto"/>
              </w:rPr>
            </w:pPr>
          </w:p>
        </w:tc>
      </w:tr>
      <w:tr>
        <w:trPr>
          <w:trHeight w:val="216"/>
        </w:trPr>
        <w:tc>
          <w:tcPr>
            <w:tcW w:w="8300" w:type="dxa"/>
            <w:vAlign w:val="bottom"/>
            <w:gridSpan w:val="3"/>
          </w:tcPr>
          <w:p>
            <w:pPr>
              <w:spacing w:after="0"/>
              <w:rPr>
                <w:sz w:val="20"/>
                <w:szCs w:val="20"/>
                <w:color w:val="auto"/>
              </w:rPr>
            </w:pPr>
            <w:r>
              <w:rPr>
                <w:rFonts w:ascii="Arial" w:cs="Arial" w:eastAsia="Arial" w:hAnsi="Arial"/>
                <w:sz w:val="16"/>
                <w:szCs w:val="16"/>
                <w:color w:val="auto"/>
              </w:rPr>
              <w:t>OTHER INTANGIBLE ASSETS, net</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1,033,481</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1,032,635</w:t>
            </w:r>
          </w:p>
        </w:tc>
        <w:tc>
          <w:tcPr>
            <w:tcW w:w="0" w:type="dxa"/>
            <w:vAlign w:val="bottom"/>
          </w:tcPr>
          <w:p>
            <w:pPr>
              <w:spacing w:after="0"/>
              <w:rPr>
                <w:sz w:val="1"/>
                <w:szCs w:val="1"/>
                <w:color w:val="auto"/>
              </w:rPr>
            </w:pPr>
          </w:p>
        </w:tc>
      </w:tr>
      <w:tr>
        <w:trPr>
          <w:trHeight w:val="216"/>
        </w:trPr>
        <w:tc>
          <w:tcPr>
            <w:tcW w:w="8300" w:type="dxa"/>
            <w:vAlign w:val="bottom"/>
            <w:gridSpan w:val="3"/>
          </w:tcPr>
          <w:p>
            <w:pPr>
              <w:spacing w:after="0"/>
              <w:rPr>
                <w:sz w:val="20"/>
                <w:szCs w:val="20"/>
                <w:color w:val="auto"/>
              </w:rPr>
            </w:pPr>
            <w:r>
              <w:rPr>
                <w:rFonts w:ascii="Arial" w:cs="Arial" w:eastAsia="Arial" w:hAnsi="Arial"/>
                <w:sz w:val="16"/>
                <w:szCs w:val="16"/>
                <w:color w:val="auto"/>
              </w:rPr>
              <w:t>OTHER ASSETS</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18,322</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21,630</w:t>
            </w:r>
          </w:p>
        </w:tc>
        <w:tc>
          <w:tcPr>
            <w:tcW w:w="0" w:type="dxa"/>
            <w:vAlign w:val="bottom"/>
          </w:tcPr>
          <w:p>
            <w:pPr>
              <w:spacing w:after="0"/>
              <w:rPr>
                <w:sz w:val="1"/>
                <w:szCs w:val="1"/>
                <w:color w:val="auto"/>
              </w:rPr>
            </w:pPr>
          </w:p>
        </w:tc>
      </w:tr>
      <w:tr>
        <w:trPr>
          <w:trHeight w:val="210"/>
        </w:trPr>
        <w:tc>
          <w:tcPr>
            <w:tcW w:w="2240" w:type="dxa"/>
            <w:vAlign w:val="bottom"/>
          </w:tcPr>
          <w:p>
            <w:pPr>
              <w:spacing w:after="0"/>
              <w:rPr>
                <w:sz w:val="18"/>
                <w:szCs w:val="18"/>
                <w:color w:val="auto"/>
              </w:rPr>
            </w:pPr>
          </w:p>
        </w:tc>
        <w:tc>
          <w:tcPr>
            <w:tcW w:w="6060" w:type="dxa"/>
            <w:vAlign w:val="bottom"/>
            <w:gridSpan w:val="2"/>
          </w:tcPr>
          <w:p>
            <w:pPr>
              <w:jc w:val="center"/>
              <w:ind w:right="2520"/>
              <w:spacing w:after="0"/>
              <w:rPr>
                <w:sz w:val="20"/>
                <w:szCs w:val="20"/>
                <w:color w:val="auto"/>
              </w:rPr>
            </w:pPr>
            <w:r>
              <w:rPr>
                <w:rFonts w:ascii="Arial" w:cs="Arial" w:eastAsia="Arial" w:hAnsi="Arial"/>
                <w:sz w:val="16"/>
                <w:szCs w:val="16"/>
                <w:b w:val="1"/>
                <w:bCs w:val="1"/>
                <w:color w:val="auto"/>
                <w:w w:val="86"/>
              </w:rPr>
              <w:t>Total Assets</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4,708,906</w:t>
            </w:r>
          </w:p>
        </w:tc>
        <w:tc>
          <w:tcPr>
            <w:tcW w:w="280" w:type="dxa"/>
            <w:vAlign w:val="bottom"/>
          </w:tcPr>
          <w:p>
            <w:pPr>
              <w:spacing w:after="0"/>
              <w:rPr>
                <w:sz w:val="18"/>
                <w:szCs w:val="18"/>
                <w:color w:val="auto"/>
              </w:rPr>
            </w:pP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4,153,471</w:t>
            </w:r>
          </w:p>
        </w:tc>
        <w:tc>
          <w:tcPr>
            <w:tcW w:w="0" w:type="dxa"/>
            <w:vAlign w:val="bottom"/>
          </w:tcPr>
          <w:p>
            <w:pPr>
              <w:spacing w:after="0"/>
              <w:rPr>
                <w:sz w:val="1"/>
                <w:szCs w:val="1"/>
                <w:color w:val="auto"/>
              </w:rPr>
            </w:pPr>
          </w:p>
        </w:tc>
      </w:tr>
      <w:tr>
        <w:trPr>
          <w:trHeight w:val="20"/>
        </w:trPr>
        <w:tc>
          <w:tcPr>
            <w:tcW w:w="2240" w:type="dxa"/>
            <w:vAlign w:val="bottom"/>
            <w:vMerge w:val="restart"/>
          </w:tcPr>
          <w:p>
            <w:pPr>
              <w:spacing w:after="0" w:line="20" w:lineRule="exact"/>
              <w:rPr>
                <w:sz w:val="1"/>
                <w:szCs w:val="1"/>
                <w:color w:val="auto"/>
              </w:rPr>
            </w:pPr>
          </w:p>
        </w:tc>
        <w:tc>
          <w:tcPr>
            <w:tcW w:w="6060" w:type="dxa"/>
            <w:vAlign w:val="bottom"/>
            <w:gridSpan w:val="2"/>
            <w:vMerge w:val="restart"/>
          </w:tcPr>
          <w:p>
            <w:pPr>
              <w:jc w:val="center"/>
              <w:ind w:right="2540"/>
              <w:spacing w:after="0"/>
              <w:rPr>
                <w:sz w:val="20"/>
                <w:szCs w:val="20"/>
                <w:color w:val="auto"/>
              </w:rPr>
            </w:pPr>
            <w:r>
              <w:rPr>
                <w:rFonts w:ascii="Arial" w:cs="Arial" w:eastAsia="Arial" w:hAnsi="Arial"/>
                <w:sz w:val="16"/>
                <w:szCs w:val="16"/>
                <w:b w:val="1"/>
                <w:bCs w:val="1"/>
                <w:color w:val="auto"/>
              </w:rPr>
              <w:t>LIABILITIES AND STOCKHOLDERS’ EQUITY</w:t>
            </w: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2240" w:type="dxa"/>
            <w:vAlign w:val="bottom"/>
            <w:vMerge w:val="continue"/>
          </w:tcPr>
          <w:p>
            <w:pPr>
              <w:spacing w:after="0"/>
              <w:rPr>
                <w:sz w:val="24"/>
                <w:szCs w:val="24"/>
                <w:color w:val="auto"/>
              </w:rPr>
            </w:pPr>
          </w:p>
        </w:tc>
        <w:tc>
          <w:tcPr>
            <w:tcW w:w="606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240" w:type="dxa"/>
            <w:vAlign w:val="bottom"/>
          </w:tcPr>
          <w:p>
            <w:pPr>
              <w:spacing w:after="0"/>
              <w:rPr>
                <w:sz w:val="20"/>
                <w:szCs w:val="20"/>
                <w:color w:val="auto"/>
              </w:rPr>
            </w:pPr>
            <w:r>
              <w:rPr>
                <w:rFonts w:ascii="Arial" w:cs="Arial" w:eastAsia="Arial" w:hAnsi="Arial"/>
                <w:sz w:val="16"/>
                <w:szCs w:val="16"/>
                <w:color w:val="auto"/>
              </w:rPr>
              <w:t>CURRENT LIABILITIES:</w:t>
            </w:r>
          </w:p>
        </w:tc>
        <w:tc>
          <w:tcPr>
            <w:tcW w:w="3520" w:type="dxa"/>
            <w:vAlign w:val="bottom"/>
            <w:tcBorders>
              <w:top w:val="single" w:sz="8" w:color="auto"/>
            </w:tcBorders>
          </w:tcPr>
          <w:p>
            <w:pPr>
              <w:spacing w:after="0"/>
              <w:rPr>
                <w:sz w:val="20"/>
                <w:szCs w:val="20"/>
                <w:color w:val="auto"/>
              </w:rPr>
            </w:pPr>
          </w:p>
        </w:tc>
        <w:tc>
          <w:tcPr>
            <w:tcW w:w="2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00" w:type="dxa"/>
            <w:vAlign w:val="bottom"/>
            <w:gridSpan w:val="3"/>
          </w:tcPr>
          <w:p>
            <w:pPr>
              <w:spacing w:after="0"/>
              <w:rPr>
                <w:sz w:val="20"/>
                <w:szCs w:val="20"/>
                <w:color w:val="auto"/>
              </w:rPr>
            </w:pPr>
            <w:r>
              <w:rPr>
                <w:rFonts w:ascii="Arial" w:cs="Arial" w:eastAsia="Arial" w:hAnsi="Arial"/>
                <w:sz w:val="16"/>
                <w:szCs w:val="16"/>
                <w:color w:val="auto"/>
              </w:rPr>
              <w:t>Accounts payable</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229,551</w:t>
            </w:r>
          </w:p>
        </w:tc>
        <w:tc>
          <w:tcPr>
            <w:tcW w:w="280" w:type="dxa"/>
            <w:vAlign w:val="bottom"/>
          </w:tcPr>
          <w:p>
            <w:pPr>
              <w:spacing w:after="0"/>
              <w:rPr>
                <w:sz w:val="18"/>
                <w:szCs w:val="18"/>
                <w:color w:val="auto"/>
              </w:rPr>
            </w:pP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193,270</w:t>
            </w:r>
          </w:p>
        </w:tc>
        <w:tc>
          <w:tcPr>
            <w:tcW w:w="0" w:type="dxa"/>
            <w:vAlign w:val="bottom"/>
          </w:tcPr>
          <w:p>
            <w:pPr>
              <w:spacing w:after="0"/>
              <w:rPr>
                <w:sz w:val="1"/>
                <w:szCs w:val="1"/>
                <w:color w:val="auto"/>
              </w:rPr>
            </w:pPr>
          </w:p>
        </w:tc>
      </w:tr>
      <w:tr>
        <w:trPr>
          <w:trHeight w:val="216"/>
        </w:trPr>
        <w:tc>
          <w:tcPr>
            <w:tcW w:w="8300" w:type="dxa"/>
            <w:vAlign w:val="bottom"/>
            <w:gridSpan w:val="3"/>
          </w:tcPr>
          <w:p>
            <w:pPr>
              <w:spacing w:after="0"/>
              <w:rPr>
                <w:sz w:val="20"/>
                <w:szCs w:val="20"/>
                <w:color w:val="auto"/>
              </w:rPr>
            </w:pPr>
            <w:r>
              <w:rPr>
                <w:rFonts w:ascii="Arial" w:cs="Arial" w:eastAsia="Arial" w:hAnsi="Arial"/>
                <w:sz w:val="16"/>
                <w:szCs w:val="16"/>
                <w:color w:val="auto"/>
              </w:rPr>
              <w:t>Accrued liabilities</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112,732</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79,526</w:t>
            </w:r>
          </w:p>
        </w:tc>
        <w:tc>
          <w:tcPr>
            <w:tcW w:w="0" w:type="dxa"/>
            <w:vAlign w:val="bottom"/>
          </w:tcPr>
          <w:p>
            <w:pPr>
              <w:spacing w:after="0"/>
              <w:rPr>
                <w:sz w:val="1"/>
                <w:szCs w:val="1"/>
                <w:color w:val="auto"/>
              </w:rPr>
            </w:pPr>
          </w:p>
        </w:tc>
      </w:tr>
      <w:tr>
        <w:trPr>
          <w:trHeight w:val="216"/>
        </w:trPr>
        <w:tc>
          <w:tcPr>
            <w:tcW w:w="8300" w:type="dxa"/>
            <w:vAlign w:val="bottom"/>
            <w:gridSpan w:val="3"/>
          </w:tcPr>
          <w:p>
            <w:pPr>
              <w:spacing w:after="0"/>
              <w:rPr>
                <w:sz w:val="20"/>
                <w:szCs w:val="20"/>
                <w:color w:val="auto"/>
              </w:rPr>
            </w:pPr>
            <w:r>
              <w:rPr>
                <w:rFonts w:ascii="Arial" w:cs="Arial" w:eastAsia="Arial" w:hAnsi="Arial"/>
                <w:sz w:val="16"/>
                <w:szCs w:val="16"/>
                <w:color w:val="auto"/>
              </w:rPr>
              <w:t>Accrued promotional allowances</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158,824</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110,237</w:t>
            </w:r>
          </w:p>
        </w:tc>
        <w:tc>
          <w:tcPr>
            <w:tcW w:w="0" w:type="dxa"/>
            <w:vAlign w:val="bottom"/>
          </w:tcPr>
          <w:p>
            <w:pPr>
              <w:spacing w:after="0"/>
              <w:rPr>
                <w:sz w:val="1"/>
                <w:szCs w:val="1"/>
                <w:color w:val="auto"/>
              </w:rPr>
            </w:pPr>
          </w:p>
        </w:tc>
      </w:tr>
      <w:tr>
        <w:trPr>
          <w:trHeight w:val="216"/>
        </w:trPr>
        <w:tc>
          <w:tcPr>
            <w:tcW w:w="8300" w:type="dxa"/>
            <w:vAlign w:val="bottom"/>
            <w:gridSpan w:val="3"/>
          </w:tcPr>
          <w:p>
            <w:pPr>
              <w:spacing w:after="0"/>
              <w:rPr>
                <w:sz w:val="20"/>
                <w:szCs w:val="20"/>
                <w:color w:val="auto"/>
              </w:rPr>
            </w:pPr>
            <w:r>
              <w:rPr>
                <w:rFonts w:ascii="Arial" w:cs="Arial" w:eastAsia="Arial" w:hAnsi="Arial"/>
                <w:sz w:val="16"/>
                <w:szCs w:val="16"/>
                <w:color w:val="auto"/>
              </w:rPr>
              <w:t>Accrued distributor terminations</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15,656</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8,184</w:t>
            </w:r>
          </w:p>
        </w:tc>
        <w:tc>
          <w:tcPr>
            <w:tcW w:w="0" w:type="dxa"/>
            <w:vAlign w:val="bottom"/>
          </w:tcPr>
          <w:p>
            <w:pPr>
              <w:spacing w:after="0"/>
              <w:rPr>
                <w:sz w:val="1"/>
                <w:szCs w:val="1"/>
                <w:color w:val="auto"/>
              </w:rPr>
            </w:pPr>
          </w:p>
        </w:tc>
      </w:tr>
      <w:tr>
        <w:trPr>
          <w:trHeight w:val="216"/>
        </w:trPr>
        <w:tc>
          <w:tcPr>
            <w:tcW w:w="8300" w:type="dxa"/>
            <w:vAlign w:val="bottom"/>
            <w:gridSpan w:val="3"/>
          </w:tcPr>
          <w:p>
            <w:pPr>
              <w:spacing w:after="0"/>
              <w:rPr>
                <w:sz w:val="20"/>
                <w:szCs w:val="20"/>
                <w:color w:val="auto"/>
              </w:rPr>
            </w:pPr>
            <w:r>
              <w:rPr>
                <w:rFonts w:ascii="Arial" w:cs="Arial" w:eastAsia="Arial" w:hAnsi="Arial"/>
                <w:sz w:val="16"/>
                <w:szCs w:val="16"/>
                <w:color w:val="auto"/>
              </w:rPr>
              <w:t>Deferred revenue</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43,566</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41,672</w:t>
            </w:r>
          </w:p>
        </w:tc>
        <w:tc>
          <w:tcPr>
            <w:tcW w:w="0" w:type="dxa"/>
            <w:vAlign w:val="bottom"/>
          </w:tcPr>
          <w:p>
            <w:pPr>
              <w:spacing w:after="0"/>
              <w:rPr>
                <w:sz w:val="1"/>
                <w:szCs w:val="1"/>
                <w:color w:val="auto"/>
              </w:rPr>
            </w:pPr>
          </w:p>
        </w:tc>
      </w:tr>
      <w:tr>
        <w:trPr>
          <w:trHeight w:val="216"/>
        </w:trPr>
        <w:tc>
          <w:tcPr>
            <w:tcW w:w="8300" w:type="dxa"/>
            <w:vAlign w:val="bottom"/>
            <w:gridSpan w:val="3"/>
          </w:tcPr>
          <w:p>
            <w:pPr>
              <w:spacing w:after="0"/>
              <w:rPr>
                <w:sz w:val="20"/>
                <w:szCs w:val="20"/>
                <w:color w:val="auto"/>
              </w:rPr>
            </w:pPr>
            <w:r>
              <w:rPr>
                <w:rFonts w:ascii="Arial" w:cs="Arial" w:eastAsia="Arial" w:hAnsi="Arial"/>
                <w:sz w:val="16"/>
                <w:szCs w:val="16"/>
                <w:color w:val="auto"/>
              </w:rPr>
              <w:t>Accrued compensation</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27,199</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30,043</w:t>
            </w:r>
          </w:p>
        </w:tc>
        <w:tc>
          <w:tcPr>
            <w:tcW w:w="0" w:type="dxa"/>
            <w:vAlign w:val="bottom"/>
          </w:tcPr>
          <w:p>
            <w:pPr>
              <w:spacing w:after="0"/>
              <w:rPr>
                <w:sz w:val="1"/>
                <w:szCs w:val="1"/>
                <w:color w:val="auto"/>
              </w:rPr>
            </w:pPr>
          </w:p>
        </w:tc>
      </w:tr>
      <w:tr>
        <w:trPr>
          <w:trHeight w:val="216"/>
        </w:trPr>
        <w:tc>
          <w:tcPr>
            <w:tcW w:w="8300" w:type="dxa"/>
            <w:vAlign w:val="bottom"/>
            <w:gridSpan w:val="3"/>
          </w:tcPr>
          <w:p>
            <w:pPr>
              <w:spacing w:after="0"/>
              <w:rPr>
                <w:sz w:val="20"/>
                <w:szCs w:val="20"/>
                <w:color w:val="auto"/>
              </w:rPr>
            </w:pPr>
            <w:r>
              <w:rPr>
                <w:rFonts w:ascii="Arial" w:cs="Arial" w:eastAsia="Arial" w:hAnsi="Arial"/>
                <w:sz w:val="16"/>
                <w:szCs w:val="16"/>
                <w:color w:val="auto"/>
              </w:rPr>
              <w:t>Income taxes payable</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10,156</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7,657</w:t>
            </w:r>
          </w:p>
        </w:tc>
        <w:tc>
          <w:tcPr>
            <w:tcW w:w="0" w:type="dxa"/>
            <w:vAlign w:val="bottom"/>
          </w:tcPr>
          <w:p>
            <w:pPr>
              <w:spacing w:after="0"/>
              <w:rPr>
                <w:sz w:val="1"/>
                <w:szCs w:val="1"/>
                <w:color w:val="auto"/>
              </w:rPr>
            </w:pPr>
          </w:p>
        </w:tc>
      </w:tr>
      <w:tr>
        <w:trPr>
          <w:trHeight w:val="210"/>
        </w:trPr>
        <w:tc>
          <w:tcPr>
            <w:tcW w:w="8300" w:type="dxa"/>
            <w:vAlign w:val="bottom"/>
            <w:gridSpan w:val="3"/>
          </w:tcPr>
          <w:p>
            <w:pPr>
              <w:ind w:left="200"/>
              <w:spacing w:after="0"/>
              <w:rPr>
                <w:sz w:val="20"/>
                <w:szCs w:val="20"/>
                <w:color w:val="auto"/>
              </w:rPr>
            </w:pPr>
            <w:r>
              <w:rPr>
                <w:rFonts w:ascii="Arial" w:cs="Arial" w:eastAsia="Arial" w:hAnsi="Arial"/>
                <w:sz w:val="16"/>
                <w:szCs w:val="16"/>
                <w:color w:val="auto"/>
              </w:rPr>
              <w:t>Total current liabilities</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597,684</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470,589</w:t>
            </w:r>
          </w:p>
        </w:tc>
        <w:tc>
          <w:tcPr>
            <w:tcW w:w="0" w:type="dxa"/>
            <w:vAlign w:val="bottom"/>
          </w:tcPr>
          <w:p>
            <w:pPr>
              <w:spacing w:after="0"/>
              <w:rPr>
                <w:sz w:val="1"/>
                <w:szCs w:val="1"/>
                <w:color w:val="auto"/>
              </w:rPr>
            </w:pPr>
          </w:p>
        </w:tc>
      </w:tr>
      <w:tr>
        <w:trPr>
          <w:trHeight w:val="324"/>
        </w:trPr>
        <w:tc>
          <w:tcPr>
            <w:tcW w:w="8300" w:type="dxa"/>
            <w:vAlign w:val="bottom"/>
            <w:gridSpan w:val="3"/>
          </w:tcPr>
          <w:p>
            <w:pPr>
              <w:spacing w:after="0"/>
              <w:rPr>
                <w:sz w:val="20"/>
                <w:szCs w:val="20"/>
                <w:color w:val="auto"/>
              </w:rPr>
            </w:pPr>
            <w:r>
              <w:rPr>
                <w:rFonts w:ascii="Arial" w:cs="Arial" w:eastAsia="Arial" w:hAnsi="Arial"/>
                <w:sz w:val="16"/>
                <w:szCs w:val="16"/>
                <w:color w:val="auto"/>
              </w:rPr>
              <w:t>DEFERRED REVENUE</w:t>
            </w: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342,249</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353,173</w:t>
            </w:r>
          </w:p>
        </w:tc>
        <w:tc>
          <w:tcPr>
            <w:tcW w:w="0" w:type="dxa"/>
            <w:vAlign w:val="bottom"/>
          </w:tcPr>
          <w:p>
            <w:pPr>
              <w:spacing w:after="0"/>
              <w:rPr>
                <w:sz w:val="1"/>
                <w:szCs w:val="1"/>
                <w:color w:val="auto"/>
              </w:rPr>
            </w:pPr>
          </w:p>
        </w:tc>
      </w:tr>
      <w:tr>
        <w:trPr>
          <w:trHeight w:val="324"/>
        </w:trPr>
        <w:tc>
          <w:tcPr>
            <w:tcW w:w="8300" w:type="dxa"/>
            <w:vAlign w:val="bottom"/>
            <w:gridSpan w:val="3"/>
          </w:tcPr>
          <w:p>
            <w:pPr>
              <w:spacing w:after="0"/>
              <w:rPr>
                <w:sz w:val="20"/>
                <w:szCs w:val="20"/>
                <w:color w:val="auto"/>
              </w:rPr>
            </w:pPr>
            <w:r>
              <w:rPr>
                <w:rFonts w:ascii="Arial" w:cs="Arial" w:eastAsia="Arial" w:hAnsi="Arial"/>
                <w:sz w:val="16"/>
                <w:szCs w:val="16"/>
                <w:color w:val="auto"/>
              </w:rPr>
              <w:t>OTHER LIABILITIES</w:t>
            </w: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819</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24"/>
        </w:trPr>
        <w:tc>
          <w:tcPr>
            <w:tcW w:w="8300" w:type="dxa"/>
            <w:vAlign w:val="bottom"/>
            <w:gridSpan w:val="3"/>
          </w:tcPr>
          <w:p>
            <w:pPr>
              <w:spacing w:after="0"/>
              <w:rPr>
                <w:sz w:val="20"/>
                <w:szCs w:val="20"/>
                <w:color w:val="auto"/>
              </w:rPr>
            </w:pPr>
            <w:r>
              <w:rPr>
                <w:rFonts w:ascii="Arial" w:cs="Arial" w:eastAsia="Arial" w:hAnsi="Arial"/>
                <w:sz w:val="16"/>
                <w:szCs w:val="16"/>
                <w:color w:val="auto"/>
              </w:rPr>
              <w:t>COMMITMENTS AND CONTINGENCIES (Note 10)</w:t>
            </w: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300" w:type="dxa"/>
            <w:vAlign w:val="bottom"/>
            <w:gridSpan w:val="3"/>
          </w:tcPr>
          <w:p>
            <w:pPr>
              <w:spacing w:after="0"/>
              <w:rPr>
                <w:sz w:val="20"/>
                <w:szCs w:val="20"/>
                <w:color w:val="auto"/>
              </w:rPr>
            </w:pPr>
            <w:r>
              <w:rPr>
                <w:rFonts w:ascii="Arial" w:cs="Arial" w:eastAsia="Arial" w:hAnsi="Arial"/>
                <w:sz w:val="16"/>
                <w:szCs w:val="16"/>
                <w:color w:val="auto"/>
              </w:rPr>
              <w:t>STOCKHOLDERS’ EQUITY:</w:t>
            </w: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8300" w:type="dxa"/>
            <w:vAlign w:val="bottom"/>
            <w:gridSpan w:val="3"/>
          </w:tcPr>
          <w:p>
            <w:pPr>
              <w:spacing w:after="0"/>
              <w:rPr>
                <w:sz w:val="20"/>
                <w:szCs w:val="20"/>
                <w:color w:val="auto"/>
              </w:rPr>
            </w:pPr>
            <w:r>
              <w:rPr>
                <w:rFonts w:ascii="Arial" w:cs="Arial" w:eastAsia="Arial" w:hAnsi="Arial"/>
                <w:sz w:val="16"/>
                <w:szCs w:val="16"/>
                <w:color w:val="auto"/>
              </w:rPr>
              <w:t>Common stock - $0.005 par value; 1,250,000 shares authorized;</w:t>
            </w: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00" w:type="dxa"/>
            <w:vAlign w:val="bottom"/>
            <w:gridSpan w:val="3"/>
          </w:tcPr>
          <w:p>
            <w:pPr>
              <w:ind w:left="180"/>
              <w:spacing w:after="0"/>
              <w:rPr>
                <w:sz w:val="20"/>
                <w:szCs w:val="20"/>
                <w:color w:val="auto"/>
              </w:rPr>
            </w:pPr>
            <w:r>
              <w:rPr>
                <w:rFonts w:ascii="Arial" w:cs="Arial" w:eastAsia="Arial" w:hAnsi="Arial"/>
                <w:sz w:val="16"/>
                <w:szCs w:val="16"/>
                <w:color w:val="auto"/>
              </w:rPr>
              <w:t>625,132 shares issued and 563,959 outstanding as of September 30, 2017;</w:t>
            </w: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300" w:type="dxa"/>
            <w:vAlign w:val="bottom"/>
            <w:gridSpan w:val="3"/>
          </w:tcPr>
          <w:p>
            <w:pPr>
              <w:ind w:left="180"/>
              <w:spacing w:after="0"/>
              <w:rPr>
                <w:sz w:val="20"/>
                <w:szCs w:val="20"/>
                <w:color w:val="auto"/>
              </w:rPr>
            </w:pPr>
            <w:r>
              <w:rPr>
                <w:rFonts w:ascii="Arial" w:cs="Arial" w:eastAsia="Arial" w:hAnsi="Arial"/>
                <w:sz w:val="16"/>
                <w:szCs w:val="16"/>
                <w:color w:val="auto"/>
              </w:rPr>
              <w:t>623,201 shares issued and 566,566 outstanding as of December 31, 2016</w:t>
            </w: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3,126</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3,116</w:t>
            </w:r>
          </w:p>
        </w:tc>
        <w:tc>
          <w:tcPr>
            <w:tcW w:w="0" w:type="dxa"/>
            <w:vAlign w:val="bottom"/>
          </w:tcPr>
          <w:p>
            <w:pPr>
              <w:spacing w:after="0"/>
              <w:rPr>
                <w:sz w:val="1"/>
                <w:szCs w:val="1"/>
                <w:color w:val="auto"/>
              </w:rPr>
            </w:pPr>
          </w:p>
        </w:tc>
      </w:tr>
      <w:tr>
        <w:trPr>
          <w:trHeight w:val="216"/>
        </w:trPr>
        <w:tc>
          <w:tcPr>
            <w:tcW w:w="8300" w:type="dxa"/>
            <w:vAlign w:val="bottom"/>
            <w:gridSpan w:val="3"/>
          </w:tcPr>
          <w:p>
            <w:pPr>
              <w:spacing w:after="0"/>
              <w:rPr>
                <w:sz w:val="20"/>
                <w:szCs w:val="20"/>
                <w:color w:val="auto"/>
              </w:rPr>
            </w:pPr>
            <w:r>
              <w:rPr>
                <w:rFonts w:ascii="Arial" w:cs="Arial" w:eastAsia="Arial" w:hAnsi="Arial"/>
                <w:sz w:val="16"/>
                <w:szCs w:val="16"/>
                <w:color w:val="auto"/>
              </w:rPr>
              <w:t>Additional paid-in capital</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4,111,781</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4,051,245</w:t>
            </w:r>
          </w:p>
        </w:tc>
        <w:tc>
          <w:tcPr>
            <w:tcW w:w="0" w:type="dxa"/>
            <w:vAlign w:val="bottom"/>
          </w:tcPr>
          <w:p>
            <w:pPr>
              <w:spacing w:after="0"/>
              <w:rPr>
                <w:sz w:val="1"/>
                <w:szCs w:val="1"/>
                <w:color w:val="auto"/>
              </w:rPr>
            </w:pPr>
          </w:p>
        </w:tc>
      </w:tr>
      <w:tr>
        <w:trPr>
          <w:trHeight w:val="216"/>
        </w:trPr>
        <w:tc>
          <w:tcPr>
            <w:tcW w:w="8300" w:type="dxa"/>
            <w:vAlign w:val="bottom"/>
            <w:gridSpan w:val="3"/>
          </w:tcPr>
          <w:p>
            <w:pPr>
              <w:spacing w:after="0"/>
              <w:rPr>
                <w:sz w:val="20"/>
                <w:szCs w:val="20"/>
                <w:color w:val="auto"/>
              </w:rPr>
            </w:pPr>
            <w:r>
              <w:rPr>
                <w:rFonts w:ascii="Arial" w:cs="Arial" w:eastAsia="Arial" w:hAnsi="Arial"/>
                <w:sz w:val="16"/>
                <w:szCs w:val="16"/>
                <w:color w:val="auto"/>
              </w:rPr>
              <w:t>Retained earnings</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2,726,904</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2,107,548</w:t>
            </w:r>
          </w:p>
        </w:tc>
        <w:tc>
          <w:tcPr>
            <w:tcW w:w="0" w:type="dxa"/>
            <w:vAlign w:val="bottom"/>
          </w:tcPr>
          <w:p>
            <w:pPr>
              <w:spacing w:after="0"/>
              <w:rPr>
                <w:sz w:val="1"/>
                <w:szCs w:val="1"/>
                <w:color w:val="auto"/>
              </w:rPr>
            </w:pPr>
          </w:p>
        </w:tc>
      </w:tr>
      <w:tr>
        <w:trPr>
          <w:trHeight w:val="216"/>
        </w:trPr>
        <w:tc>
          <w:tcPr>
            <w:tcW w:w="8300" w:type="dxa"/>
            <w:vAlign w:val="bottom"/>
            <w:gridSpan w:val="3"/>
          </w:tcPr>
          <w:p>
            <w:pPr>
              <w:spacing w:after="0"/>
              <w:rPr>
                <w:sz w:val="20"/>
                <w:szCs w:val="20"/>
                <w:color w:val="auto"/>
              </w:rPr>
            </w:pPr>
            <w:r>
              <w:rPr>
                <w:rFonts w:ascii="Arial" w:cs="Arial" w:eastAsia="Arial" w:hAnsi="Arial"/>
                <w:sz w:val="16"/>
                <w:szCs w:val="16"/>
                <w:color w:val="auto"/>
              </w:rPr>
              <w:t>Accumulated other comprehensive loss</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(15,533)</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(23,249)</w:t>
            </w:r>
          </w:p>
        </w:tc>
        <w:tc>
          <w:tcPr>
            <w:tcW w:w="0" w:type="dxa"/>
            <w:vAlign w:val="bottom"/>
          </w:tcPr>
          <w:p>
            <w:pPr>
              <w:spacing w:after="0"/>
              <w:rPr>
                <w:sz w:val="1"/>
                <w:szCs w:val="1"/>
                <w:color w:val="auto"/>
              </w:rPr>
            </w:pPr>
          </w:p>
        </w:tc>
      </w:tr>
      <w:tr>
        <w:trPr>
          <w:trHeight w:val="212"/>
        </w:trPr>
        <w:tc>
          <w:tcPr>
            <w:tcW w:w="8300" w:type="dxa"/>
            <w:vAlign w:val="bottom"/>
            <w:gridSpan w:val="3"/>
          </w:tcPr>
          <w:p>
            <w:pPr>
              <w:spacing w:after="0"/>
              <w:rPr>
                <w:sz w:val="20"/>
                <w:szCs w:val="20"/>
                <w:color w:val="auto"/>
              </w:rPr>
            </w:pPr>
            <w:r>
              <w:rPr>
                <w:rFonts w:ascii="Arial" w:cs="Arial" w:eastAsia="Arial" w:hAnsi="Arial"/>
                <w:sz w:val="16"/>
                <w:szCs w:val="16"/>
                <w:color w:val="auto"/>
                <w:w w:val="96"/>
              </w:rPr>
              <w:t>Common stock in treasury, at cost; 61,173 shares and 56,635 shares as of September 30, 2017 and December 31, 2016,</w:t>
            </w: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300" w:type="dxa"/>
            <w:vAlign w:val="bottom"/>
            <w:gridSpan w:val="3"/>
          </w:tcPr>
          <w:p>
            <w:pPr>
              <w:ind w:left="180"/>
              <w:spacing w:after="0"/>
              <w:rPr>
                <w:sz w:val="20"/>
                <w:szCs w:val="20"/>
                <w:color w:val="auto"/>
              </w:rPr>
            </w:pPr>
            <w:r>
              <w:rPr>
                <w:rFonts w:ascii="Arial" w:cs="Arial" w:eastAsia="Arial" w:hAnsi="Arial"/>
                <w:sz w:val="16"/>
                <w:szCs w:val="16"/>
                <w:color w:val="auto"/>
              </w:rPr>
              <w:t>respectively</w:t>
            </w: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(3,058,124)</w:t>
            </w:r>
          </w:p>
        </w:tc>
        <w:tc>
          <w:tcPr>
            <w:tcW w:w="2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(2,808,951)</w:t>
            </w:r>
          </w:p>
        </w:tc>
        <w:tc>
          <w:tcPr>
            <w:tcW w:w="0" w:type="dxa"/>
            <w:vAlign w:val="bottom"/>
          </w:tcPr>
          <w:p>
            <w:pPr>
              <w:spacing w:after="0"/>
              <w:rPr>
                <w:sz w:val="1"/>
                <w:szCs w:val="1"/>
                <w:color w:val="auto"/>
              </w:rPr>
            </w:pPr>
          </w:p>
        </w:tc>
      </w:tr>
      <w:tr>
        <w:trPr>
          <w:trHeight w:val="210"/>
        </w:trPr>
        <w:tc>
          <w:tcPr>
            <w:tcW w:w="8300" w:type="dxa"/>
            <w:vAlign w:val="bottom"/>
            <w:gridSpan w:val="3"/>
          </w:tcPr>
          <w:p>
            <w:pPr>
              <w:ind w:left="200"/>
              <w:spacing w:after="0"/>
              <w:rPr>
                <w:sz w:val="20"/>
                <w:szCs w:val="20"/>
                <w:color w:val="auto"/>
              </w:rPr>
            </w:pPr>
            <w:r>
              <w:rPr>
                <w:rFonts w:ascii="Arial" w:cs="Arial" w:eastAsia="Arial" w:hAnsi="Arial"/>
                <w:sz w:val="16"/>
                <w:szCs w:val="16"/>
                <w:color w:val="auto"/>
              </w:rPr>
              <w:t>Total stockholders’ equity</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3,768,154</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3,329,709</w:t>
            </w:r>
          </w:p>
        </w:tc>
        <w:tc>
          <w:tcPr>
            <w:tcW w:w="0" w:type="dxa"/>
            <w:vAlign w:val="bottom"/>
          </w:tcPr>
          <w:p>
            <w:pPr>
              <w:spacing w:after="0"/>
              <w:rPr>
                <w:sz w:val="1"/>
                <w:szCs w:val="1"/>
                <w:color w:val="auto"/>
              </w:rPr>
            </w:pPr>
          </w:p>
        </w:tc>
      </w:tr>
      <w:tr>
        <w:trPr>
          <w:trHeight w:val="213"/>
        </w:trPr>
        <w:tc>
          <w:tcPr>
            <w:tcW w:w="2240" w:type="dxa"/>
            <w:vAlign w:val="bottom"/>
          </w:tcPr>
          <w:p>
            <w:pPr>
              <w:spacing w:after="0"/>
              <w:rPr>
                <w:sz w:val="18"/>
                <w:szCs w:val="18"/>
                <w:color w:val="auto"/>
              </w:rPr>
            </w:pPr>
          </w:p>
        </w:tc>
        <w:tc>
          <w:tcPr>
            <w:tcW w:w="6060" w:type="dxa"/>
            <w:vAlign w:val="bottom"/>
            <w:gridSpan w:val="2"/>
          </w:tcPr>
          <w:p>
            <w:pPr>
              <w:jc w:val="center"/>
              <w:ind w:right="2520"/>
              <w:spacing w:after="0"/>
              <w:rPr>
                <w:sz w:val="20"/>
                <w:szCs w:val="20"/>
                <w:color w:val="auto"/>
              </w:rPr>
            </w:pPr>
            <w:r>
              <w:rPr>
                <w:rFonts w:ascii="Arial" w:cs="Arial" w:eastAsia="Arial" w:hAnsi="Arial"/>
                <w:sz w:val="16"/>
                <w:szCs w:val="16"/>
                <w:b w:val="1"/>
                <w:bCs w:val="1"/>
                <w:color w:val="auto"/>
                <w:w w:val="92"/>
              </w:rPr>
              <w:t>Total Liabilities and Stockholders’ Equity</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4,708,906</w:t>
            </w:r>
          </w:p>
        </w:tc>
        <w:tc>
          <w:tcPr>
            <w:tcW w:w="280" w:type="dxa"/>
            <w:vAlign w:val="bottom"/>
          </w:tcPr>
          <w:p>
            <w:pPr>
              <w:spacing w:after="0"/>
              <w:rPr>
                <w:sz w:val="18"/>
                <w:szCs w:val="18"/>
                <w:color w:val="auto"/>
              </w:rPr>
            </w:pP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4,153,471</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CONDENSED CONSOLIDATED STATEMENTS OF INCOME</w:t>
      </w:r>
    </w:p>
    <w:p>
      <w:pPr>
        <w:ind w:right="3980"/>
        <w:spacing w:after="0" w:line="244" w:lineRule="auto"/>
        <w:rPr>
          <w:sz w:val="20"/>
          <w:szCs w:val="20"/>
          <w:color w:val="auto"/>
        </w:rPr>
      </w:pPr>
      <w:r>
        <w:rPr>
          <w:rFonts w:ascii="Arial" w:cs="Arial" w:eastAsia="Arial" w:hAnsi="Arial"/>
          <w:sz w:val="20"/>
          <w:szCs w:val="20"/>
          <w:b w:val="1"/>
          <w:bCs w:val="1"/>
          <w:color w:val="auto"/>
        </w:rPr>
        <w:t>FOR THE THREE- AND NINE-MONTHS ENDED SEPTEMBER 30, 2017 AND 2016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60" w:type="dxa"/>
            <w:vAlign w:val="bottom"/>
            <w:gridSpan w:val="5"/>
          </w:tcPr>
          <w:p>
            <w:pPr>
              <w:ind w:left="240"/>
              <w:spacing w:after="0"/>
              <w:rPr>
                <w:sz w:val="20"/>
                <w:szCs w:val="20"/>
                <w:color w:val="auto"/>
              </w:rPr>
            </w:pPr>
            <w:r>
              <w:rPr>
                <w:rFonts w:ascii="Arial" w:cs="Arial" w:eastAsia="Arial" w:hAnsi="Arial"/>
                <w:sz w:val="18"/>
                <w:szCs w:val="18"/>
                <w:b w:val="1"/>
                <w:bCs w:val="1"/>
                <w:color w:val="auto"/>
              </w:rPr>
              <w:t>Three-Months Ended</w:t>
            </w:r>
          </w:p>
        </w:tc>
        <w:tc>
          <w:tcPr>
            <w:tcW w:w="280" w:type="dxa"/>
            <w:vAlign w:val="bottom"/>
          </w:tcPr>
          <w:p>
            <w:pPr>
              <w:spacing w:after="0"/>
              <w:rPr>
                <w:sz w:val="18"/>
                <w:szCs w:val="18"/>
                <w:color w:val="auto"/>
              </w:rPr>
            </w:pPr>
          </w:p>
        </w:tc>
        <w:tc>
          <w:tcPr>
            <w:tcW w:w="242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Nine-Months Ended</w:t>
            </w:r>
          </w:p>
        </w:tc>
        <w:tc>
          <w:tcPr>
            <w:tcW w:w="0" w:type="dxa"/>
            <w:vAlign w:val="bottom"/>
          </w:tcPr>
          <w:p>
            <w:pPr>
              <w:spacing w:after="0"/>
              <w:rPr>
                <w:sz w:val="1"/>
                <w:szCs w:val="1"/>
                <w:color w:val="auto"/>
              </w:rPr>
            </w:pPr>
          </w:p>
        </w:tc>
      </w:tr>
      <w:tr>
        <w:trPr>
          <w:trHeight w:val="234"/>
        </w:trPr>
        <w:tc>
          <w:tcPr>
            <w:tcW w:w="55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5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3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89"/>
              </w:rPr>
              <w:t>2016</w:t>
            </w:r>
          </w:p>
        </w:tc>
        <w:tc>
          <w:tcPr>
            <w:tcW w:w="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89"/>
              </w:rPr>
              <w:t>2016</w:t>
            </w:r>
          </w:p>
        </w:tc>
        <w:tc>
          <w:tcPr>
            <w:tcW w:w="0" w:type="dxa"/>
            <w:vAlign w:val="bottom"/>
          </w:tcPr>
          <w:p>
            <w:pPr>
              <w:spacing w:after="0"/>
              <w:rPr>
                <w:sz w:val="1"/>
                <w:szCs w:val="1"/>
                <w:color w:val="auto"/>
              </w:rPr>
            </w:pPr>
          </w:p>
        </w:tc>
      </w:tr>
      <w:tr>
        <w:trPr>
          <w:trHeight w:val="426"/>
        </w:trPr>
        <w:tc>
          <w:tcPr>
            <w:tcW w:w="5560" w:type="dxa"/>
            <w:vAlign w:val="bottom"/>
          </w:tcPr>
          <w:p>
            <w:pPr>
              <w:spacing w:after="0"/>
              <w:rPr>
                <w:sz w:val="20"/>
                <w:szCs w:val="20"/>
                <w:color w:val="auto"/>
              </w:rPr>
            </w:pPr>
            <w:r>
              <w:rPr>
                <w:rFonts w:ascii="Arial" w:cs="Arial" w:eastAsia="Arial" w:hAnsi="Arial"/>
                <w:sz w:val="18"/>
                <w:szCs w:val="18"/>
                <w:color w:val="auto"/>
              </w:rPr>
              <w:t>NET SALES</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909,476</w:t>
            </w:r>
          </w:p>
        </w:tc>
        <w:tc>
          <w:tcPr>
            <w:tcW w:w="300" w:type="dxa"/>
            <w:vAlign w:val="bottom"/>
          </w:tcPr>
          <w:p>
            <w:pPr>
              <w:spacing w:after="0"/>
              <w:rPr>
                <w:sz w:val="24"/>
                <w:szCs w:val="24"/>
                <w:color w:val="auto"/>
              </w:rPr>
            </w:pP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787,954</w:t>
            </w:r>
          </w:p>
        </w:tc>
        <w:tc>
          <w:tcPr>
            <w:tcW w:w="320" w:type="dxa"/>
            <w:vAlign w:val="bottom"/>
          </w:tcPr>
          <w:p>
            <w:pPr>
              <w:spacing w:after="0"/>
              <w:rPr>
                <w:sz w:val="24"/>
                <w:szCs w:val="24"/>
                <w:color w:val="auto"/>
              </w:rPr>
            </w:pP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2,558,690</w:t>
            </w:r>
          </w:p>
        </w:tc>
        <w:tc>
          <w:tcPr>
            <w:tcW w:w="280" w:type="dxa"/>
            <w:vAlign w:val="bottom"/>
          </w:tcPr>
          <w:p>
            <w:pPr>
              <w:spacing w:after="0"/>
              <w:rPr>
                <w:sz w:val="24"/>
                <w:szCs w:val="24"/>
                <w:color w:val="auto"/>
              </w:rPr>
            </w:pP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7"/>
              </w:rPr>
              <w:t>2,295,628</w:t>
            </w:r>
          </w:p>
        </w:tc>
        <w:tc>
          <w:tcPr>
            <w:tcW w:w="0" w:type="dxa"/>
            <w:vAlign w:val="bottom"/>
          </w:tcPr>
          <w:p>
            <w:pPr>
              <w:spacing w:after="0"/>
              <w:rPr>
                <w:sz w:val="1"/>
                <w:szCs w:val="1"/>
                <w:color w:val="auto"/>
              </w:rPr>
            </w:pPr>
          </w:p>
        </w:tc>
      </w:tr>
      <w:tr>
        <w:trPr>
          <w:trHeight w:val="432"/>
        </w:trPr>
        <w:tc>
          <w:tcPr>
            <w:tcW w:w="5560" w:type="dxa"/>
            <w:vAlign w:val="bottom"/>
          </w:tcPr>
          <w:p>
            <w:pPr>
              <w:spacing w:after="0"/>
              <w:rPr>
                <w:sz w:val="20"/>
                <w:szCs w:val="20"/>
                <w:color w:val="auto"/>
              </w:rPr>
            </w:pPr>
            <w:r>
              <w:rPr>
                <w:rFonts w:ascii="Arial" w:cs="Arial" w:eastAsia="Arial" w:hAnsi="Arial"/>
                <w:sz w:val="18"/>
                <w:szCs w:val="18"/>
                <w:color w:val="auto"/>
              </w:rPr>
              <w:t>COST OF SALES</w:t>
            </w: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339,767</w:t>
            </w:r>
          </w:p>
        </w:tc>
        <w:tc>
          <w:tcPr>
            <w:tcW w:w="3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284,979</w:t>
            </w:r>
          </w:p>
        </w:tc>
        <w:tc>
          <w:tcPr>
            <w:tcW w:w="3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924,610</w:t>
            </w:r>
          </w:p>
        </w:tc>
        <w:tc>
          <w:tcPr>
            <w:tcW w:w="2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851,741</w:t>
            </w:r>
          </w:p>
        </w:tc>
        <w:tc>
          <w:tcPr>
            <w:tcW w:w="0" w:type="dxa"/>
            <w:vAlign w:val="bottom"/>
          </w:tcPr>
          <w:p>
            <w:pPr>
              <w:spacing w:after="0"/>
              <w:rPr>
                <w:sz w:val="1"/>
                <w:szCs w:val="1"/>
                <w:color w:val="auto"/>
              </w:rPr>
            </w:pPr>
          </w:p>
        </w:tc>
      </w:tr>
      <w:tr>
        <w:trPr>
          <w:trHeight w:val="426"/>
        </w:trPr>
        <w:tc>
          <w:tcPr>
            <w:tcW w:w="5560" w:type="dxa"/>
            <w:vAlign w:val="bottom"/>
          </w:tcPr>
          <w:p>
            <w:pPr>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569,709</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502,975</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1,634,080</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7"/>
              </w:rPr>
              <w:t>1,443,887</w:t>
            </w:r>
          </w:p>
        </w:tc>
        <w:tc>
          <w:tcPr>
            <w:tcW w:w="0" w:type="dxa"/>
            <w:vAlign w:val="bottom"/>
          </w:tcPr>
          <w:p>
            <w:pPr>
              <w:spacing w:after="0"/>
              <w:rPr>
                <w:sz w:val="1"/>
                <w:szCs w:val="1"/>
                <w:color w:val="auto"/>
              </w:rPr>
            </w:pPr>
          </w:p>
        </w:tc>
      </w:tr>
      <w:tr>
        <w:trPr>
          <w:trHeight w:val="432"/>
        </w:trPr>
        <w:tc>
          <w:tcPr>
            <w:tcW w:w="5560" w:type="dxa"/>
            <w:vAlign w:val="bottom"/>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252,337</w:t>
            </w:r>
          </w:p>
        </w:tc>
        <w:tc>
          <w:tcPr>
            <w:tcW w:w="3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212,600</w:t>
            </w:r>
          </w:p>
        </w:tc>
        <w:tc>
          <w:tcPr>
            <w:tcW w:w="3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702,405</w:t>
            </w:r>
          </w:p>
        </w:tc>
        <w:tc>
          <w:tcPr>
            <w:tcW w:w="2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610,277</w:t>
            </w:r>
          </w:p>
        </w:tc>
        <w:tc>
          <w:tcPr>
            <w:tcW w:w="0" w:type="dxa"/>
            <w:vAlign w:val="bottom"/>
          </w:tcPr>
          <w:p>
            <w:pPr>
              <w:spacing w:after="0"/>
              <w:rPr>
                <w:sz w:val="1"/>
                <w:szCs w:val="1"/>
                <w:color w:val="auto"/>
              </w:rPr>
            </w:pPr>
          </w:p>
        </w:tc>
      </w:tr>
      <w:tr>
        <w:trPr>
          <w:trHeight w:val="426"/>
        </w:trPr>
        <w:tc>
          <w:tcPr>
            <w:tcW w:w="5560" w:type="dxa"/>
            <w:vAlign w:val="bottom"/>
          </w:tcPr>
          <w:p>
            <w:pPr>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317,372</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290,375</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931,675</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833,610</w:t>
            </w:r>
          </w:p>
        </w:tc>
        <w:tc>
          <w:tcPr>
            <w:tcW w:w="0" w:type="dxa"/>
            <w:vAlign w:val="bottom"/>
          </w:tcPr>
          <w:p>
            <w:pPr>
              <w:spacing w:after="0"/>
              <w:rPr>
                <w:sz w:val="1"/>
                <w:szCs w:val="1"/>
                <w:color w:val="auto"/>
              </w:rPr>
            </w:pPr>
          </w:p>
        </w:tc>
      </w:tr>
      <w:tr>
        <w:trPr>
          <w:trHeight w:val="432"/>
        </w:trPr>
        <w:tc>
          <w:tcPr>
            <w:tcW w:w="5560" w:type="dxa"/>
            <w:vAlign w:val="bottom"/>
          </w:tcPr>
          <w:p>
            <w:pPr>
              <w:spacing w:after="0"/>
              <w:rPr>
                <w:sz w:val="20"/>
                <w:szCs w:val="20"/>
                <w:color w:val="auto"/>
              </w:rPr>
            </w:pPr>
            <w:r>
              <w:rPr>
                <w:rFonts w:ascii="Arial" w:cs="Arial" w:eastAsia="Arial" w:hAnsi="Arial"/>
                <w:sz w:val="18"/>
                <w:szCs w:val="18"/>
                <w:color w:val="auto"/>
              </w:rPr>
              <w:t>INTEREST and OTHER INCOME (EXPENSE), net</w:t>
            </w: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3,996</w:t>
            </w:r>
          </w:p>
        </w:tc>
        <w:tc>
          <w:tcPr>
            <w:tcW w:w="3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w:t>
            </w:r>
          </w:p>
        </w:tc>
        <w:tc>
          <w:tcPr>
            <w:tcW w:w="3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2,103</w:t>
            </w:r>
          </w:p>
        </w:tc>
        <w:tc>
          <w:tcPr>
            <w:tcW w:w="2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426"/>
        </w:trPr>
        <w:tc>
          <w:tcPr>
            <w:tcW w:w="556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321,368</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289,338</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933,778</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832,959</w:t>
            </w:r>
          </w:p>
        </w:tc>
        <w:tc>
          <w:tcPr>
            <w:tcW w:w="0" w:type="dxa"/>
            <w:vAlign w:val="bottom"/>
          </w:tcPr>
          <w:p>
            <w:pPr>
              <w:spacing w:after="0"/>
              <w:rPr>
                <w:sz w:val="1"/>
                <w:szCs w:val="1"/>
                <w:color w:val="auto"/>
              </w:rPr>
            </w:pPr>
          </w:p>
        </w:tc>
      </w:tr>
      <w:tr>
        <w:trPr>
          <w:trHeight w:val="432"/>
        </w:trPr>
        <w:tc>
          <w:tcPr>
            <w:tcW w:w="55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102,624</w:t>
            </w:r>
          </w:p>
        </w:tc>
        <w:tc>
          <w:tcPr>
            <w:tcW w:w="3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97,695</w:t>
            </w:r>
          </w:p>
        </w:tc>
        <w:tc>
          <w:tcPr>
            <w:tcW w:w="3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314,422</w:t>
            </w:r>
          </w:p>
        </w:tc>
        <w:tc>
          <w:tcPr>
            <w:tcW w:w="2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293,221</w:t>
            </w:r>
          </w:p>
        </w:tc>
        <w:tc>
          <w:tcPr>
            <w:tcW w:w="0" w:type="dxa"/>
            <w:vAlign w:val="bottom"/>
          </w:tcPr>
          <w:p>
            <w:pPr>
              <w:spacing w:after="0"/>
              <w:rPr>
                <w:sz w:val="1"/>
                <w:szCs w:val="1"/>
                <w:color w:val="auto"/>
              </w:rPr>
            </w:pPr>
          </w:p>
        </w:tc>
      </w:tr>
      <w:tr>
        <w:trPr>
          <w:trHeight w:val="426"/>
        </w:trPr>
        <w:tc>
          <w:tcPr>
            <w:tcW w:w="5560" w:type="dxa"/>
            <w:vAlign w:val="bottom"/>
          </w:tcPr>
          <w:p>
            <w:pPr>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218,744</w:t>
            </w:r>
          </w:p>
        </w:tc>
        <w:tc>
          <w:tcPr>
            <w:tcW w:w="300" w:type="dxa"/>
            <w:vAlign w:val="bottom"/>
          </w:tcPr>
          <w:p>
            <w:pPr>
              <w:spacing w:after="0"/>
              <w:rPr>
                <w:sz w:val="24"/>
                <w:szCs w:val="24"/>
                <w:color w:val="auto"/>
              </w:rPr>
            </w:pP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191,643</w:t>
            </w:r>
          </w:p>
        </w:tc>
        <w:tc>
          <w:tcPr>
            <w:tcW w:w="320" w:type="dxa"/>
            <w:vAlign w:val="bottom"/>
          </w:tcPr>
          <w:p>
            <w:pPr>
              <w:spacing w:after="0"/>
              <w:rPr>
                <w:sz w:val="24"/>
                <w:szCs w:val="24"/>
                <w:color w:val="auto"/>
              </w:rPr>
            </w:pP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619,356</w:t>
            </w:r>
          </w:p>
        </w:tc>
        <w:tc>
          <w:tcPr>
            <w:tcW w:w="280" w:type="dxa"/>
            <w:vAlign w:val="bottom"/>
          </w:tcPr>
          <w:p>
            <w:pPr>
              <w:spacing w:after="0"/>
              <w:rPr>
                <w:sz w:val="24"/>
                <w:szCs w:val="24"/>
                <w:color w:val="auto"/>
              </w:rPr>
            </w:pP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539,738</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8"/>
                <w:szCs w:val="18"/>
                <w:color w:val="auto"/>
              </w:rPr>
              <w:t>NET INCOME PER COMMON SHARE:</w:t>
            </w: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5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36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300" w:type="dxa"/>
            <w:vAlign w:val="bottom"/>
          </w:tcPr>
          <w:p>
            <w:pPr>
              <w:spacing w:after="0"/>
              <w:rPr>
                <w:sz w:val="20"/>
                <w:szCs w:val="20"/>
                <w:color w:val="auto"/>
              </w:rPr>
            </w:pP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0.34</w:t>
            </w:r>
          </w:p>
        </w:tc>
        <w:tc>
          <w:tcPr>
            <w:tcW w:w="320" w:type="dxa"/>
            <w:vAlign w:val="bottom"/>
          </w:tcPr>
          <w:p>
            <w:pPr>
              <w:spacing w:after="0"/>
              <w:rPr>
                <w:sz w:val="20"/>
                <w:szCs w:val="20"/>
                <w:color w:val="auto"/>
              </w:rPr>
            </w:pP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80" w:type="dxa"/>
            <w:vAlign w:val="bottom"/>
          </w:tcPr>
          <w:p>
            <w:pPr>
              <w:spacing w:after="0"/>
              <w:rPr>
                <w:sz w:val="20"/>
                <w:szCs w:val="20"/>
                <w:color w:val="auto"/>
              </w:rPr>
            </w:pP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0"/>
        </w:trPr>
        <w:tc>
          <w:tcPr>
            <w:tcW w:w="5560" w:type="dxa"/>
            <w:vAlign w:val="bottom"/>
            <w:vMerge w:val="restart"/>
          </w:tcPr>
          <w:p>
            <w:pPr>
              <w:ind w:left="36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6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0.38</w:t>
            </w:r>
          </w:p>
        </w:tc>
        <w:tc>
          <w:tcPr>
            <w:tcW w:w="300" w:type="dxa"/>
            <w:vAlign w:val="bottom"/>
          </w:tcPr>
          <w:p>
            <w:pPr>
              <w:spacing w:after="0"/>
              <w:rPr>
                <w:sz w:val="17"/>
                <w:szCs w:val="17"/>
                <w:color w:val="auto"/>
              </w:rPr>
            </w:pPr>
          </w:p>
        </w:tc>
        <w:tc>
          <w:tcPr>
            <w:tcW w:w="42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0.33</w:t>
            </w:r>
          </w:p>
        </w:tc>
        <w:tc>
          <w:tcPr>
            <w:tcW w:w="320" w:type="dxa"/>
            <w:vAlign w:val="bottom"/>
          </w:tcPr>
          <w:p>
            <w:pPr>
              <w:spacing w:after="0"/>
              <w:rPr>
                <w:sz w:val="17"/>
                <w:szCs w:val="17"/>
                <w:color w:val="auto"/>
              </w:rPr>
            </w:pPr>
          </w:p>
        </w:tc>
        <w:tc>
          <w:tcPr>
            <w:tcW w:w="2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1.07</w:t>
            </w:r>
          </w:p>
        </w:tc>
        <w:tc>
          <w:tcPr>
            <w:tcW w:w="280" w:type="dxa"/>
            <w:vAlign w:val="bottom"/>
          </w:tcPr>
          <w:p>
            <w:pPr>
              <w:spacing w:after="0"/>
              <w:rPr>
                <w:sz w:val="17"/>
                <w:szCs w:val="17"/>
                <w:color w:val="auto"/>
              </w:rPr>
            </w:pPr>
          </w:p>
        </w:tc>
        <w:tc>
          <w:tcPr>
            <w:tcW w:w="4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130" w:right="339" w:bottom="0" w:gutter="0" w:footer="0" w:header="0"/>
        </w:sectPr>
      </w:pPr>
    </w:p>
    <w:bookmarkStart w:id="3" w:name="page4"/>
    <w:bookmarkEnd w:id="3"/>
    <w:p>
      <w:pPr>
        <w:spacing w:after="0"/>
        <w:rPr>
          <w:sz w:val="20"/>
          <w:szCs w:val="20"/>
          <w:color w:val="auto"/>
        </w:rPr>
      </w:pPr>
      <w:r>
        <w:rPr>
          <w:rFonts w:ascii="Arial" w:cs="Arial" w:eastAsia="Arial" w:hAnsi="Arial"/>
          <w:sz w:val="17"/>
          <w:szCs w:val="17"/>
          <w:color w:val="auto"/>
        </w:rPr>
        <w:t>WEIGHTED AVERAGE NUMBER OF SHARES OF COMMON</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STOCK AND COMMON STOCK EQUIVALENTS: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Basic</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567,878</w:t>
            </w:r>
          </w:p>
        </w:tc>
        <w:tc>
          <w:tcPr>
            <w:tcW w:w="300" w:type="dxa"/>
            <w:vAlign w:val="bottom"/>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571,137</w:t>
            </w:r>
          </w:p>
        </w:tc>
        <w:tc>
          <w:tcPr>
            <w:tcW w:w="320" w:type="dxa"/>
            <w:vAlign w:val="bottom"/>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567,550</w:t>
            </w:r>
          </w:p>
        </w:tc>
        <w:tc>
          <w:tcPr>
            <w:tcW w:w="280" w:type="dxa"/>
            <w:vAlign w:val="bottom"/>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594,219</w:t>
            </w:r>
          </w:p>
        </w:tc>
      </w:tr>
      <w:tr>
        <w:trPr>
          <w:trHeight w:val="20"/>
        </w:trPr>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97"/>
        </w:trPr>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578,368</w:t>
            </w:r>
          </w:p>
        </w:tc>
        <w:tc>
          <w:tcPr>
            <w:tcW w:w="300" w:type="dxa"/>
            <w:vAlign w:val="bottom"/>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583,293</w:t>
            </w:r>
          </w:p>
        </w:tc>
        <w:tc>
          <w:tcPr>
            <w:tcW w:w="320" w:type="dxa"/>
            <w:vAlign w:val="bottom"/>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577,964</w:t>
            </w:r>
          </w:p>
        </w:tc>
        <w:tc>
          <w:tcPr>
            <w:tcW w:w="280" w:type="dxa"/>
            <w:vAlign w:val="bottom"/>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606,279</w:t>
            </w:r>
          </w:p>
        </w:tc>
      </w:tr>
      <w:tr>
        <w:trPr>
          <w:trHeight w:val="20"/>
        </w:trPr>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840" w:space="720"/>
            <w:col w:w="5760"/>
          </w:cols>
          <w:pgMar w:left="240" w:top="341" w:right="339" w:bottom="0" w:gutter="0" w:footer="0" w:header="0"/>
        </w:sectPr>
      </w:pP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jc w:val="both"/>
        <w:ind w:right="3980"/>
        <w:spacing w:after="0" w:line="241" w:lineRule="auto"/>
        <w:rPr>
          <w:sz w:val="20"/>
          <w:szCs w:val="20"/>
          <w:color w:val="auto"/>
        </w:rPr>
      </w:pPr>
      <w:r>
        <w:rPr>
          <w:rFonts w:ascii="Arial" w:cs="Arial" w:eastAsia="Arial" w:hAnsi="Arial"/>
          <w:sz w:val="20"/>
          <w:szCs w:val="20"/>
          <w:b w:val="1"/>
          <w:bCs w:val="1"/>
          <w:color w:val="auto"/>
        </w:rPr>
        <w:t>CONDENSED CONSOLIDATED STATEMENTS OF COMPREHENSIVE INCOME FOR THE THREE- AND NINE-MONTHS ENDED SEPTEMBER 30, 2017 AND 2016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0" w:type="dxa"/>
            <w:vAlign w:val="bottom"/>
            <w:gridSpan w:val="5"/>
          </w:tcPr>
          <w:p>
            <w:pPr>
              <w:ind w:left="260"/>
              <w:spacing w:after="0"/>
              <w:rPr>
                <w:sz w:val="20"/>
                <w:szCs w:val="20"/>
                <w:color w:val="auto"/>
              </w:rPr>
            </w:pPr>
            <w:r>
              <w:rPr>
                <w:rFonts w:ascii="Arial" w:cs="Arial" w:eastAsia="Arial" w:hAnsi="Arial"/>
                <w:sz w:val="20"/>
                <w:szCs w:val="20"/>
                <w:color w:val="auto"/>
              </w:rPr>
              <w:t>Three-Months Ended</w:t>
            </w:r>
          </w:p>
        </w:tc>
        <w:tc>
          <w:tcPr>
            <w:tcW w:w="340" w:type="dxa"/>
            <w:vAlign w:val="bottom"/>
          </w:tcPr>
          <w:p>
            <w:pPr>
              <w:spacing w:after="0"/>
              <w:rPr>
                <w:sz w:val="19"/>
                <w:szCs w:val="19"/>
                <w:color w:val="auto"/>
              </w:rPr>
            </w:pPr>
          </w:p>
        </w:tc>
        <w:tc>
          <w:tcPr>
            <w:tcW w:w="2580" w:type="dxa"/>
            <w:vAlign w:val="bottom"/>
            <w:gridSpan w:val="4"/>
          </w:tcPr>
          <w:p>
            <w:pPr>
              <w:jc w:val="right"/>
              <w:ind w:right="541"/>
              <w:spacing w:after="0"/>
              <w:rPr>
                <w:sz w:val="20"/>
                <w:szCs w:val="20"/>
                <w:color w:val="auto"/>
              </w:rPr>
            </w:pPr>
            <w:r>
              <w:rPr>
                <w:rFonts w:ascii="Arial" w:cs="Arial" w:eastAsia="Arial" w:hAnsi="Arial"/>
                <w:sz w:val="20"/>
                <w:szCs w:val="20"/>
                <w:color w:val="auto"/>
              </w:rPr>
              <w:t>Nine-Months Ended</w:t>
            </w:r>
          </w:p>
        </w:tc>
        <w:tc>
          <w:tcPr>
            <w:tcW w:w="0" w:type="dxa"/>
            <w:vAlign w:val="bottom"/>
          </w:tcPr>
          <w:p>
            <w:pPr>
              <w:spacing w:after="0"/>
              <w:rPr>
                <w:sz w:val="1"/>
                <w:szCs w:val="1"/>
                <w:color w:val="auto"/>
              </w:rPr>
            </w:pPr>
          </w:p>
        </w:tc>
      </w:tr>
      <w:tr>
        <w:trPr>
          <w:trHeight w:val="246"/>
        </w:trPr>
        <w:tc>
          <w:tcPr>
            <w:tcW w:w="5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September 30,</w:t>
            </w:r>
          </w:p>
        </w:tc>
        <w:tc>
          <w:tcPr>
            <w:tcW w:w="86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September 30,</w:t>
            </w:r>
          </w:p>
        </w:tc>
        <w:tc>
          <w:tcPr>
            <w:tcW w:w="8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280" w:type="dxa"/>
            <w:vAlign w:val="bottom"/>
            <w:vMerge w:val="restart"/>
          </w:tcPr>
          <w:p>
            <w:pPr>
              <w:spacing w:after="0"/>
              <w:rPr>
                <w:sz w:val="20"/>
                <w:szCs w:val="20"/>
                <w:color w:val="auto"/>
              </w:rPr>
            </w:pPr>
            <w:r>
              <w:rPr>
                <w:rFonts w:ascii="Arial" w:cs="Arial" w:eastAsia="Arial" w:hAnsi="Arial"/>
                <w:sz w:val="20"/>
                <w:szCs w:val="20"/>
                <w:color w:val="auto"/>
              </w:rPr>
              <w:t>Net income, as reported</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61"/>
              <w:spacing w:after="0" w:line="223" w:lineRule="exact"/>
              <w:rPr>
                <w:sz w:val="20"/>
                <w:szCs w:val="20"/>
                <w:color w:val="auto"/>
              </w:rPr>
            </w:pPr>
            <w:r>
              <w:rPr>
                <w:rFonts w:ascii="Arial" w:cs="Arial" w:eastAsia="Arial" w:hAnsi="Arial"/>
                <w:sz w:val="20"/>
                <w:szCs w:val="20"/>
                <w:color w:val="auto"/>
              </w:rPr>
              <w:t>2017</w:t>
            </w:r>
          </w:p>
        </w:tc>
        <w:tc>
          <w:tcPr>
            <w:tcW w:w="2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61"/>
              <w:spacing w:after="0" w:line="223" w:lineRule="exact"/>
              <w:rPr>
                <w:sz w:val="20"/>
                <w:szCs w:val="20"/>
                <w:color w:val="auto"/>
              </w:rPr>
            </w:pPr>
            <w:r>
              <w:rPr>
                <w:rFonts w:ascii="Arial" w:cs="Arial" w:eastAsia="Arial" w:hAnsi="Arial"/>
                <w:sz w:val="20"/>
                <w:szCs w:val="20"/>
                <w:color w:val="auto"/>
                <w:w w:val="85"/>
              </w:rPr>
              <w:t>2016</w:t>
            </w:r>
          </w:p>
        </w:tc>
        <w:tc>
          <w:tcPr>
            <w:tcW w:w="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rPr>
              <w:t>2017</w:t>
            </w:r>
          </w:p>
        </w:tc>
        <w:tc>
          <w:tcPr>
            <w:tcW w:w="2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61"/>
              <w:spacing w:after="0" w:line="223" w:lineRule="exact"/>
              <w:rPr>
                <w:sz w:val="20"/>
                <w:szCs w:val="20"/>
                <w:color w:val="auto"/>
              </w:rPr>
            </w:pPr>
            <w:r>
              <w:rPr>
                <w:rFonts w:ascii="Arial" w:cs="Arial" w:eastAsia="Arial" w:hAnsi="Arial"/>
                <w:sz w:val="20"/>
                <w:szCs w:val="20"/>
                <w:color w:val="auto"/>
                <w:w w:val="85"/>
              </w:rPr>
              <w:t>2016</w:t>
            </w:r>
          </w:p>
        </w:tc>
        <w:tc>
          <w:tcPr>
            <w:tcW w:w="0" w:type="dxa"/>
            <w:vAlign w:val="bottom"/>
          </w:tcPr>
          <w:p>
            <w:pPr>
              <w:spacing w:after="0"/>
              <w:rPr>
                <w:sz w:val="1"/>
                <w:szCs w:val="1"/>
                <w:color w:val="auto"/>
              </w:rPr>
            </w:pPr>
          </w:p>
        </w:tc>
      </w:tr>
      <w:tr>
        <w:trPr>
          <w:trHeight w:val="220"/>
        </w:trPr>
        <w:tc>
          <w:tcPr>
            <w:tcW w:w="5280" w:type="dxa"/>
            <w:vAlign w:val="bottom"/>
            <w:vMerge w:val="continue"/>
          </w:tcPr>
          <w:p>
            <w:pPr>
              <w:spacing w:after="0"/>
              <w:rPr>
                <w:sz w:val="19"/>
                <w:szCs w:val="19"/>
                <w:color w:val="auto"/>
              </w:rPr>
            </w:pPr>
          </w:p>
        </w:tc>
        <w:tc>
          <w:tcPr>
            <w:tcW w:w="320" w:type="dxa"/>
            <w:vAlign w:val="bottom"/>
          </w:tcPr>
          <w:p>
            <w:pPr>
              <w:jc w:val="right"/>
              <w:ind w:right="21"/>
              <w:spacing w:after="0" w:line="220" w:lineRule="exact"/>
              <w:rPr>
                <w:sz w:val="20"/>
                <w:szCs w:val="20"/>
                <w:color w:val="auto"/>
              </w:rPr>
            </w:pPr>
            <w:r>
              <w:rPr>
                <w:rFonts w:ascii="Arial" w:cs="Arial" w:eastAsia="Arial" w:hAnsi="Arial"/>
                <w:sz w:val="20"/>
                <w:szCs w:val="20"/>
                <w:color w:val="auto"/>
              </w:rPr>
              <w:t>$</w:t>
            </w:r>
          </w:p>
        </w:tc>
        <w:tc>
          <w:tcPr>
            <w:tcW w:w="980" w:type="dxa"/>
            <w:vAlign w:val="bottom"/>
          </w:tcPr>
          <w:p>
            <w:pPr>
              <w:jc w:val="right"/>
              <w:spacing w:after="0" w:line="220" w:lineRule="exact"/>
              <w:rPr>
                <w:sz w:val="20"/>
                <w:szCs w:val="20"/>
                <w:color w:val="auto"/>
              </w:rPr>
            </w:pPr>
            <w:r>
              <w:rPr>
                <w:rFonts w:ascii="Arial" w:cs="Arial" w:eastAsia="Arial" w:hAnsi="Arial"/>
                <w:sz w:val="20"/>
                <w:szCs w:val="20"/>
                <w:color w:val="auto"/>
              </w:rPr>
              <w:t>218,744</w:t>
            </w:r>
          </w:p>
        </w:tc>
        <w:tc>
          <w:tcPr>
            <w:tcW w:w="260" w:type="dxa"/>
            <w:vAlign w:val="bottom"/>
          </w:tcPr>
          <w:p>
            <w:pPr>
              <w:spacing w:after="0"/>
              <w:rPr>
                <w:sz w:val="19"/>
                <w:szCs w:val="19"/>
                <w:color w:val="auto"/>
              </w:rPr>
            </w:pPr>
          </w:p>
        </w:tc>
        <w:tc>
          <w:tcPr>
            <w:tcW w:w="440" w:type="dxa"/>
            <w:vAlign w:val="bottom"/>
          </w:tcPr>
          <w:p>
            <w:pPr>
              <w:jc w:val="right"/>
              <w:ind w:right="141"/>
              <w:spacing w:after="0" w:line="220" w:lineRule="exact"/>
              <w:rPr>
                <w:sz w:val="20"/>
                <w:szCs w:val="20"/>
                <w:color w:val="auto"/>
              </w:rPr>
            </w:pPr>
            <w:r>
              <w:rPr>
                <w:rFonts w:ascii="Arial" w:cs="Arial" w:eastAsia="Arial" w:hAnsi="Arial"/>
                <w:sz w:val="20"/>
                <w:szCs w:val="20"/>
                <w:color w:val="auto"/>
              </w:rPr>
              <w:t>$</w:t>
            </w:r>
          </w:p>
        </w:tc>
        <w:tc>
          <w:tcPr>
            <w:tcW w:w="860" w:type="dxa"/>
            <w:vAlign w:val="bottom"/>
          </w:tcPr>
          <w:p>
            <w:pPr>
              <w:jc w:val="right"/>
              <w:spacing w:after="0" w:line="220" w:lineRule="exact"/>
              <w:rPr>
                <w:sz w:val="20"/>
                <w:szCs w:val="20"/>
                <w:color w:val="auto"/>
              </w:rPr>
            </w:pPr>
            <w:r>
              <w:rPr>
                <w:rFonts w:ascii="Arial" w:cs="Arial" w:eastAsia="Arial" w:hAnsi="Arial"/>
                <w:sz w:val="20"/>
                <w:szCs w:val="20"/>
                <w:color w:val="auto"/>
              </w:rPr>
              <w:t>191,643</w:t>
            </w:r>
          </w:p>
        </w:tc>
        <w:tc>
          <w:tcPr>
            <w:tcW w:w="260" w:type="dxa"/>
            <w:vAlign w:val="bottom"/>
          </w:tcPr>
          <w:p>
            <w:pPr>
              <w:spacing w:after="0"/>
              <w:rPr>
                <w:sz w:val="19"/>
                <w:szCs w:val="19"/>
                <w:color w:val="auto"/>
              </w:rPr>
            </w:pPr>
          </w:p>
        </w:tc>
        <w:tc>
          <w:tcPr>
            <w:tcW w:w="340" w:type="dxa"/>
            <w:vAlign w:val="bottom"/>
          </w:tcPr>
          <w:p>
            <w:pPr>
              <w:jc w:val="right"/>
              <w:ind w:right="41"/>
              <w:spacing w:after="0" w:line="220" w:lineRule="exact"/>
              <w:rPr>
                <w:sz w:val="20"/>
                <w:szCs w:val="20"/>
                <w:color w:val="auto"/>
              </w:rPr>
            </w:pPr>
            <w:r>
              <w:rPr>
                <w:rFonts w:ascii="Arial" w:cs="Arial" w:eastAsia="Arial" w:hAnsi="Arial"/>
                <w:sz w:val="20"/>
                <w:szCs w:val="20"/>
                <w:color w:val="auto"/>
              </w:rPr>
              <w:t>$</w:t>
            </w:r>
          </w:p>
        </w:tc>
        <w:tc>
          <w:tcPr>
            <w:tcW w:w="1000" w:type="dxa"/>
            <w:vAlign w:val="bottom"/>
          </w:tcPr>
          <w:p>
            <w:pPr>
              <w:jc w:val="right"/>
              <w:spacing w:after="0" w:line="220" w:lineRule="exact"/>
              <w:rPr>
                <w:sz w:val="20"/>
                <w:szCs w:val="20"/>
                <w:color w:val="auto"/>
              </w:rPr>
            </w:pPr>
            <w:r>
              <w:rPr>
                <w:rFonts w:ascii="Arial" w:cs="Arial" w:eastAsia="Arial" w:hAnsi="Arial"/>
                <w:sz w:val="20"/>
                <w:szCs w:val="20"/>
                <w:color w:val="auto"/>
              </w:rPr>
              <w:t>619,356</w:t>
            </w:r>
          </w:p>
        </w:tc>
        <w:tc>
          <w:tcPr>
            <w:tcW w:w="260" w:type="dxa"/>
            <w:vAlign w:val="bottom"/>
          </w:tcPr>
          <w:p>
            <w:pPr>
              <w:spacing w:after="0"/>
              <w:rPr>
                <w:sz w:val="19"/>
                <w:szCs w:val="19"/>
                <w:color w:val="auto"/>
              </w:rPr>
            </w:pPr>
          </w:p>
        </w:tc>
        <w:tc>
          <w:tcPr>
            <w:tcW w:w="460" w:type="dxa"/>
            <w:vAlign w:val="bottom"/>
          </w:tcPr>
          <w:p>
            <w:pPr>
              <w:jc w:val="right"/>
              <w:ind w:right="161"/>
              <w:spacing w:after="0" w:line="220" w:lineRule="exact"/>
              <w:rPr>
                <w:sz w:val="20"/>
                <w:szCs w:val="20"/>
                <w:color w:val="auto"/>
              </w:rPr>
            </w:pPr>
            <w:r>
              <w:rPr>
                <w:rFonts w:ascii="Arial" w:cs="Arial" w:eastAsia="Arial" w:hAnsi="Arial"/>
                <w:sz w:val="20"/>
                <w:szCs w:val="20"/>
                <w:color w:val="auto"/>
              </w:rPr>
              <w:t>$</w:t>
            </w:r>
          </w:p>
        </w:tc>
        <w:tc>
          <w:tcPr>
            <w:tcW w:w="860" w:type="dxa"/>
            <w:vAlign w:val="bottom"/>
          </w:tcPr>
          <w:p>
            <w:pPr>
              <w:jc w:val="right"/>
              <w:spacing w:after="0" w:line="220" w:lineRule="exact"/>
              <w:rPr>
                <w:sz w:val="20"/>
                <w:szCs w:val="20"/>
                <w:color w:val="auto"/>
              </w:rPr>
            </w:pPr>
            <w:r>
              <w:rPr>
                <w:rFonts w:ascii="Arial" w:cs="Arial" w:eastAsia="Arial" w:hAnsi="Arial"/>
                <w:sz w:val="20"/>
                <w:szCs w:val="20"/>
                <w:color w:val="auto"/>
              </w:rPr>
              <w:t>539,738</w:t>
            </w:r>
          </w:p>
        </w:tc>
        <w:tc>
          <w:tcPr>
            <w:tcW w:w="0" w:type="dxa"/>
            <w:vAlign w:val="bottom"/>
          </w:tcPr>
          <w:p>
            <w:pPr>
              <w:spacing w:after="0"/>
              <w:rPr>
                <w:sz w:val="1"/>
                <w:szCs w:val="1"/>
                <w:color w:val="auto"/>
              </w:rPr>
            </w:pPr>
          </w:p>
        </w:tc>
      </w:tr>
      <w:tr>
        <w:trPr>
          <w:trHeight w:val="243"/>
        </w:trPr>
        <w:tc>
          <w:tcPr>
            <w:tcW w:w="5280" w:type="dxa"/>
            <w:vAlign w:val="bottom"/>
          </w:tcPr>
          <w:p>
            <w:pPr>
              <w:spacing w:after="0"/>
              <w:rPr>
                <w:sz w:val="20"/>
                <w:szCs w:val="20"/>
                <w:color w:val="auto"/>
              </w:rPr>
            </w:pPr>
            <w:r>
              <w:rPr>
                <w:rFonts w:ascii="Arial" w:cs="Arial" w:eastAsia="Arial" w:hAnsi="Arial"/>
                <w:sz w:val="20"/>
                <w:szCs w:val="20"/>
                <w:color w:val="auto"/>
              </w:rPr>
              <w:t>Other comprehensive income:</w:t>
            </w: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200"/>
              <w:spacing w:after="0"/>
              <w:rPr>
                <w:sz w:val="20"/>
                <w:szCs w:val="20"/>
                <w:color w:val="auto"/>
              </w:rPr>
            </w:pPr>
            <w:r>
              <w:rPr>
                <w:rFonts w:ascii="Arial" w:cs="Arial" w:eastAsia="Arial" w:hAnsi="Arial"/>
                <w:sz w:val="20"/>
                <w:szCs w:val="20"/>
                <w:color w:val="auto"/>
              </w:rPr>
              <w:t>Change in foreign currency translation adjustment</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1,329</w:t>
            </w: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(57)</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7,641</w:t>
            </w: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7,344</w:t>
            </w:r>
          </w:p>
        </w:tc>
        <w:tc>
          <w:tcPr>
            <w:tcW w:w="0" w:type="dxa"/>
            <w:vAlign w:val="bottom"/>
          </w:tcPr>
          <w:p>
            <w:pPr>
              <w:spacing w:after="0"/>
              <w:rPr>
                <w:sz w:val="1"/>
                <w:szCs w:val="1"/>
                <w:color w:val="auto"/>
              </w:rPr>
            </w:pPr>
          </w:p>
        </w:tc>
      </w:tr>
      <w:tr>
        <w:trPr>
          <w:trHeight w:val="243"/>
        </w:trPr>
        <w:tc>
          <w:tcPr>
            <w:tcW w:w="5280" w:type="dxa"/>
            <w:vAlign w:val="bottom"/>
          </w:tcPr>
          <w:p>
            <w:pPr>
              <w:ind w:left="200"/>
              <w:spacing w:after="0"/>
              <w:rPr>
                <w:sz w:val="20"/>
                <w:szCs w:val="20"/>
                <w:color w:val="auto"/>
              </w:rPr>
            </w:pPr>
            <w:r>
              <w:rPr>
                <w:rFonts w:ascii="Arial" w:cs="Arial" w:eastAsia="Arial" w:hAnsi="Arial"/>
                <w:sz w:val="20"/>
                <w:szCs w:val="20"/>
                <w:color w:val="auto"/>
              </w:rPr>
              <w:t>Available-for-sale investments:</w:t>
            </w: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540"/>
              <w:spacing w:after="0"/>
              <w:rPr>
                <w:sz w:val="20"/>
                <w:szCs w:val="20"/>
                <w:color w:val="auto"/>
              </w:rPr>
            </w:pPr>
            <w:r>
              <w:rPr>
                <w:rFonts w:ascii="Arial" w:cs="Arial" w:eastAsia="Arial" w:hAnsi="Arial"/>
                <w:sz w:val="20"/>
                <w:szCs w:val="20"/>
                <w:color w:val="auto"/>
              </w:rPr>
              <w:t>Change in net unrealized (losses) gains</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(29)</w:t>
            </w: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75</w:t>
            </w: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5280" w:type="dxa"/>
            <w:vAlign w:val="bottom"/>
          </w:tcPr>
          <w:p>
            <w:pPr>
              <w:ind w:left="540"/>
              <w:spacing w:after="0"/>
              <w:rPr>
                <w:sz w:val="20"/>
                <w:szCs w:val="20"/>
                <w:color w:val="auto"/>
              </w:rPr>
            </w:pPr>
            <w:r>
              <w:rPr>
                <w:rFonts w:ascii="Arial" w:cs="Arial" w:eastAsia="Arial" w:hAnsi="Arial"/>
                <w:sz w:val="20"/>
                <w:szCs w:val="20"/>
                <w:color w:val="auto"/>
                <w:w w:val="95"/>
              </w:rPr>
              <w:t>Reclassification adjustment for net gains included in net</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280" w:type="dxa"/>
            <w:vAlign w:val="bottom"/>
          </w:tcPr>
          <w:p>
            <w:pPr>
              <w:ind w:left="720"/>
              <w:spacing w:after="0"/>
              <w:rPr>
                <w:sz w:val="20"/>
                <w:szCs w:val="20"/>
                <w:color w:val="auto"/>
              </w:rPr>
            </w:pPr>
            <w:r>
              <w:rPr>
                <w:rFonts w:ascii="Arial" w:cs="Arial" w:eastAsia="Arial" w:hAnsi="Arial"/>
                <w:sz w:val="20"/>
                <w:szCs w:val="20"/>
                <w:color w:val="auto"/>
              </w:rPr>
              <w:t>income</w:t>
            </w: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7"/>
        </w:trPr>
        <w:tc>
          <w:tcPr>
            <w:tcW w:w="5280" w:type="dxa"/>
            <w:vAlign w:val="bottom"/>
          </w:tcPr>
          <w:p>
            <w:pPr>
              <w:ind w:left="540"/>
              <w:spacing w:after="0"/>
              <w:rPr>
                <w:sz w:val="20"/>
                <w:szCs w:val="20"/>
                <w:color w:val="auto"/>
              </w:rPr>
            </w:pPr>
            <w:r>
              <w:rPr>
                <w:rFonts w:ascii="Arial" w:cs="Arial" w:eastAsia="Arial" w:hAnsi="Arial"/>
                <w:sz w:val="20"/>
                <w:szCs w:val="20"/>
                <w:color w:val="auto"/>
              </w:rPr>
              <w:t>Net change in available-for-sale investments</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w:t>
            </w:r>
          </w:p>
        </w:tc>
        <w:tc>
          <w:tcPr>
            <w:tcW w:w="2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75</w:t>
            </w:r>
          </w:p>
        </w:tc>
        <w:tc>
          <w:tcPr>
            <w:tcW w:w="2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r>
              <w:rPr>
                <w:rFonts w:ascii="Arial" w:cs="Arial" w:eastAsia="Arial" w:hAnsi="Arial"/>
                <w:sz w:val="20"/>
                <w:szCs w:val="20"/>
                <w:color w:val="auto"/>
              </w:rPr>
              <w:t>Other comprehensive income</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1,300</w:t>
            </w:r>
          </w:p>
        </w:tc>
        <w:tc>
          <w:tcPr>
            <w:tcW w:w="2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(57)</w:t>
            </w: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7,716</w:t>
            </w:r>
          </w:p>
        </w:tc>
        <w:tc>
          <w:tcPr>
            <w:tcW w:w="2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7,344</w:t>
            </w: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r>
              <w:rPr>
                <w:rFonts w:ascii="Arial" w:cs="Arial" w:eastAsia="Arial" w:hAnsi="Arial"/>
                <w:sz w:val="20"/>
                <w:szCs w:val="20"/>
                <w:color w:val="auto"/>
              </w:rPr>
              <w:t>Comprehensive income</w:t>
            </w:r>
          </w:p>
        </w:tc>
        <w:tc>
          <w:tcPr>
            <w:tcW w:w="3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220,044</w:t>
            </w:r>
          </w:p>
        </w:tc>
        <w:tc>
          <w:tcPr>
            <w:tcW w:w="260" w:type="dxa"/>
            <w:vAlign w:val="bottom"/>
          </w:tcPr>
          <w:p>
            <w:pPr>
              <w:spacing w:after="0"/>
              <w:rPr>
                <w:sz w:val="20"/>
                <w:szCs w:val="20"/>
                <w:color w:val="auto"/>
              </w:rPr>
            </w:pPr>
          </w:p>
        </w:tc>
        <w:tc>
          <w:tcPr>
            <w:tcW w:w="44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191,586</w:t>
            </w:r>
          </w:p>
        </w:tc>
        <w:tc>
          <w:tcPr>
            <w:tcW w:w="260" w:type="dxa"/>
            <w:vAlign w:val="bottom"/>
          </w:tcPr>
          <w:p>
            <w:pPr>
              <w:spacing w:after="0"/>
              <w:rPr>
                <w:sz w:val="20"/>
                <w:szCs w:val="20"/>
                <w:color w:val="auto"/>
              </w:rPr>
            </w:pPr>
          </w:p>
        </w:tc>
        <w:tc>
          <w:tcPr>
            <w:tcW w:w="3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627,072</w:t>
            </w:r>
          </w:p>
        </w:tc>
        <w:tc>
          <w:tcPr>
            <w:tcW w:w="260" w:type="dxa"/>
            <w:vAlign w:val="bottom"/>
          </w:tcPr>
          <w:p>
            <w:pPr>
              <w:spacing w:after="0"/>
              <w:rPr>
                <w:sz w:val="20"/>
                <w:szCs w:val="20"/>
                <w:color w:val="auto"/>
              </w:rPr>
            </w:pPr>
          </w:p>
        </w:tc>
        <w:tc>
          <w:tcPr>
            <w:tcW w:w="46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547,082</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ind w:right="5260"/>
        <w:spacing w:after="0" w:line="248" w:lineRule="auto"/>
        <w:rPr>
          <w:sz w:val="20"/>
          <w:szCs w:val="20"/>
          <w:color w:val="auto"/>
        </w:rPr>
      </w:pPr>
      <w:r>
        <w:rPr>
          <w:rFonts w:ascii="Arial" w:cs="Arial" w:eastAsia="Arial" w:hAnsi="Arial"/>
          <w:sz w:val="20"/>
          <w:szCs w:val="20"/>
          <w:b w:val="1"/>
          <w:bCs w:val="1"/>
          <w:color w:val="auto"/>
        </w:rPr>
        <w:t>MONSTER BEVERAGE CORPORATION AND SUBSIDIARIES CONDENSED CONSOLIDATED STATEMENTS OF CASH FLOWS FOR THE NINE-MONTHS ENDED SEPTEMBER 30, 2017 AND 2016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4"/>
          </w:tcPr>
          <w:p>
            <w:pPr>
              <w:jc w:val="right"/>
              <w:ind w:right="1048"/>
              <w:spacing w:after="0"/>
              <w:rPr>
                <w:sz w:val="20"/>
                <w:szCs w:val="20"/>
                <w:color w:val="auto"/>
              </w:rPr>
            </w:pPr>
            <w:r>
              <w:rPr>
                <w:rFonts w:ascii="Arial" w:cs="Arial" w:eastAsia="Arial" w:hAnsi="Arial"/>
                <w:sz w:val="14"/>
                <w:szCs w:val="14"/>
                <w:b w:val="1"/>
                <w:bCs w:val="1"/>
                <w:color w:val="auto"/>
              </w:rPr>
              <w:t>Nine-Months Ended</w:t>
            </w:r>
          </w:p>
        </w:tc>
        <w:tc>
          <w:tcPr>
            <w:tcW w:w="0" w:type="dxa"/>
            <w:vAlign w:val="bottom"/>
          </w:tcPr>
          <w:p>
            <w:pPr>
              <w:spacing w:after="0"/>
              <w:rPr>
                <w:sz w:val="1"/>
                <w:szCs w:val="1"/>
                <w:color w:val="auto"/>
              </w:rPr>
            </w:pPr>
          </w:p>
        </w:tc>
      </w:tr>
      <w:tr>
        <w:trPr>
          <w:trHeight w:val="156"/>
        </w:trPr>
        <w:tc>
          <w:tcPr>
            <w:tcW w:w="7840" w:type="dxa"/>
            <w:vAlign w:val="bottom"/>
            <w:vMerge w:val="restart"/>
          </w:tcPr>
          <w:p>
            <w:pPr>
              <w:spacing w:after="0"/>
              <w:rPr>
                <w:sz w:val="20"/>
                <w:szCs w:val="20"/>
                <w:color w:val="auto"/>
              </w:rPr>
            </w:pPr>
            <w:r>
              <w:rPr>
                <w:rFonts w:ascii="Arial" w:cs="Arial" w:eastAsia="Arial" w:hAnsi="Arial"/>
                <w:sz w:val="14"/>
                <w:szCs w:val="14"/>
                <w:color w:val="auto"/>
              </w:rPr>
              <w:t>CASH FLOWS FROM OPERATING ACTIVITIES:</w:t>
            </w:r>
          </w:p>
        </w:tc>
        <w:tc>
          <w:tcPr>
            <w:tcW w:w="180" w:type="dxa"/>
            <w:vAlign w:val="bottom"/>
          </w:tcPr>
          <w:p>
            <w:pPr>
              <w:spacing w:after="0"/>
              <w:rPr>
                <w:sz w:val="13"/>
                <w:szCs w:val="13"/>
                <w:color w:val="auto"/>
              </w:rPr>
            </w:pPr>
          </w:p>
        </w:tc>
        <w:tc>
          <w:tcPr>
            <w:tcW w:w="1700" w:type="dxa"/>
            <w:vAlign w:val="bottom"/>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w w:val="91"/>
              </w:rPr>
              <w:t>September 30, 2017</w:t>
            </w:r>
          </w:p>
        </w:tc>
        <w:tc>
          <w:tcPr>
            <w:tcW w:w="160" w:type="dxa"/>
            <w:vAlign w:val="bottom"/>
          </w:tcPr>
          <w:p>
            <w:pPr>
              <w:spacing w:after="0"/>
              <w:rPr>
                <w:sz w:val="13"/>
                <w:szCs w:val="13"/>
                <w:color w:val="auto"/>
              </w:rPr>
            </w:pPr>
          </w:p>
        </w:tc>
        <w:tc>
          <w:tcPr>
            <w:tcW w:w="1440" w:type="dxa"/>
            <w:vAlign w:val="bottom"/>
          </w:tcPr>
          <w:p>
            <w:pPr>
              <w:jc w:val="right"/>
              <w:ind w:right="128"/>
              <w:spacing w:after="0" w:line="155" w:lineRule="exact"/>
              <w:rPr>
                <w:sz w:val="20"/>
                <w:szCs w:val="20"/>
                <w:color w:val="auto"/>
              </w:rPr>
            </w:pPr>
            <w:r>
              <w:rPr>
                <w:rFonts w:ascii="Arial" w:cs="Arial" w:eastAsia="Arial" w:hAnsi="Arial"/>
                <w:sz w:val="14"/>
                <w:szCs w:val="14"/>
                <w:b w:val="1"/>
                <w:bCs w:val="1"/>
                <w:color w:val="auto"/>
                <w:w w:val="93"/>
              </w:rPr>
              <w:t>September 30, 2016</w:t>
            </w:r>
          </w:p>
        </w:tc>
        <w:tc>
          <w:tcPr>
            <w:tcW w:w="0" w:type="dxa"/>
            <w:vAlign w:val="bottom"/>
          </w:tcPr>
          <w:p>
            <w:pPr>
              <w:spacing w:after="0"/>
              <w:rPr>
                <w:sz w:val="1"/>
                <w:szCs w:val="1"/>
                <w:color w:val="auto"/>
              </w:rPr>
            </w:pPr>
          </w:p>
        </w:tc>
      </w:tr>
      <w:tr>
        <w:trPr>
          <w:trHeight w:val="137"/>
        </w:trPr>
        <w:tc>
          <w:tcPr>
            <w:tcW w:w="7840" w:type="dxa"/>
            <w:vAlign w:val="bottom"/>
            <w:vMerge w:val="continue"/>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840" w:type="dxa"/>
            <w:vAlign w:val="bottom"/>
          </w:tcPr>
          <w:p>
            <w:pPr>
              <w:spacing w:after="0"/>
              <w:rPr>
                <w:sz w:val="20"/>
                <w:szCs w:val="20"/>
                <w:color w:val="auto"/>
              </w:rPr>
            </w:pPr>
            <w:r>
              <w:rPr>
                <w:rFonts w:ascii="Arial" w:cs="Arial" w:eastAsia="Arial" w:hAnsi="Arial"/>
                <w:sz w:val="14"/>
                <w:szCs w:val="14"/>
                <w:color w:val="auto"/>
              </w:rPr>
              <w:t>Net income</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619,356</w:t>
            </w:r>
          </w:p>
        </w:tc>
        <w:tc>
          <w:tcPr>
            <w:tcW w:w="2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539,738</w:t>
            </w:r>
          </w:p>
        </w:tc>
        <w:tc>
          <w:tcPr>
            <w:tcW w:w="0" w:type="dxa"/>
            <w:vAlign w:val="bottom"/>
          </w:tcPr>
          <w:p>
            <w:pPr>
              <w:spacing w:after="0"/>
              <w:rPr>
                <w:sz w:val="1"/>
                <w:szCs w:val="1"/>
                <w:color w:val="auto"/>
              </w:rPr>
            </w:pPr>
          </w:p>
        </w:tc>
      </w:tr>
      <w:tr>
        <w:trPr>
          <w:trHeight w:val="162"/>
        </w:trPr>
        <w:tc>
          <w:tcPr>
            <w:tcW w:w="7840" w:type="dxa"/>
            <w:vAlign w:val="bottom"/>
          </w:tcPr>
          <w:p>
            <w:pPr>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40" w:type="dxa"/>
            <w:vAlign w:val="bottom"/>
          </w:tcPr>
          <w:p>
            <w:pPr>
              <w:ind w:left="380"/>
              <w:spacing w:after="0"/>
              <w:rPr>
                <w:sz w:val="20"/>
                <w:szCs w:val="20"/>
                <w:color w:val="auto"/>
              </w:rPr>
            </w:pPr>
            <w:r>
              <w:rPr>
                <w:rFonts w:ascii="Arial" w:cs="Arial" w:eastAsia="Arial" w:hAnsi="Arial"/>
                <w:sz w:val="14"/>
                <w:szCs w:val="14"/>
                <w:color w:val="auto"/>
              </w:rPr>
              <w:t>Depreciation and amortization</w:t>
            </w:r>
          </w:p>
        </w:tc>
        <w:tc>
          <w:tcPr>
            <w:tcW w:w="1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35,104</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29,874</w:t>
            </w:r>
          </w:p>
        </w:tc>
        <w:tc>
          <w:tcPr>
            <w:tcW w:w="0" w:type="dxa"/>
            <w:vAlign w:val="bottom"/>
          </w:tcPr>
          <w:p>
            <w:pPr>
              <w:spacing w:after="0"/>
              <w:rPr>
                <w:sz w:val="1"/>
                <w:szCs w:val="1"/>
                <w:color w:val="auto"/>
              </w:rPr>
            </w:pPr>
          </w:p>
        </w:tc>
      </w:tr>
      <w:tr>
        <w:trPr>
          <w:trHeight w:val="162"/>
        </w:trPr>
        <w:tc>
          <w:tcPr>
            <w:tcW w:w="7840" w:type="dxa"/>
            <w:vAlign w:val="bottom"/>
          </w:tcPr>
          <w:p>
            <w:pPr>
              <w:ind w:left="380"/>
              <w:spacing w:after="0"/>
              <w:rPr>
                <w:sz w:val="20"/>
                <w:szCs w:val="20"/>
                <w:color w:val="auto"/>
              </w:rPr>
            </w:pPr>
            <w:r>
              <w:rPr>
                <w:rFonts w:ascii="Arial" w:cs="Arial" w:eastAsia="Arial" w:hAnsi="Arial"/>
                <w:sz w:val="14"/>
                <w:szCs w:val="14"/>
                <w:color w:val="auto"/>
              </w:rPr>
              <w:t>Gain on disposal of property and equipment</w:t>
            </w:r>
          </w:p>
        </w:tc>
        <w:tc>
          <w:tcPr>
            <w:tcW w:w="1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(514)</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162"/>
        </w:trPr>
        <w:tc>
          <w:tcPr>
            <w:tcW w:w="7840" w:type="dxa"/>
            <w:vAlign w:val="bottom"/>
          </w:tcPr>
          <w:p>
            <w:pPr>
              <w:ind w:left="380"/>
              <w:spacing w:after="0"/>
              <w:rPr>
                <w:sz w:val="20"/>
                <w:szCs w:val="20"/>
                <w:color w:val="auto"/>
              </w:rPr>
            </w:pPr>
            <w:r>
              <w:rPr>
                <w:rFonts w:ascii="Arial" w:cs="Arial" w:eastAsia="Arial" w:hAnsi="Arial"/>
                <w:sz w:val="14"/>
                <w:szCs w:val="14"/>
                <w:color w:val="auto"/>
              </w:rPr>
              <w:t>Stock-based compensation</w:t>
            </w:r>
          </w:p>
        </w:tc>
        <w:tc>
          <w:tcPr>
            <w:tcW w:w="1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39,265</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33,735</w:t>
            </w:r>
          </w:p>
        </w:tc>
        <w:tc>
          <w:tcPr>
            <w:tcW w:w="0" w:type="dxa"/>
            <w:vAlign w:val="bottom"/>
          </w:tcPr>
          <w:p>
            <w:pPr>
              <w:spacing w:after="0"/>
              <w:rPr>
                <w:sz w:val="1"/>
                <w:szCs w:val="1"/>
                <w:color w:val="auto"/>
              </w:rPr>
            </w:pPr>
          </w:p>
        </w:tc>
      </w:tr>
      <w:tr>
        <w:trPr>
          <w:trHeight w:val="162"/>
        </w:trPr>
        <w:tc>
          <w:tcPr>
            <w:tcW w:w="7840" w:type="dxa"/>
            <w:vAlign w:val="bottom"/>
          </w:tcPr>
          <w:p>
            <w:pPr>
              <w:ind w:left="380"/>
              <w:spacing w:after="0"/>
              <w:rPr>
                <w:sz w:val="20"/>
                <w:szCs w:val="20"/>
                <w:color w:val="auto"/>
              </w:rPr>
            </w:pPr>
            <w:r>
              <w:rPr>
                <w:rFonts w:ascii="Arial" w:cs="Arial" w:eastAsia="Arial" w:hAnsi="Arial"/>
                <w:sz w:val="14"/>
                <w:szCs w:val="14"/>
                <w:color w:val="auto"/>
              </w:rPr>
              <w:t>Deferred income taxes</w:t>
            </w:r>
          </w:p>
        </w:tc>
        <w:tc>
          <w:tcPr>
            <w:tcW w:w="1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1,862</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(1,652)</w:t>
            </w:r>
          </w:p>
        </w:tc>
        <w:tc>
          <w:tcPr>
            <w:tcW w:w="0" w:type="dxa"/>
            <w:vAlign w:val="bottom"/>
          </w:tcPr>
          <w:p>
            <w:pPr>
              <w:spacing w:after="0"/>
              <w:rPr>
                <w:sz w:val="1"/>
                <w:szCs w:val="1"/>
                <w:color w:val="auto"/>
              </w:rPr>
            </w:pPr>
          </w:p>
        </w:tc>
      </w:tr>
      <w:tr>
        <w:trPr>
          <w:trHeight w:val="162"/>
        </w:trPr>
        <w:tc>
          <w:tcPr>
            <w:tcW w:w="7840" w:type="dxa"/>
            <w:vAlign w:val="bottom"/>
          </w:tcPr>
          <w:p>
            <w:pPr>
              <w:ind w:left="380"/>
              <w:spacing w:after="0"/>
              <w:rPr>
                <w:sz w:val="20"/>
                <w:szCs w:val="20"/>
                <w:color w:val="auto"/>
              </w:rPr>
            </w:pPr>
            <w:r>
              <w:rPr>
                <w:rFonts w:ascii="Arial" w:cs="Arial" w:eastAsia="Arial" w:hAnsi="Arial"/>
                <w:sz w:val="14"/>
                <w:szCs w:val="14"/>
                <w:color w:val="auto"/>
              </w:rPr>
              <w:t>Effect on cash of changes in operating assets and liabilities:</w:t>
            </w: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40" w:type="dxa"/>
            <w:vAlign w:val="bottom"/>
          </w:tcPr>
          <w:p>
            <w:pPr>
              <w:ind w:left="560"/>
              <w:spacing w:after="0"/>
              <w:rPr>
                <w:sz w:val="20"/>
                <w:szCs w:val="20"/>
                <w:color w:val="auto"/>
              </w:rPr>
            </w:pPr>
            <w:r>
              <w:rPr>
                <w:rFonts w:ascii="Arial" w:cs="Arial" w:eastAsia="Arial" w:hAnsi="Arial"/>
                <w:sz w:val="14"/>
                <w:szCs w:val="14"/>
                <w:color w:val="auto"/>
              </w:rPr>
              <w:t>Accounts receivable</w:t>
            </w:r>
          </w:p>
        </w:tc>
        <w:tc>
          <w:tcPr>
            <w:tcW w:w="180" w:type="dxa"/>
            <w:vAlign w:val="bottom"/>
          </w:tcPr>
          <w:p>
            <w:pPr>
              <w:spacing w:after="0"/>
              <w:rPr>
                <w:sz w:val="14"/>
                <w:szCs w:val="14"/>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4"/>
                <w:szCs w:val="14"/>
                <w:color w:val="auto"/>
              </w:rPr>
              <w:t>(70,865)</w:t>
            </w:r>
          </w:p>
        </w:tc>
        <w:tc>
          <w:tcPr>
            <w:tcW w:w="1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(100,233)</w:t>
            </w:r>
          </w:p>
        </w:tc>
        <w:tc>
          <w:tcPr>
            <w:tcW w:w="0" w:type="dxa"/>
            <w:vAlign w:val="bottom"/>
          </w:tcPr>
          <w:p>
            <w:pPr>
              <w:spacing w:after="0"/>
              <w:rPr>
                <w:sz w:val="1"/>
                <w:szCs w:val="1"/>
                <w:color w:val="auto"/>
              </w:rPr>
            </w:pPr>
          </w:p>
        </w:tc>
      </w:tr>
      <w:tr>
        <w:trPr>
          <w:trHeight w:val="162"/>
        </w:trPr>
        <w:tc>
          <w:tcPr>
            <w:tcW w:w="7840" w:type="dxa"/>
            <w:vAlign w:val="bottom"/>
          </w:tcPr>
          <w:p>
            <w:pPr>
              <w:ind w:left="560"/>
              <w:spacing w:after="0"/>
              <w:rPr>
                <w:sz w:val="20"/>
                <w:szCs w:val="20"/>
                <w:color w:val="auto"/>
              </w:rPr>
            </w:pPr>
            <w:r>
              <w:rPr>
                <w:rFonts w:ascii="Arial" w:cs="Arial" w:eastAsia="Arial" w:hAnsi="Arial"/>
                <w:sz w:val="14"/>
                <w:szCs w:val="14"/>
                <w:color w:val="auto"/>
              </w:rPr>
              <w:t>TCCC Transaction receivable</w:t>
            </w:r>
          </w:p>
        </w:tc>
        <w:tc>
          <w:tcPr>
            <w:tcW w:w="1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125,000</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840" w:type="dxa"/>
            <w:vAlign w:val="bottom"/>
          </w:tcPr>
          <w:p>
            <w:pPr>
              <w:ind w:left="560"/>
              <w:spacing w:after="0"/>
              <w:rPr>
                <w:sz w:val="20"/>
                <w:szCs w:val="20"/>
                <w:color w:val="auto"/>
              </w:rPr>
            </w:pPr>
            <w:r>
              <w:rPr>
                <w:rFonts w:ascii="Arial" w:cs="Arial" w:eastAsia="Arial" w:hAnsi="Arial"/>
                <w:sz w:val="14"/>
                <w:szCs w:val="14"/>
                <w:color w:val="auto"/>
              </w:rPr>
              <w:t>Distributor receivables</w:t>
            </w:r>
          </w:p>
        </w:tc>
        <w:tc>
          <w:tcPr>
            <w:tcW w:w="1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1,605</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(21,034)</w:t>
            </w:r>
          </w:p>
        </w:tc>
        <w:tc>
          <w:tcPr>
            <w:tcW w:w="0" w:type="dxa"/>
            <w:vAlign w:val="bottom"/>
          </w:tcPr>
          <w:p>
            <w:pPr>
              <w:spacing w:after="0"/>
              <w:rPr>
                <w:sz w:val="1"/>
                <w:szCs w:val="1"/>
                <w:color w:val="auto"/>
              </w:rPr>
            </w:pPr>
          </w:p>
        </w:tc>
      </w:tr>
      <w:tr>
        <w:trPr>
          <w:trHeight w:val="162"/>
        </w:trPr>
        <w:tc>
          <w:tcPr>
            <w:tcW w:w="7840" w:type="dxa"/>
            <w:vAlign w:val="bottom"/>
          </w:tcPr>
          <w:p>
            <w:pPr>
              <w:ind w:left="560"/>
              <w:spacing w:after="0"/>
              <w:rPr>
                <w:sz w:val="20"/>
                <w:szCs w:val="20"/>
                <w:color w:val="auto"/>
              </w:rPr>
            </w:pPr>
            <w:r>
              <w:rPr>
                <w:rFonts w:ascii="Arial" w:cs="Arial" w:eastAsia="Arial" w:hAnsi="Arial"/>
                <w:sz w:val="14"/>
                <w:szCs w:val="14"/>
                <w:color w:val="auto"/>
              </w:rPr>
              <w:t>Inventories</w:t>
            </w:r>
          </w:p>
        </w:tc>
        <w:tc>
          <w:tcPr>
            <w:tcW w:w="1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(46,700)</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18,355</w:t>
            </w:r>
          </w:p>
        </w:tc>
        <w:tc>
          <w:tcPr>
            <w:tcW w:w="0" w:type="dxa"/>
            <w:vAlign w:val="bottom"/>
          </w:tcPr>
          <w:p>
            <w:pPr>
              <w:spacing w:after="0"/>
              <w:rPr>
                <w:sz w:val="1"/>
                <w:szCs w:val="1"/>
                <w:color w:val="auto"/>
              </w:rPr>
            </w:pPr>
          </w:p>
        </w:tc>
      </w:tr>
      <w:tr>
        <w:trPr>
          <w:trHeight w:val="162"/>
        </w:trPr>
        <w:tc>
          <w:tcPr>
            <w:tcW w:w="7840" w:type="dxa"/>
            <w:vAlign w:val="bottom"/>
          </w:tcPr>
          <w:p>
            <w:pPr>
              <w:ind w:left="560"/>
              <w:spacing w:after="0"/>
              <w:rPr>
                <w:sz w:val="20"/>
                <w:szCs w:val="20"/>
                <w:color w:val="auto"/>
              </w:rPr>
            </w:pPr>
            <w:r>
              <w:rPr>
                <w:rFonts w:ascii="Arial" w:cs="Arial" w:eastAsia="Arial" w:hAnsi="Arial"/>
                <w:sz w:val="14"/>
                <w:szCs w:val="14"/>
                <w:color w:val="auto"/>
              </w:rPr>
              <w:t>Prepaid expenses and other current assets</w:t>
            </w:r>
          </w:p>
        </w:tc>
        <w:tc>
          <w:tcPr>
            <w:tcW w:w="1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(9,210)</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(8,805)</w:t>
            </w:r>
          </w:p>
        </w:tc>
        <w:tc>
          <w:tcPr>
            <w:tcW w:w="0" w:type="dxa"/>
            <w:vAlign w:val="bottom"/>
          </w:tcPr>
          <w:p>
            <w:pPr>
              <w:spacing w:after="0"/>
              <w:rPr>
                <w:sz w:val="1"/>
                <w:szCs w:val="1"/>
                <w:color w:val="auto"/>
              </w:rPr>
            </w:pPr>
          </w:p>
        </w:tc>
      </w:tr>
      <w:tr>
        <w:trPr>
          <w:trHeight w:val="162"/>
        </w:trPr>
        <w:tc>
          <w:tcPr>
            <w:tcW w:w="7840" w:type="dxa"/>
            <w:vAlign w:val="bottom"/>
          </w:tcPr>
          <w:p>
            <w:pPr>
              <w:ind w:left="560"/>
              <w:spacing w:after="0"/>
              <w:rPr>
                <w:sz w:val="20"/>
                <w:szCs w:val="20"/>
                <w:color w:val="auto"/>
              </w:rPr>
            </w:pPr>
            <w:r>
              <w:rPr>
                <w:rFonts w:ascii="Arial" w:cs="Arial" w:eastAsia="Arial" w:hAnsi="Arial"/>
                <w:sz w:val="14"/>
                <w:szCs w:val="14"/>
                <w:color w:val="auto"/>
              </w:rPr>
              <w:t>Prepaid income taxes</w:t>
            </w:r>
          </w:p>
        </w:tc>
        <w:tc>
          <w:tcPr>
            <w:tcW w:w="1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24,168</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(136,899)</w:t>
            </w:r>
          </w:p>
        </w:tc>
        <w:tc>
          <w:tcPr>
            <w:tcW w:w="0" w:type="dxa"/>
            <w:vAlign w:val="bottom"/>
          </w:tcPr>
          <w:p>
            <w:pPr>
              <w:spacing w:after="0"/>
              <w:rPr>
                <w:sz w:val="1"/>
                <w:szCs w:val="1"/>
                <w:color w:val="auto"/>
              </w:rPr>
            </w:pPr>
          </w:p>
        </w:tc>
      </w:tr>
      <w:tr>
        <w:trPr>
          <w:trHeight w:val="162"/>
        </w:trPr>
        <w:tc>
          <w:tcPr>
            <w:tcW w:w="7840" w:type="dxa"/>
            <w:vAlign w:val="bottom"/>
          </w:tcPr>
          <w:p>
            <w:pPr>
              <w:ind w:left="560"/>
              <w:spacing w:after="0"/>
              <w:rPr>
                <w:sz w:val="20"/>
                <w:szCs w:val="20"/>
                <w:color w:val="auto"/>
              </w:rPr>
            </w:pPr>
            <w:r>
              <w:rPr>
                <w:rFonts w:ascii="Arial" w:cs="Arial" w:eastAsia="Arial" w:hAnsi="Arial"/>
                <w:sz w:val="14"/>
                <w:szCs w:val="14"/>
                <w:color w:val="auto"/>
              </w:rPr>
              <w:t>Accounts payable</w:t>
            </w:r>
          </w:p>
        </w:tc>
        <w:tc>
          <w:tcPr>
            <w:tcW w:w="1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24,653</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21,795</w:t>
            </w:r>
          </w:p>
        </w:tc>
        <w:tc>
          <w:tcPr>
            <w:tcW w:w="0" w:type="dxa"/>
            <w:vAlign w:val="bottom"/>
          </w:tcPr>
          <w:p>
            <w:pPr>
              <w:spacing w:after="0"/>
              <w:rPr>
                <w:sz w:val="1"/>
                <w:szCs w:val="1"/>
                <w:color w:val="auto"/>
              </w:rPr>
            </w:pPr>
          </w:p>
        </w:tc>
      </w:tr>
      <w:tr>
        <w:trPr>
          <w:trHeight w:val="162"/>
        </w:trPr>
        <w:tc>
          <w:tcPr>
            <w:tcW w:w="7840" w:type="dxa"/>
            <w:vAlign w:val="bottom"/>
          </w:tcPr>
          <w:p>
            <w:pPr>
              <w:ind w:left="560"/>
              <w:spacing w:after="0"/>
              <w:rPr>
                <w:sz w:val="20"/>
                <w:szCs w:val="20"/>
                <w:color w:val="auto"/>
              </w:rPr>
            </w:pPr>
            <w:r>
              <w:rPr>
                <w:rFonts w:ascii="Arial" w:cs="Arial" w:eastAsia="Arial" w:hAnsi="Arial"/>
                <w:sz w:val="14"/>
                <w:szCs w:val="14"/>
                <w:color w:val="auto"/>
              </w:rPr>
              <w:t>Accrued liabilities</w:t>
            </w:r>
          </w:p>
        </w:tc>
        <w:tc>
          <w:tcPr>
            <w:tcW w:w="1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15,867</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8,303</w:t>
            </w:r>
          </w:p>
        </w:tc>
        <w:tc>
          <w:tcPr>
            <w:tcW w:w="0" w:type="dxa"/>
            <w:vAlign w:val="bottom"/>
          </w:tcPr>
          <w:p>
            <w:pPr>
              <w:spacing w:after="0"/>
              <w:rPr>
                <w:sz w:val="1"/>
                <w:szCs w:val="1"/>
                <w:color w:val="auto"/>
              </w:rPr>
            </w:pPr>
          </w:p>
        </w:tc>
      </w:tr>
      <w:tr>
        <w:trPr>
          <w:trHeight w:val="162"/>
        </w:trPr>
        <w:tc>
          <w:tcPr>
            <w:tcW w:w="7840" w:type="dxa"/>
            <w:vAlign w:val="bottom"/>
          </w:tcPr>
          <w:p>
            <w:pPr>
              <w:ind w:left="560"/>
              <w:spacing w:after="0"/>
              <w:rPr>
                <w:sz w:val="20"/>
                <w:szCs w:val="20"/>
                <w:color w:val="auto"/>
              </w:rPr>
            </w:pPr>
            <w:r>
              <w:rPr>
                <w:rFonts w:ascii="Arial" w:cs="Arial" w:eastAsia="Arial" w:hAnsi="Arial"/>
                <w:sz w:val="14"/>
                <w:szCs w:val="14"/>
                <w:color w:val="auto"/>
              </w:rPr>
              <w:t>Accrued promotional allowances</w:t>
            </w:r>
          </w:p>
        </w:tc>
        <w:tc>
          <w:tcPr>
            <w:tcW w:w="1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42,064</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23,411</w:t>
            </w:r>
          </w:p>
        </w:tc>
        <w:tc>
          <w:tcPr>
            <w:tcW w:w="0" w:type="dxa"/>
            <w:vAlign w:val="bottom"/>
          </w:tcPr>
          <w:p>
            <w:pPr>
              <w:spacing w:after="0"/>
              <w:rPr>
                <w:sz w:val="1"/>
                <w:szCs w:val="1"/>
                <w:color w:val="auto"/>
              </w:rPr>
            </w:pPr>
          </w:p>
        </w:tc>
      </w:tr>
      <w:tr>
        <w:trPr>
          <w:trHeight w:val="162"/>
        </w:trPr>
        <w:tc>
          <w:tcPr>
            <w:tcW w:w="7840" w:type="dxa"/>
            <w:vAlign w:val="bottom"/>
          </w:tcPr>
          <w:p>
            <w:pPr>
              <w:ind w:left="560"/>
              <w:spacing w:after="0"/>
              <w:rPr>
                <w:sz w:val="20"/>
                <w:szCs w:val="20"/>
                <w:color w:val="auto"/>
              </w:rPr>
            </w:pPr>
            <w:r>
              <w:rPr>
                <w:rFonts w:ascii="Arial" w:cs="Arial" w:eastAsia="Arial" w:hAnsi="Arial"/>
                <w:sz w:val="14"/>
                <w:szCs w:val="14"/>
                <w:color w:val="auto"/>
              </w:rPr>
              <w:t>Accrued distributor terminations</w:t>
            </w:r>
          </w:p>
        </w:tc>
        <w:tc>
          <w:tcPr>
            <w:tcW w:w="1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7,416</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(5,466)</w:t>
            </w:r>
          </w:p>
        </w:tc>
        <w:tc>
          <w:tcPr>
            <w:tcW w:w="0" w:type="dxa"/>
            <w:vAlign w:val="bottom"/>
          </w:tcPr>
          <w:p>
            <w:pPr>
              <w:spacing w:after="0"/>
              <w:rPr>
                <w:sz w:val="1"/>
                <w:szCs w:val="1"/>
                <w:color w:val="auto"/>
              </w:rPr>
            </w:pPr>
          </w:p>
        </w:tc>
      </w:tr>
      <w:tr>
        <w:trPr>
          <w:trHeight w:val="162"/>
        </w:trPr>
        <w:tc>
          <w:tcPr>
            <w:tcW w:w="7840" w:type="dxa"/>
            <w:vAlign w:val="bottom"/>
          </w:tcPr>
          <w:p>
            <w:pPr>
              <w:ind w:left="560"/>
              <w:spacing w:after="0"/>
              <w:rPr>
                <w:sz w:val="20"/>
                <w:szCs w:val="20"/>
                <w:color w:val="auto"/>
              </w:rPr>
            </w:pPr>
            <w:r>
              <w:rPr>
                <w:rFonts w:ascii="Arial" w:cs="Arial" w:eastAsia="Arial" w:hAnsi="Arial"/>
                <w:sz w:val="14"/>
                <w:szCs w:val="14"/>
                <w:color w:val="auto"/>
              </w:rPr>
              <w:t>Accrued compensation</w:t>
            </w:r>
          </w:p>
        </w:tc>
        <w:tc>
          <w:tcPr>
            <w:tcW w:w="1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(3,230)</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(346)</w:t>
            </w:r>
          </w:p>
        </w:tc>
        <w:tc>
          <w:tcPr>
            <w:tcW w:w="0" w:type="dxa"/>
            <w:vAlign w:val="bottom"/>
          </w:tcPr>
          <w:p>
            <w:pPr>
              <w:spacing w:after="0"/>
              <w:rPr>
                <w:sz w:val="1"/>
                <w:szCs w:val="1"/>
                <w:color w:val="auto"/>
              </w:rPr>
            </w:pPr>
          </w:p>
        </w:tc>
      </w:tr>
      <w:tr>
        <w:trPr>
          <w:trHeight w:val="162"/>
        </w:trPr>
        <w:tc>
          <w:tcPr>
            <w:tcW w:w="7840" w:type="dxa"/>
            <w:vAlign w:val="bottom"/>
          </w:tcPr>
          <w:p>
            <w:pPr>
              <w:ind w:left="560"/>
              <w:spacing w:after="0"/>
              <w:rPr>
                <w:sz w:val="20"/>
                <w:szCs w:val="20"/>
                <w:color w:val="auto"/>
              </w:rPr>
            </w:pPr>
            <w:r>
              <w:rPr>
                <w:rFonts w:ascii="Arial" w:cs="Arial" w:eastAsia="Arial" w:hAnsi="Arial"/>
                <w:sz w:val="14"/>
                <w:szCs w:val="14"/>
                <w:color w:val="auto"/>
              </w:rPr>
              <w:t>Income taxes payable</w:t>
            </w:r>
          </w:p>
        </w:tc>
        <w:tc>
          <w:tcPr>
            <w:tcW w:w="1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(4,142)</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3,340</w:t>
            </w:r>
          </w:p>
        </w:tc>
        <w:tc>
          <w:tcPr>
            <w:tcW w:w="0" w:type="dxa"/>
            <w:vAlign w:val="bottom"/>
          </w:tcPr>
          <w:p>
            <w:pPr>
              <w:spacing w:after="0"/>
              <w:rPr>
                <w:sz w:val="1"/>
                <w:szCs w:val="1"/>
                <w:color w:val="auto"/>
              </w:rPr>
            </w:pPr>
          </w:p>
        </w:tc>
      </w:tr>
      <w:tr>
        <w:trPr>
          <w:trHeight w:val="162"/>
        </w:trPr>
        <w:tc>
          <w:tcPr>
            <w:tcW w:w="7840" w:type="dxa"/>
            <w:vAlign w:val="bottom"/>
          </w:tcPr>
          <w:p>
            <w:pPr>
              <w:ind w:left="560"/>
              <w:spacing w:after="0"/>
              <w:rPr>
                <w:sz w:val="20"/>
                <w:szCs w:val="20"/>
                <w:color w:val="auto"/>
              </w:rPr>
            </w:pPr>
            <w:r>
              <w:rPr>
                <w:rFonts w:ascii="Arial" w:cs="Arial" w:eastAsia="Arial" w:hAnsi="Arial"/>
                <w:sz w:val="14"/>
                <w:szCs w:val="14"/>
                <w:color w:val="auto"/>
              </w:rPr>
              <w:t>Other liabilities</w:t>
            </w:r>
          </w:p>
        </w:tc>
        <w:tc>
          <w:tcPr>
            <w:tcW w:w="1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819</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7840" w:type="dxa"/>
            <w:vAlign w:val="bottom"/>
          </w:tcPr>
          <w:p>
            <w:pPr>
              <w:ind w:left="560"/>
              <w:spacing w:after="0"/>
              <w:rPr>
                <w:sz w:val="20"/>
                <w:szCs w:val="20"/>
                <w:color w:val="auto"/>
              </w:rPr>
            </w:pPr>
            <w:r>
              <w:rPr>
                <w:rFonts w:ascii="Arial" w:cs="Arial" w:eastAsia="Arial" w:hAnsi="Arial"/>
                <w:sz w:val="14"/>
                <w:szCs w:val="14"/>
                <w:color w:val="auto"/>
              </w:rPr>
              <w:t>Deferred revenue</w:t>
            </w: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(12,461)</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16,757</w:t>
            </w:r>
          </w:p>
        </w:tc>
        <w:tc>
          <w:tcPr>
            <w:tcW w:w="0" w:type="dxa"/>
            <w:vAlign w:val="bottom"/>
          </w:tcPr>
          <w:p>
            <w:pPr>
              <w:spacing w:after="0"/>
              <w:rPr>
                <w:sz w:val="1"/>
                <w:szCs w:val="1"/>
                <w:color w:val="auto"/>
              </w:rPr>
            </w:pPr>
          </w:p>
        </w:tc>
      </w:tr>
      <w:tr>
        <w:trPr>
          <w:trHeight w:val="176"/>
        </w:trPr>
        <w:tc>
          <w:tcPr>
            <w:tcW w:w="7840" w:type="dxa"/>
            <w:vAlign w:val="bottom"/>
          </w:tcPr>
          <w:p>
            <w:pPr>
              <w:ind w:left="740"/>
              <w:spacing w:after="0"/>
              <w:rPr>
                <w:sz w:val="20"/>
                <w:szCs w:val="20"/>
                <w:color w:val="auto"/>
              </w:rPr>
            </w:pPr>
            <w:r>
              <w:rPr>
                <w:rFonts w:ascii="Arial" w:cs="Arial" w:eastAsia="Arial" w:hAnsi="Arial"/>
                <w:sz w:val="14"/>
                <w:szCs w:val="14"/>
                <w:color w:val="auto"/>
              </w:rPr>
              <w:t>Net cash provided by operating activities</w:t>
            </w:r>
          </w:p>
        </w:tc>
        <w:tc>
          <w:tcPr>
            <w:tcW w:w="1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790,057</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420,702</w:t>
            </w:r>
          </w:p>
        </w:tc>
        <w:tc>
          <w:tcPr>
            <w:tcW w:w="0" w:type="dxa"/>
            <w:vAlign w:val="bottom"/>
          </w:tcPr>
          <w:p>
            <w:pPr>
              <w:spacing w:after="0"/>
              <w:rPr>
                <w:sz w:val="1"/>
                <w:szCs w:val="1"/>
                <w:color w:val="auto"/>
              </w:rPr>
            </w:pPr>
          </w:p>
        </w:tc>
      </w:tr>
      <w:tr>
        <w:trPr>
          <w:trHeight w:val="231"/>
        </w:trPr>
        <w:tc>
          <w:tcPr>
            <w:tcW w:w="7840" w:type="dxa"/>
            <w:vAlign w:val="bottom"/>
          </w:tcPr>
          <w:p>
            <w:pPr>
              <w:spacing w:after="0"/>
              <w:rPr>
                <w:sz w:val="20"/>
                <w:szCs w:val="20"/>
                <w:color w:val="auto"/>
              </w:rPr>
            </w:pPr>
            <w:r>
              <w:rPr>
                <w:rFonts w:ascii="Arial" w:cs="Arial" w:eastAsia="Arial" w:hAnsi="Arial"/>
                <w:sz w:val="14"/>
                <w:szCs w:val="14"/>
                <w:color w:val="auto"/>
              </w:rPr>
              <w:t>CASH FLOWS FROM INVESTING ACTIVITIES:</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7840" w:type="dxa"/>
            <w:vAlign w:val="bottom"/>
          </w:tcPr>
          <w:p>
            <w:pPr>
              <w:spacing w:after="0"/>
              <w:rPr>
                <w:sz w:val="20"/>
                <w:szCs w:val="20"/>
                <w:color w:val="auto"/>
              </w:rPr>
            </w:pPr>
            <w:r>
              <w:rPr>
                <w:rFonts w:ascii="Arial" w:cs="Arial" w:eastAsia="Arial" w:hAnsi="Arial"/>
                <w:sz w:val="14"/>
                <w:szCs w:val="14"/>
                <w:color w:val="auto"/>
              </w:rPr>
              <w:t>Maturities of held-to-maturity investments</w:t>
            </w:r>
          </w:p>
        </w:tc>
        <w:tc>
          <w:tcPr>
            <w:tcW w:w="1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892,453</w:t>
            </w:r>
          </w:p>
        </w:tc>
        <w:tc>
          <w:tcPr>
            <w:tcW w:w="0" w:type="dxa"/>
            <w:vAlign w:val="bottom"/>
          </w:tcPr>
          <w:p>
            <w:pPr>
              <w:spacing w:after="0"/>
              <w:rPr>
                <w:sz w:val="1"/>
                <w:szCs w:val="1"/>
                <w:color w:val="auto"/>
              </w:rPr>
            </w:pPr>
          </w:p>
        </w:tc>
      </w:tr>
      <w:tr>
        <w:trPr>
          <w:trHeight w:val="162"/>
        </w:trPr>
        <w:tc>
          <w:tcPr>
            <w:tcW w:w="7840" w:type="dxa"/>
            <w:vAlign w:val="bottom"/>
          </w:tcPr>
          <w:p>
            <w:pPr>
              <w:spacing w:after="0"/>
              <w:rPr>
                <w:sz w:val="20"/>
                <w:szCs w:val="20"/>
                <w:color w:val="auto"/>
              </w:rPr>
            </w:pPr>
            <w:r>
              <w:rPr>
                <w:rFonts w:ascii="Arial" w:cs="Arial" w:eastAsia="Arial" w:hAnsi="Arial"/>
                <w:sz w:val="14"/>
                <w:szCs w:val="14"/>
                <w:color w:val="auto"/>
              </w:rPr>
              <w:t>Sales of available-for-sale investments</w:t>
            </w:r>
          </w:p>
        </w:tc>
        <w:tc>
          <w:tcPr>
            <w:tcW w:w="1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358,107</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2,993</w:t>
            </w:r>
          </w:p>
        </w:tc>
        <w:tc>
          <w:tcPr>
            <w:tcW w:w="0" w:type="dxa"/>
            <w:vAlign w:val="bottom"/>
          </w:tcPr>
          <w:p>
            <w:pPr>
              <w:spacing w:after="0"/>
              <w:rPr>
                <w:sz w:val="1"/>
                <w:szCs w:val="1"/>
                <w:color w:val="auto"/>
              </w:rPr>
            </w:pPr>
          </w:p>
        </w:tc>
      </w:tr>
      <w:tr>
        <w:trPr>
          <w:trHeight w:val="162"/>
        </w:trPr>
        <w:tc>
          <w:tcPr>
            <w:tcW w:w="7840" w:type="dxa"/>
            <w:vAlign w:val="bottom"/>
          </w:tcPr>
          <w:p>
            <w:pPr>
              <w:spacing w:after="0"/>
              <w:rPr>
                <w:sz w:val="20"/>
                <w:szCs w:val="20"/>
                <w:color w:val="auto"/>
              </w:rPr>
            </w:pPr>
            <w:r>
              <w:rPr>
                <w:rFonts w:ascii="Arial" w:cs="Arial" w:eastAsia="Arial" w:hAnsi="Arial"/>
                <w:sz w:val="14"/>
                <w:szCs w:val="14"/>
                <w:color w:val="auto"/>
              </w:rPr>
              <w:t>Purchases of held-to-maturity investments</w:t>
            </w:r>
          </w:p>
        </w:tc>
        <w:tc>
          <w:tcPr>
            <w:tcW w:w="1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(378,254)</w:t>
            </w:r>
          </w:p>
        </w:tc>
        <w:tc>
          <w:tcPr>
            <w:tcW w:w="0" w:type="dxa"/>
            <w:vAlign w:val="bottom"/>
          </w:tcPr>
          <w:p>
            <w:pPr>
              <w:spacing w:after="0"/>
              <w:rPr>
                <w:sz w:val="1"/>
                <w:szCs w:val="1"/>
                <w:color w:val="auto"/>
              </w:rPr>
            </w:pPr>
          </w:p>
        </w:tc>
      </w:tr>
      <w:tr>
        <w:trPr>
          <w:trHeight w:val="162"/>
        </w:trPr>
        <w:tc>
          <w:tcPr>
            <w:tcW w:w="7840" w:type="dxa"/>
            <w:vAlign w:val="bottom"/>
          </w:tcPr>
          <w:p>
            <w:pPr>
              <w:spacing w:after="0"/>
              <w:rPr>
                <w:sz w:val="20"/>
                <w:szCs w:val="20"/>
                <w:color w:val="auto"/>
              </w:rPr>
            </w:pPr>
            <w:r>
              <w:rPr>
                <w:rFonts w:ascii="Arial" w:cs="Arial" w:eastAsia="Arial" w:hAnsi="Arial"/>
                <w:sz w:val="14"/>
                <w:szCs w:val="14"/>
                <w:color w:val="auto"/>
              </w:rPr>
              <w:t>Purchases of available-for-sale investments</w:t>
            </w:r>
          </w:p>
        </w:tc>
        <w:tc>
          <w:tcPr>
            <w:tcW w:w="1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(768,276)</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(24,405)</w:t>
            </w:r>
          </w:p>
        </w:tc>
        <w:tc>
          <w:tcPr>
            <w:tcW w:w="0" w:type="dxa"/>
            <w:vAlign w:val="bottom"/>
          </w:tcPr>
          <w:p>
            <w:pPr>
              <w:spacing w:after="0"/>
              <w:rPr>
                <w:sz w:val="1"/>
                <w:szCs w:val="1"/>
                <w:color w:val="auto"/>
              </w:rPr>
            </w:pPr>
          </w:p>
        </w:tc>
      </w:tr>
      <w:tr>
        <w:trPr>
          <w:trHeight w:val="162"/>
        </w:trPr>
        <w:tc>
          <w:tcPr>
            <w:tcW w:w="7840" w:type="dxa"/>
            <w:vAlign w:val="bottom"/>
          </w:tcPr>
          <w:p>
            <w:pPr>
              <w:spacing w:after="0"/>
              <w:rPr>
                <w:sz w:val="20"/>
                <w:szCs w:val="20"/>
                <w:color w:val="auto"/>
              </w:rPr>
            </w:pPr>
            <w:r>
              <w:rPr>
                <w:rFonts w:ascii="Arial" w:cs="Arial" w:eastAsia="Arial" w:hAnsi="Arial"/>
                <w:sz w:val="14"/>
                <w:szCs w:val="14"/>
                <w:color w:val="auto"/>
              </w:rPr>
              <w:t>Purchases of property and equipment</w:t>
            </w:r>
          </w:p>
        </w:tc>
        <w:tc>
          <w:tcPr>
            <w:tcW w:w="1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(67,738)</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(67,527)</w:t>
            </w:r>
          </w:p>
        </w:tc>
        <w:tc>
          <w:tcPr>
            <w:tcW w:w="0" w:type="dxa"/>
            <w:vAlign w:val="bottom"/>
          </w:tcPr>
          <w:p>
            <w:pPr>
              <w:spacing w:after="0"/>
              <w:rPr>
                <w:sz w:val="1"/>
                <w:szCs w:val="1"/>
                <w:color w:val="auto"/>
              </w:rPr>
            </w:pPr>
          </w:p>
        </w:tc>
      </w:tr>
      <w:tr>
        <w:trPr>
          <w:trHeight w:val="162"/>
        </w:trPr>
        <w:tc>
          <w:tcPr>
            <w:tcW w:w="7840" w:type="dxa"/>
            <w:vAlign w:val="bottom"/>
          </w:tcPr>
          <w:p>
            <w:pPr>
              <w:spacing w:after="0"/>
              <w:rPr>
                <w:sz w:val="20"/>
                <w:szCs w:val="20"/>
                <w:color w:val="auto"/>
              </w:rPr>
            </w:pPr>
            <w:r>
              <w:rPr>
                <w:rFonts w:ascii="Arial" w:cs="Arial" w:eastAsia="Arial" w:hAnsi="Arial"/>
                <w:sz w:val="14"/>
                <w:szCs w:val="14"/>
                <w:color w:val="auto"/>
              </w:rPr>
              <w:t>Proceeds from sale of property and equipment</w:t>
            </w:r>
          </w:p>
        </w:tc>
        <w:tc>
          <w:tcPr>
            <w:tcW w:w="1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855</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705</w:t>
            </w:r>
          </w:p>
        </w:tc>
        <w:tc>
          <w:tcPr>
            <w:tcW w:w="0" w:type="dxa"/>
            <w:vAlign w:val="bottom"/>
          </w:tcPr>
          <w:p>
            <w:pPr>
              <w:spacing w:after="0"/>
              <w:rPr>
                <w:sz w:val="1"/>
                <w:szCs w:val="1"/>
                <w:color w:val="auto"/>
              </w:rPr>
            </w:pPr>
          </w:p>
        </w:tc>
      </w:tr>
      <w:tr>
        <w:trPr>
          <w:trHeight w:val="162"/>
        </w:trPr>
        <w:tc>
          <w:tcPr>
            <w:tcW w:w="7840" w:type="dxa"/>
            <w:vAlign w:val="bottom"/>
          </w:tcPr>
          <w:p>
            <w:pPr>
              <w:spacing w:after="0"/>
              <w:rPr>
                <w:sz w:val="20"/>
                <w:szCs w:val="20"/>
                <w:color w:val="auto"/>
              </w:rPr>
            </w:pPr>
            <w:r>
              <w:rPr>
                <w:rFonts w:ascii="Arial" w:cs="Arial" w:eastAsia="Arial" w:hAnsi="Arial"/>
                <w:sz w:val="14"/>
                <w:szCs w:val="14"/>
                <w:color w:val="auto"/>
              </w:rPr>
              <w:t>Purchases of AFF Assets, net</w:t>
            </w:r>
          </w:p>
        </w:tc>
        <w:tc>
          <w:tcPr>
            <w:tcW w:w="1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(688,485)</w:t>
            </w:r>
          </w:p>
        </w:tc>
        <w:tc>
          <w:tcPr>
            <w:tcW w:w="0" w:type="dxa"/>
            <w:vAlign w:val="bottom"/>
          </w:tcPr>
          <w:p>
            <w:pPr>
              <w:spacing w:after="0"/>
              <w:rPr>
                <w:sz w:val="1"/>
                <w:szCs w:val="1"/>
                <w:color w:val="auto"/>
              </w:rPr>
            </w:pPr>
          </w:p>
        </w:tc>
      </w:tr>
      <w:tr>
        <w:trPr>
          <w:trHeight w:val="162"/>
        </w:trPr>
        <w:tc>
          <w:tcPr>
            <w:tcW w:w="7840" w:type="dxa"/>
            <w:vAlign w:val="bottom"/>
          </w:tcPr>
          <w:p>
            <w:pPr>
              <w:spacing w:after="0"/>
              <w:rPr>
                <w:sz w:val="20"/>
                <w:szCs w:val="20"/>
                <w:color w:val="auto"/>
              </w:rPr>
            </w:pPr>
            <w:r>
              <w:rPr>
                <w:rFonts w:ascii="Arial" w:cs="Arial" w:eastAsia="Arial" w:hAnsi="Arial"/>
                <w:sz w:val="14"/>
                <w:szCs w:val="14"/>
                <w:color w:val="auto"/>
              </w:rPr>
              <w:t>Increase in intangibles</w:t>
            </w:r>
          </w:p>
        </w:tc>
        <w:tc>
          <w:tcPr>
            <w:tcW w:w="1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(5,137)</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(4,255)</w:t>
            </w:r>
          </w:p>
        </w:tc>
        <w:tc>
          <w:tcPr>
            <w:tcW w:w="0" w:type="dxa"/>
            <w:vAlign w:val="bottom"/>
          </w:tcPr>
          <w:p>
            <w:pPr>
              <w:spacing w:after="0"/>
              <w:rPr>
                <w:sz w:val="1"/>
                <w:szCs w:val="1"/>
                <w:color w:val="auto"/>
              </w:rPr>
            </w:pPr>
          </w:p>
        </w:tc>
      </w:tr>
      <w:tr>
        <w:trPr>
          <w:trHeight w:val="167"/>
        </w:trPr>
        <w:tc>
          <w:tcPr>
            <w:tcW w:w="7840" w:type="dxa"/>
            <w:vAlign w:val="bottom"/>
          </w:tcPr>
          <w:p>
            <w:pPr>
              <w:spacing w:after="0"/>
              <w:rPr>
                <w:sz w:val="20"/>
                <w:szCs w:val="20"/>
                <w:color w:val="auto"/>
              </w:rPr>
            </w:pPr>
            <w:r>
              <w:rPr>
                <w:rFonts w:ascii="Arial" w:cs="Arial" w:eastAsia="Arial" w:hAnsi="Arial"/>
                <w:sz w:val="14"/>
                <w:szCs w:val="14"/>
                <w:color w:val="auto"/>
              </w:rPr>
              <w:t>(Increase) decrease in other assets</w:t>
            </w: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(1,216)</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76"/>
        </w:trPr>
        <w:tc>
          <w:tcPr>
            <w:tcW w:w="7840" w:type="dxa"/>
            <w:vAlign w:val="bottom"/>
          </w:tcPr>
          <w:p>
            <w:pPr>
              <w:ind w:left="740"/>
              <w:spacing w:after="0"/>
              <w:rPr>
                <w:sz w:val="20"/>
                <w:szCs w:val="20"/>
                <w:color w:val="auto"/>
              </w:rPr>
            </w:pPr>
            <w:r>
              <w:rPr>
                <w:rFonts w:ascii="Arial" w:cs="Arial" w:eastAsia="Arial" w:hAnsi="Arial"/>
                <w:sz w:val="14"/>
                <w:szCs w:val="14"/>
                <w:color w:val="auto"/>
              </w:rPr>
              <w:t>Net cash used in investing activities</w:t>
            </w:r>
          </w:p>
        </w:tc>
        <w:tc>
          <w:tcPr>
            <w:tcW w:w="1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(483,405)</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(266,719)</w:t>
            </w:r>
          </w:p>
        </w:tc>
        <w:tc>
          <w:tcPr>
            <w:tcW w:w="0" w:type="dxa"/>
            <w:vAlign w:val="bottom"/>
          </w:tcPr>
          <w:p>
            <w:pPr>
              <w:spacing w:after="0"/>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CASH FLOWS FROM FINANCING ACTIVITIES:</w:t>
      </w:r>
    </w:p>
    <w:p>
      <w:pPr>
        <w:sectPr>
          <w:pgSz w:w="11900" w:h="16838" w:orient="portrait"/>
          <w:cols w:equalWidth="0" w:num="1">
            <w:col w:w="11320"/>
          </w:cols>
          <w:pgMar w:left="240" w:top="341" w:right="339" w:bottom="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20"/>
                <w:szCs w:val="20"/>
                <w:color w:val="auto"/>
              </w:rPr>
            </w:pPr>
            <w:r>
              <w:rPr>
                <w:rFonts w:ascii="Arial" w:cs="Arial" w:eastAsia="Arial" w:hAnsi="Arial"/>
                <w:sz w:val="14"/>
                <w:szCs w:val="14"/>
                <w:color w:val="auto"/>
              </w:rPr>
              <w:t>Principal payments on debt</w:t>
            </w:r>
          </w:p>
        </w:tc>
        <w:tc>
          <w:tcPr>
            <w:tcW w:w="5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(1,878)</w:t>
            </w: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(1,731)</w:t>
            </w:r>
          </w:p>
        </w:tc>
        <w:tc>
          <w:tcPr>
            <w:tcW w:w="0" w:type="dxa"/>
            <w:vAlign w:val="bottom"/>
          </w:tcPr>
          <w:p>
            <w:pPr>
              <w:spacing w:after="0"/>
              <w:rPr>
                <w:sz w:val="1"/>
                <w:szCs w:val="1"/>
                <w:color w:val="auto"/>
              </w:rPr>
            </w:pPr>
          </w:p>
        </w:tc>
      </w:tr>
      <w:tr>
        <w:trPr>
          <w:trHeight w:val="162"/>
        </w:trPr>
        <w:tc>
          <w:tcPr>
            <w:tcW w:w="7840" w:type="dxa"/>
            <w:vAlign w:val="bottom"/>
          </w:tcPr>
          <w:p>
            <w:pPr>
              <w:spacing w:after="0"/>
              <w:rPr>
                <w:sz w:val="20"/>
                <w:szCs w:val="20"/>
                <w:color w:val="auto"/>
              </w:rPr>
            </w:pPr>
            <w:r>
              <w:rPr>
                <w:rFonts w:ascii="Arial" w:cs="Arial" w:eastAsia="Arial" w:hAnsi="Arial"/>
                <w:sz w:val="14"/>
                <w:szCs w:val="14"/>
                <w:color w:val="auto"/>
              </w:rPr>
              <w:t>Issuance of common stock</w:t>
            </w:r>
          </w:p>
        </w:tc>
        <w:tc>
          <w:tcPr>
            <w:tcW w:w="5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26,776</w:t>
            </w: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10,615</w:t>
            </w:r>
          </w:p>
        </w:tc>
        <w:tc>
          <w:tcPr>
            <w:tcW w:w="0" w:type="dxa"/>
            <w:vAlign w:val="bottom"/>
          </w:tcPr>
          <w:p>
            <w:pPr>
              <w:spacing w:after="0"/>
              <w:rPr>
                <w:sz w:val="1"/>
                <w:szCs w:val="1"/>
                <w:color w:val="auto"/>
              </w:rPr>
            </w:pPr>
          </w:p>
        </w:tc>
      </w:tr>
      <w:tr>
        <w:trPr>
          <w:trHeight w:val="167"/>
        </w:trPr>
        <w:tc>
          <w:tcPr>
            <w:tcW w:w="7840" w:type="dxa"/>
            <w:vAlign w:val="bottom"/>
          </w:tcPr>
          <w:p>
            <w:pPr>
              <w:spacing w:after="0"/>
              <w:rPr>
                <w:sz w:val="20"/>
                <w:szCs w:val="20"/>
                <w:color w:val="auto"/>
              </w:rPr>
            </w:pPr>
            <w:r>
              <w:rPr>
                <w:rFonts w:ascii="Arial" w:cs="Arial" w:eastAsia="Arial" w:hAnsi="Arial"/>
                <w:sz w:val="14"/>
                <w:szCs w:val="14"/>
                <w:color w:val="auto"/>
              </w:rPr>
              <w:t>Purchases of common stock held in treasury</w:t>
            </w:r>
          </w:p>
        </w:tc>
        <w:tc>
          <w:tcPr>
            <w:tcW w:w="5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(249,173)</w:t>
            </w:r>
          </w:p>
        </w:tc>
        <w:tc>
          <w:tcPr>
            <w:tcW w:w="2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(2,002,441)</w:t>
            </w:r>
          </w:p>
        </w:tc>
        <w:tc>
          <w:tcPr>
            <w:tcW w:w="0" w:type="dxa"/>
            <w:vAlign w:val="bottom"/>
          </w:tcPr>
          <w:p>
            <w:pPr>
              <w:spacing w:after="0"/>
              <w:rPr>
                <w:sz w:val="1"/>
                <w:szCs w:val="1"/>
                <w:color w:val="auto"/>
              </w:rPr>
            </w:pPr>
          </w:p>
        </w:tc>
      </w:tr>
      <w:tr>
        <w:trPr>
          <w:trHeight w:val="156"/>
        </w:trPr>
        <w:tc>
          <w:tcPr>
            <w:tcW w:w="7840" w:type="dxa"/>
            <w:vAlign w:val="bottom"/>
          </w:tcPr>
          <w:p>
            <w:pPr>
              <w:ind w:left="740"/>
              <w:spacing w:after="0" w:line="155" w:lineRule="exact"/>
              <w:rPr>
                <w:sz w:val="20"/>
                <w:szCs w:val="20"/>
                <w:color w:val="auto"/>
              </w:rPr>
            </w:pPr>
            <w:r>
              <w:rPr>
                <w:rFonts w:ascii="Arial" w:cs="Arial" w:eastAsia="Arial" w:hAnsi="Arial"/>
                <w:sz w:val="14"/>
                <w:szCs w:val="14"/>
                <w:color w:val="auto"/>
              </w:rPr>
              <w:t>Net cash used in financing activities</w:t>
            </w:r>
          </w:p>
        </w:tc>
        <w:tc>
          <w:tcPr>
            <w:tcW w:w="5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(224,275)</w:t>
            </w:r>
          </w:p>
        </w:tc>
        <w:tc>
          <w:tcPr>
            <w:tcW w:w="28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(1,993,557)</w:t>
            </w:r>
          </w:p>
        </w:tc>
        <w:tc>
          <w:tcPr>
            <w:tcW w:w="0" w:type="dxa"/>
            <w:vAlign w:val="bottom"/>
          </w:tcPr>
          <w:p>
            <w:pPr>
              <w:spacing w:after="0"/>
              <w:rPr>
                <w:sz w:val="1"/>
                <w:szCs w:val="1"/>
                <w:color w:val="auto"/>
              </w:rPr>
            </w:pPr>
          </w:p>
        </w:tc>
      </w:tr>
      <w:tr>
        <w:trPr>
          <w:trHeight w:val="265"/>
        </w:trPr>
        <w:tc>
          <w:tcPr>
            <w:tcW w:w="7840" w:type="dxa"/>
            <w:vAlign w:val="bottom"/>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5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5,600</w:t>
            </w:r>
          </w:p>
        </w:tc>
        <w:tc>
          <w:tcPr>
            <w:tcW w:w="2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5,683</w:t>
            </w:r>
          </w:p>
        </w:tc>
        <w:tc>
          <w:tcPr>
            <w:tcW w:w="0" w:type="dxa"/>
            <w:vAlign w:val="bottom"/>
          </w:tcPr>
          <w:p>
            <w:pPr>
              <w:spacing w:after="0"/>
              <w:rPr>
                <w:sz w:val="1"/>
                <w:szCs w:val="1"/>
                <w:color w:val="auto"/>
              </w:rPr>
            </w:pPr>
          </w:p>
        </w:tc>
      </w:tr>
      <w:tr>
        <w:trPr>
          <w:trHeight w:val="236"/>
        </w:trPr>
        <w:tc>
          <w:tcPr>
            <w:tcW w:w="7840" w:type="dxa"/>
            <w:vAlign w:val="bottom"/>
          </w:tcPr>
          <w:p>
            <w:pPr>
              <w:spacing w:after="0"/>
              <w:rPr>
                <w:sz w:val="20"/>
                <w:szCs w:val="20"/>
                <w:color w:val="auto"/>
              </w:rPr>
            </w:pPr>
            <w:r>
              <w:rPr>
                <w:rFonts w:ascii="Arial" w:cs="Arial" w:eastAsia="Arial" w:hAnsi="Arial"/>
                <w:sz w:val="14"/>
                <w:szCs w:val="14"/>
                <w:color w:val="auto"/>
              </w:rPr>
              <w:t>NET INCREASE (DECREASE) IN CASH AND CASH EQUIVALENTS</w:t>
            </w: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87,977</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(1,833,891)</w:t>
            </w:r>
          </w:p>
        </w:tc>
        <w:tc>
          <w:tcPr>
            <w:tcW w:w="0" w:type="dxa"/>
            <w:vAlign w:val="bottom"/>
          </w:tcPr>
          <w:p>
            <w:pPr>
              <w:spacing w:after="0"/>
              <w:rPr>
                <w:sz w:val="1"/>
                <w:szCs w:val="1"/>
                <w:color w:val="auto"/>
              </w:rPr>
            </w:pPr>
          </w:p>
        </w:tc>
      </w:tr>
      <w:tr>
        <w:trPr>
          <w:trHeight w:val="167"/>
        </w:trPr>
        <w:tc>
          <w:tcPr>
            <w:tcW w:w="7840" w:type="dxa"/>
            <w:vAlign w:val="bottom"/>
          </w:tcPr>
          <w:p>
            <w:pPr>
              <w:spacing w:after="0"/>
              <w:rPr>
                <w:sz w:val="20"/>
                <w:szCs w:val="20"/>
                <w:color w:val="auto"/>
              </w:rPr>
            </w:pPr>
            <w:r>
              <w:rPr>
                <w:rFonts w:ascii="Arial" w:cs="Arial" w:eastAsia="Arial" w:hAnsi="Arial"/>
                <w:sz w:val="14"/>
                <w:szCs w:val="14"/>
                <w:color w:val="auto"/>
              </w:rPr>
              <w:t>CASH AND CASH EQUIVALENTS, beginning of period</w:t>
            </w:r>
          </w:p>
        </w:tc>
        <w:tc>
          <w:tcPr>
            <w:tcW w:w="5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377,582</w:t>
            </w:r>
          </w:p>
        </w:tc>
        <w:tc>
          <w:tcPr>
            <w:tcW w:w="2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2,175,417</w:t>
            </w:r>
          </w:p>
        </w:tc>
        <w:tc>
          <w:tcPr>
            <w:tcW w:w="0" w:type="dxa"/>
            <w:vAlign w:val="bottom"/>
          </w:tcPr>
          <w:p>
            <w:pPr>
              <w:spacing w:after="0"/>
              <w:rPr>
                <w:sz w:val="1"/>
                <w:szCs w:val="1"/>
                <w:color w:val="auto"/>
              </w:rPr>
            </w:pPr>
          </w:p>
        </w:tc>
      </w:tr>
      <w:tr>
        <w:trPr>
          <w:trHeight w:val="156"/>
        </w:trPr>
        <w:tc>
          <w:tcPr>
            <w:tcW w:w="7840" w:type="dxa"/>
            <w:vAlign w:val="bottom"/>
          </w:tcPr>
          <w:p>
            <w:pPr>
              <w:spacing w:after="0" w:line="155" w:lineRule="exact"/>
              <w:rPr>
                <w:sz w:val="20"/>
                <w:szCs w:val="20"/>
                <w:color w:val="auto"/>
              </w:rPr>
            </w:pPr>
            <w:r>
              <w:rPr>
                <w:rFonts w:ascii="Arial" w:cs="Arial" w:eastAsia="Arial" w:hAnsi="Arial"/>
                <w:sz w:val="14"/>
                <w:szCs w:val="14"/>
                <w:color w:val="auto"/>
              </w:rPr>
              <w:t>CASH AND CASH EQUIVALENTS, end of period</w:t>
            </w:r>
          </w:p>
        </w:tc>
        <w:tc>
          <w:tcPr>
            <w:tcW w:w="580" w:type="dxa"/>
            <w:vAlign w:val="bottom"/>
            <w:tcBorders>
              <w:bottom w:val="single" w:sz="8" w:color="auto"/>
            </w:tcBorders>
          </w:tcPr>
          <w:p>
            <w:pPr>
              <w:jc w:val="right"/>
              <w:ind w:right="368"/>
              <w:spacing w:after="0" w:line="155"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465,559</w:t>
            </w:r>
          </w:p>
        </w:tc>
        <w:tc>
          <w:tcPr>
            <w:tcW w:w="280" w:type="dxa"/>
            <w:vAlign w:val="bottom"/>
          </w:tcPr>
          <w:p>
            <w:pPr>
              <w:spacing w:after="0"/>
              <w:rPr>
                <w:sz w:val="13"/>
                <w:szCs w:val="13"/>
                <w:color w:val="auto"/>
              </w:rPr>
            </w:pPr>
          </w:p>
        </w:tc>
        <w:tc>
          <w:tcPr>
            <w:tcW w:w="50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341,526</w:t>
            </w:r>
          </w:p>
        </w:tc>
        <w:tc>
          <w:tcPr>
            <w:tcW w:w="0" w:type="dxa"/>
            <w:vAlign w:val="bottom"/>
          </w:tcPr>
          <w:p>
            <w:pPr>
              <w:spacing w:after="0"/>
              <w:rPr>
                <w:sz w:val="1"/>
                <w:szCs w:val="1"/>
                <w:color w:val="auto"/>
              </w:rPr>
            </w:pPr>
          </w:p>
        </w:tc>
      </w:tr>
      <w:tr>
        <w:trPr>
          <w:trHeight w:val="20"/>
        </w:trPr>
        <w:tc>
          <w:tcPr>
            <w:tcW w:w="7840" w:type="dxa"/>
            <w:vAlign w:val="bottom"/>
            <w:vMerge w:val="restart"/>
          </w:tcPr>
          <w:p>
            <w:pPr>
              <w:spacing w:after="0"/>
              <w:rPr>
                <w:sz w:val="20"/>
                <w:szCs w:val="20"/>
                <w:color w:val="auto"/>
              </w:rPr>
            </w:pPr>
            <w:r>
              <w:rPr>
                <w:rFonts w:ascii="Arial" w:cs="Arial" w:eastAsia="Arial" w:hAnsi="Arial"/>
                <w:sz w:val="14"/>
                <w:szCs w:val="14"/>
                <w:color w:val="auto"/>
              </w:rPr>
              <w:t>SUPPLEMENTAL INFORMATION:</w:t>
            </w: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7840" w:type="dxa"/>
            <w:vAlign w:val="bottom"/>
            <w:vMerge w:val="continue"/>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7840" w:type="dxa"/>
            <w:vAlign w:val="bottom"/>
          </w:tcPr>
          <w:p>
            <w:pPr>
              <w:ind w:left="200"/>
              <w:spacing w:after="0"/>
              <w:rPr>
                <w:sz w:val="20"/>
                <w:szCs w:val="20"/>
                <w:color w:val="auto"/>
              </w:rPr>
            </w:pPr>
            <w:r>
              <w:rPr>
                <w:rFonts w:ascii="Arial" w:cs="Arial" w:eastAsia="Arial" w:hAnsi="Arial"/>
                <w:sz w:val="14"/>
                <w:szCs w:val="14"/>
                <w:color w:val="auto"/>
              </w:rPr>
              <w:t>Cash paid during the period for:</w:t>
            </w: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840" w:type="dxa"/>
            <w:vAlign w:val="bottom"/>
          </w:tcPr>
          <w:p>
            <w:pPr>
              <w:ind w:left="380"/>
              <w:spacing w:after="0"/>
              <w:rPr>
                <w:sz w:val="20"/>
                <w:szCs w:val="20"/>
                <w:color w:val="auto"/>
              </w:rPr>
            </w:pPr>
            <w:r>
              <w:rPr>
                <w:rFonts w:ascii="Arial" w:cs="Arial" w:eastAsia="Arial" w:hAnsi="Arial"/>
                <w:sz w:val="14"/>
                <w:szCs w:val="14"/>
                <w:color w:val="auto"/>
              </w:rPr>
              <w:t>Interest</w:t>
            </w:r>
          </w:p>
        </w:tc>
        <w:tc>
          <w:tcPr>
            <w:tcW w:w="5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280" w:type="dxa"/>
            <w:vAlign w:val="bottom"/>
          </w:tcPr>
          <w:p>
            <w:pPr>
              <w:spacing w:after="0"/>
              <w:rPr>
                <w:sz w:val="14"/>
                <w:szCs w:val="14"/>
                <w:color w:val="auto"/>
              </w:rPr>
            </w:pPr>
          </w:p>
        </w:tc>
        <w:tc>
          <w:tcPr>
            <w:tcW w:w="5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0"/>
        </w:trPr>
        <w:tc>
          <w:tcPr>
            <w:tcW w:w="7840" w:type="dxa"/>
            <w:vAlign w:val="bottom"/>
            <w:vMerge w:val="restart"/>
          </w:tcPr>
          <w:p>
            <w:pPr>
              <w:ind w:left="380"/>
              <w:spacing w:after="0"/>
              <w:rPr>
                <w:sz w:val="20"/>
                <w:szCs w:val="20"/>
                <w:color w:val="auto"/>
              </w:rPr>
            </w:pPr>
            <w:r>
              <w:rPr>
                <w:rFonts w:ascii="Arial" w:cs="Arial" w:eastAsia="Arial" w:hAnsi="Arial"/>
                <w:sz w:val="14"/>
                <w:szCs w:val="14"/>
                <w:color w:val="auto"/>
              </w:rPr>
              <w:t>Income taxes</w:t>
            </w: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840" w:type="dxa"/>
            <w:vAlign w:val="bottom"/>
            <w:vMerge w:val="continue"/>
          </w:tcPr>
          <w:p>
            <w:pPr>
              <w:spacing w:after="0"/>
              <w:rPr>
                <w:sz w:val="12"/>
                <w:szCs w:val="12"/>
                <w:color w:val="auto"/>
              </w:rPr>
            </w:pPr>
          </w:p>
        </w:tc>
        <w:tc>
          <w:tcPr>
            <w:tcW w:w="580" w:type="dxa"/>
            <w:vAlign w:val="bottom"/>
            <w:tcBorders>
              <w:bottom w:val="single" w:sz="8" w:color="auto"/>
            </w:tcBorders>
          </w:tcPr>
          <w:p>
            <w:pPr>
              <w:jc w:val="right"/>
              <w:ind w:right="368"/>
              <w:spacing w:after="0" w:line="143"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293,980</w:t>
            </w:r>
          </w:p>
        </w:tc>
        <w:tc>
          <w:tcPr>
            <w:tcW w:w="280" w:type="dxa"/>
            <w:vAlign w:val="bottom"/>
          </w:tcPr>
          <w:p>
            <w:pPr>
              <w:spacing w:after="0"/>
              <w:rPr>
                <w:sz w:val="12"/>
                <w:szCs w:val="12"/>
                <w:color w:val="auto"/>
              </w:rPr>
            </w:pPr>
          </w:p>
        </w:tc>
        <w:tc>
          <w:tcPr>
            <w:tcW w:w="500" w:type="dxa"/>
            <w:vAlign w:val="bottom"/>
            <w:tcBorders>
              <w:bottom w:val="single" w:sz="8" w:color="auto"/>
            </w:tcBorders>
          </w:tcPr>
          <w:p>
            <w:pPr>
              <w:jc w:val="right"/>
              <w:ind w:right="288"/>
              <w:spacing w:after="0" w:line="143" w:lineRule="exact"/>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rPr>
              <w:t>429,371</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ind w:right="5360"/>
        <w:spacing w:after="0" w:line="248" w:lineRule="auto"/>
        <w:rPr>
          <w:sz w:val="20"/>
          <w:szCs w:val="20"/>
          <w:color w:val="auto"/>
        </w:rPr>
      </w:pPr>
      <w:r>
        <w:rPr>
          <w:rFonts w:ascii="Arial" w:cs="Arial" w:eastAsia="Arial" w:hAnsi="Arial"/>
          <w:sz w:val="20"/>
          <w:szCs w:val="20"/>
          <w:b w:val="1"/>
          <w:bCs w:val="1"/>
          <w:color w:val="auto"/>
        </w:rPr>
        <w:t>MONSTER BEVERAGE CORPORATION AND SUBSIDIARIES CONDENSED CONSOLIDATED STATEMENTS OF CASH FLOWS FOR THE NINE-MONTHS ENDED SEPTEMBER 30, 2017 AND 2016 (In Thousands) (Unaudited)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SUPPLEMENTAL DISCLOSURE OF NON-CASH ITEMS</w:t>
      </w:r>
    </w:p>
    <w:p>
      <w:pPr>
        <w:spacing w:after="0" w:line="22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Company entered into capital leases for the acquisition of promotional vehicles of $2.0 million and $2.2 million for the nine-months ended September 30, 2017 and 2016, respectively.</w:t>
      </w:r>
    </w:p>
    <w:p>
      <w:pPr>
        <w:spacing w:after="0" w:line="190"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Included in accrued liabilities as of September 30, 2017 and 2016 were $6.0 million and $0.2 million, respectively, related to purchases of property and equipment.</w:t>
      </w:r>
    </w:p>
    <w:p>
      <w:pPr>
        <w:spacing w:after="0" w:line="190"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Included in accrued liabilities as of September 30, 2017 and 2016 were $4.6 million and $2.3 million, respectively, related to additions to other intangible assets.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Included in accounts payable as of September 30, 2017 were available-for-sale short-term investment purchases of $4.2 million.</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left="640" w:hanging="632"/>
        <w:spacing w:after="0"/>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color w:val="auto"/>
        </w:rPr>
        <w:t>BASIS OF PRESENTATION</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Reference is made to the Notes to Consolidated Financial Statements, in Monster Beverage Corporation and Subsidiaries (the “Company”) Annual Report on Form 10-K for the year ended December 31, 2016 (“Form 10-K”) for a summary of significant accounting policies utilized by the Company and its consolidated subsidiaries and other disclosures, which should be read in conjunction with this Quarterly Report on Form 10-Q (“Form 10-Q”).</w:t>
      </w:r>
    </w:p>
    <w:p>
      <w:pPr>
        <w:spacing w:after="0" w:line="20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The Company’s condensed consolidated financial statements included in this Form 10-Q have been prepared in accordance with accounting principles generally accepted in the United States of America (“GAAP”) and Securities and Exchange Commission (“SEC”) rules and regulations applicable to interim financial reporting. They do not include all the information and footnote disclosures normally included in annual financial statements prepared in accordance with GAAP. The information set forth in these interim condensed consolidated financial statements for the three- and nine-months ended September 30, 2017 and 2016, respectively, is unaudited and reflects all adjustments, which include only normal recurring adjustments and which in the opinion of management are necessary to make the interim condensed consolidated financial statements not misleading. Results of operations for periods covered by this report may not necessarily be indicative of results of operations for the full year.</w:t>
      </w:r>
    </w:p>
    <w:p>
      <w:pPr>
        <w:spacing w:after="0" w:line="19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preparation of financial statements in conformity with GAAP necessarily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these estimates.</w:t>
      </w:r>
    </w:p>
    <w:p>
      <w:pPr>
        <w:spacing w:after="0" w:line="132" w:lineRule="exact"/>
        <w:rPr>
          <w:sz w:val="20"/>
          <w:szCs w:val="20"/>
          <w:color w:val="auto"/>
        </w:rPr>
      </w:pPr>
    </w:p>
    <w:p>
      <w:pPr>
        <w:ind w:left="640" w:hanging="632"/>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RECENT ACCOUNTING PRONOUNCEMENTS</w:t>
      </w:r>
    </w:p>
    <w:p>
      <w:pPr>
        <w:spacing w:after="0" w:line="229" w:lineRule="exact"/>
        <w:rPr>
          <w:sz w:val="20"/>
          <w:szCs w:val="20"/>
          <w:color w:val="auto"/>
        </w:rPr>
      </w:pPr>
    </w:p>
    <w:p>
      <w:pPr>
        <w:ind w:firstLine="648"/>
        <w:spacing w:after="0" w:line="316" w:lineRule="auto"/>
        <w:rPr>
          <w:sz w:val="20"/>
          <w:szCs w:val="20"/>
          <w:color w:val="auto"/>
        </w:rPr>
      </w:pPr>
      <w:r>
        <w:rPr>
          <w:rFonts w:ascii="Arial" w:cs="Arial" w:eastAsia="Arial" w:hAnsi="Arial"/>
          <w:sz w:val="18"/>
          <w:szCs w:val="18"/>
          <w:color w:val="252525"/>
        </w:rPr>
        <w:t>In May 2017, the Financial Accounting Standards Board (the “FASB”) issued Accounting Standards Update (“ASU”) No. 2017-09, “Compensation–Stock Compensation (Topic 718): Scope of Modification Accounting,” clarifying when a change to the terms or conditions of</w:t>
      </w:r>
    </w:p>
    <w:p>
      <w:pPr>
        <w:sectPr>
          <w:pgSz w:w="11900" w:h="16838" w:orient="portrait"/>
          <w:cols w:equalWidth="0" w:num="1">
            <w:col w:w="11420"/>
          </w:cols>
          <w:pgMar w:left="240" w:top="122" w:right="239" w:bottom="0" w:gutter="0" w:footer="0" w:header="0"/>
        </w:sectPr>
      </w:pPr>
    </w:p>
    <w:bookmarkStart w:id="5" w:name="page6"/>
    <w:bookmarkEnd w:id="5"/>
    <w:p>
      <w:pPr>
        <w:jc w:val="both"/>
        <w:spacing w:after="0" w:line="283" w:lineRule="auto"/>
        <w:rPr>
          <w:sz w:val="20"/>
          <w:szCs w:val="20"/>
          <w:color w:val="auto"/>
        </w:rPr>
      </w:pPr>
      <w:r>
        <w:rPr>
          <w:rFonts w:ascii="Arial" w:cs="Arial" w:eastAsia="Arial" w:hAnsi="Arial"/>
          <w:sz w:val="18"/>
          <w:szCs w:val="18"/>
          <w:color w:val="252525"/>
        </w:rPr>
        <w:t xml:space="preserve">a share-based payment award must be accounted for as a modification. The new guidance requires modification accounting if the fair value, vesting condition or the classification of the award is not the same immediately before and after a change to the terms and conditions of the award. The new guidance is effective for the Company on a prospective basis beginning on January 1, 2018, with early adoption permitted. </w:t>
      </w:r>
      <w:r>
        <w:rPr>
          <w:rFonts w:ascii="Arial" w:cs="Arial" w:eastAsia="Arial" w:hAnsi="Arial"/>
          <w:sz w:val="18"/>
          <w:szCs w:val="18"/>
          <w:color w:val="000000"/>
        </w:rPr>
        <w:t>The</w:t>
      </w:r>
      <w:r>
        <w:rPr>
          <w:rFonts w:ascii="Arial" w:cs="Arial" w:eastAsia="Arial" w:hAnsi="Arial"/>
          <w:sz w:val="18"/>
          <w:szCs w:val="18"/>
          <w:color w:val="252525"/>
        </w:rPr>
        <w:t xml:space="preserve"> </w:t>
      </w:r>
      <w:r>
        <w:rPr>
          <w:rFonts w:ascii="Arial" w:cs="Arial" w:eastAsia="Arial" w:hAnsi="Arial"/>
          <w:sz w:val="18"/>
          <w:szCs w:val="18"/>
          <w:color w:val="000000"/>
        </w:rPr>
        <w:t>Company is currently evaluating the impact of ASU No. 2017-09 on its financial position, results of operations and liquidity.</w:t>
      </w:r>
    </w:p>
    <w:p>
      <w:pPr>
        <w:spacing w:after="0" w:line="17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252525"/>
        </w:rPr>
        <w:t>In January 2017, the FASB issued ASU No. 2017-01</w:t>
      </w:r>
      <w:r>
        <w:rPr>
          <w:rFonts w:ascii="Arial" w:cs="Arial" w:eastAsia="Arial" w:hAnsi="Arial"/>
          <w:sz w:val="20"/>
          <w:szCs w:val="20"/>
          <w:i w:val="1"/>
          <w:iCs w:val="1"/>
          <w:color w:val="252525"/>
        </w:rPr>
        <w:t>, “</w:t>
      </w:r>
      <w:r>
        <w:rPr>
          <w:rFonts w:ascii="Arial" w:cs="Arial" w:eastAsia="Arial" w:hAnsi="Arial"/>
          <w:sz w:val="20"/>
          <w:szCs w:val="20"/>
          <w:color w:val="252525"/>
        </w:rPr>
        <w:t>Business Combinations (Topic 805): Clarifying the Definition of a Business</w:t>
      </w:r>
      <w:r>
        <w:rPr>
          <w:rFonts w:ascii="Arial" w:cs="Arial" w:eastAsia="Arial" w:hAnsi="Arial"/>
          <w:sz w:val="20"/>
          <w:szCs w:val="20"/>
          <w:i w:val="1"/>
          <w:iCs w:val="1"/>
          <w:color w:val="252525"/>
        </w:rPr>
        <w:t>”</w:t>
      </w:r>
      <w:r>
        <w:rPr>
          <w:rFonts w:ascii="Arial" w:cs="Arial" w:eastAsia="Arial" w:hAnsi="Arial"/>
          <w:sz w:val="20"/>
          <w:szCs w:val="20"/>
          <w:color w:val="252525"/>
        </w:rPr>
        <w:t xml:space="preserve">, which clarifies the definition of a business with the objective of adding guidance to assist entities with evaluating whether transactions should be accounted for as acquisitions (or disposals) of assets or businesses. This amendment is effective for fiscal years beginning after December 15, 2017, and interim periods within those fiscal years. Early adoption is permitted. </w:t>
      </w:r>
      <w:r>
        <w:rPr>
          <w:rFonts w:ascii="Arial" w:cs="Arial" w:eastAsia="Arial" w:hAnsi="Arial"/>
          <w:sz w:val="20"/>
          <w:szCs w:val="20"/>
          <w:color w:val="000000"/>
        </w:rPr>
        <w:t>The Company is currently evaluating the impact</w:t>
      </w:r>
      <w:r>
        <w:rPr>
          <w:rFonts w:ascii="Arial" w:cs="Arial" w:eastAsia="Arial" w:hAnsi="Arial"/>
          <w:sz w:val="20"/>
          <w:szCs w:val="20"/>
          <w:color w:val="252525"/>
        </w:rPr>
        <w:t xml:space="preserve"> </w:t>
      </w:r>
      <w:r>
        <w:rPr>
          <w:rFonts w:ascii="Arial" w:cs="Arial" w:eastAsia="Arial" w:hAnsi="Arial"/>
          <w:sz w:val="20"/>
          <w:szCs w:val="20"/>
          <w:color w:val="000000"/>
        </w:rPr>
        <w:t>of ASU No. 2017-01 on its financial position, results of operations and liquidity.</w:t>
      </w:r>
    </w:p>
    <w:p>
      <w:pPr>
        <w:spacing w:after="0" w:line="20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252525"/>
        </w:rPr>
        <w:t>In January 2017, the FASB issued ASU No. 2017-04, “Intangibles and Other (Topic 350): Simplifying the Test for Goodwill Impairment</w:t>
      </w:r>
      <w:r>
        <w:rPr>
          <w:rFonts w:ascii="Arial" w:cs="Arial" w:eastAsia="Arial" w:hAnsi="Arial"/>
          <w:sz w:val="19"/>
          <w:szCs w:val="19"/>
          <w:i w:val="1"/>
          <w:iCs w:val="1"/>
          <w:color w:val="252525"/>
        </w:rPr>
        <w:t>”</w:t>
      </w:r>
      <w:r>
        <w:rPr>
          <w:rFonts w:ascii="Arial" w:cs="Arial" w:eastAsia="Arial" w:hAnsi="Arial"/>
          <w:sz w:val="19"/>
          <w:szCs w:val="19"/>
          <w:color w:val="252525"/>
        </w:rPr>
        <w:t xml:space="preserve">, which eliminates the requirement to calculate the implied fair value of goodwill, but rather requires an entity to record an impairment charge based on the excess of a reporting unit’s carrying value over its fair value. This amendment is effective for annual or interim goodwill impairment tests in fiscal years beginning after December 15, 2019. Early adoption is permitted. </w:t>
      </w:r>
      <w:r>
        <w:rPr>
          <w:rFonts w:ascii="Arial" w:cs="Arial" w:eastAsia="Arial" w:hAnsi="Arial"/>
          <w:sz w:val="19"/>
          <w:szCs w:val="19"/>
          <w:color w:val="000000"/>
        </w:rPr>
        <w:t>The Company is currently evaluating</w:t>
      </w:r>
      <w:r>
        <w:rPr>
          <w:rFonts w:ascii="Arial" w:cs="Arial" w:eastAsia="Arial" w:hAnsi="Arial"/>
          <w:sz w:val="19"/>
          <w:szCs w:val="19"/>
          <w:color w:val="252525"/>
        </w:rPr>
        <w:t xml:space="preserve"> </w:t>
      </w:r>
      <w:r>
        <w:rPr>
          <w:rFonts w:ascii="Arial" w:cs="Arial" w:eastAsia="Arial" w:hAnsi="Arial"/>
          <w:sz w:val="19"/>
          <w:szCs w:val="19"/>
          <w:color w:val="000000"/>
        </w:rPr>
        <w:t>the impact of ASU No. 2017-04 on its financial position, results of operations and liquidity.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252525"/>
        </w:rPr>
        <w:t xml:space="preserve">In October 2016, the FASB issued ASU No. 2016-16, “Income Taxes (Topic 740): Intra-Entity Transfers of Assets Other Than Inventory”, in an effort to improve the accounting for the income tax consequences of intra-entity transfers of assets other than inventory. Current GAAP prohibits the recognition of current and deferred income taxes for an intra-entity asset transfer until the asset has been sold to an outside party. FASB ASU No. 2016-16 establishes the requirement that an entity recognize the income tax consequences of an intra-entity transfer of an asset other than inventory when the transfer occurs. ASU No. 2016-16 is effective for financial statements issued for annual periods beginning after December 15, 2017 and interim periods within those annual periods. Earlier application is permitted as of the beginning of an interim or annual reporting period, with any adjustments reflected as of the beginning of the fiscal year of adoption. </w:t>
      </w:r>
      <w:r>
        <w:rPr>
          <w:rFonts w:ascii="Arial" w:cs="Arial" w:eastAsia="Arial" w:hAnsi="Arial"/>
          <w:sz w:val="18"/>
          <w:szCs w:val="18"/>
          <w:color w:val="000000"/>
        </w:rPr>
        <w:t>The Company is</w:t>
      </w:r>
      <w:r>
        <w:rPr>
          <w:rFonts w:ascii="Arial" w:cs="Arial" w:eastAsia="Arial" w:hAnsi="Arial"/>
          <w:sz w:val="18"/>
          <w:szCs w:val="18"/>
          <w:color w:val="252525"/>
        </w:rPr>
        <w:t xml:space="preserve"> </w:t>
      </w:r>
      <w:r>
        <w:rPr>
          <w:rFonts w:ascii="Arial" w:cs="Arial" w:eastAsia="Arial" w:hAnsi="Arial"/>
          <w:sz w:val="18"/>
          <w:szCs w:val="18"/>
          <w:color w:val="000000"/>
        </w:rPr>
        <w:t>currently evaluating the impact of ASU No. 2016-16 on its financial position, results of operations and liquidity.</w:t>
      </w:r>
    </w:p>
    <w:p>
      <w:pPr>
        <w:spacing w:after="0" w:line="18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In August 2016, the FASB issued ASU No. 2016-15, “Statement of Cash Flows (Topic 230)”. The new guidance is intended to reduce diversity in practice in how certain transactions are classified in the statement of cash flows. ASU No. 2016-15 is effective for fiscal years, and interim periods within those years, beginning after December 15, 2017. Early adoption is permitted, provided that all of the amendments are adopted in the same period. The guidance requires application using a retrospective transition method. The Company is currently evaluating the impact of ASU No. 2016-15 on its financial position, results of operations and liquidity.</w:t>
      </w:r>
    </w:p>
    <w:p>
      <w:pPr>
        <w:spacing w:after="0" w:line="194"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In June 2016, the FASB issued ASU No. 2016-13, “Financial Instruments - Credit Losses (Topic 326): Measurement of Credit Losses on Financial Instruments”. The accounting standard changes the methodology for measuring credit losses on financial instruments and the timing when such losses are recorded. ASU No. 2016-13 is effective for fiscal years, and interim periods within those years, beginning after December 15, 2019. Early adoption is permitted for fiscal years, and interim periods within those years, beginning after December 15, 2018. The Company is currently evaluating the impact of ASU No. 2016-13 on its financial position, results of operations and liquidity.</w:t>
      </w:r>
    </w:p>
    <w:p>
      <w:pPr>
        <w:spacing w:after="0" w:line="17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In February 2016, the FASB issued ASU No. 2016-02, “Leases (Topic 842)”. This update is intended to increase transparency and comparability among organizations by recognizing lease assets and lease liabilities on the balance sheet and disclosing key information about leasing arrangements. This update is effective for annual and interim reporting periods beginning after December 15, 2018, including interim periods within those fiscal years. Early adoption is permitted. The Company is currently evaluating the impact of ASU No. 2016-02 on its financial position, results of operations and liquidity.</w:t>
      </w:r>
    </w:p>
    <w:p>
      <w:pPr>
        <w:spacing w:after="0" w:line="20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In May 2014, the FASB issued ASU No. 2014-09, “Revenue from Contracts with Customers (Topic 606)”, which supersedes previous revenue recognition guidance. ASU No. 2014-09 requires that a company recognize revenue at an amount that reflects the consideration to which the company expects to be entitled in exchange for transferring goods or services to a customer. In applying the new guidance, a company will (i) identify the contract(s) with a customer; (ii) identify the performance obligations in the contract; (iii) determine the transaction price; (iv) allocate the transaction price to the contract’s performance obligations; and (v) recognize revenue when (or as) the entity satisfies a performance obligation. ASU No. 2014-09 was to be effective for reporting periods beginning after December 15, 2016. However, on July 9, 2015, the FASB voted to approve a one-year deferral of the effective date. This new guidance is effective for the Company beginning January 1, 2018 and can be adopted using either a full retrospective or modified approach. The Company has made significant progress in its evaluation of the amended revenue recognition guidance in Topic 606, however, such evaluation has yet to progress to a stage where there is sufficient information for a preliminary position of the impact on the Company’s consolidated financial statements. Therefore, the Company is unable at this time to provide (i) qualitative financial statement disclosures of the potential impact that this standard will have on its financial statements when adopted, (ii) a description of the effects of the accounting policies it expects to apply, (iii) a comparison to its current revenue recognition policies and (iv) a method for adoption. The Company’s expects to complete its evaluation by December 15, 2017.</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121" w:right="239" w:bottom="0" w:gutter="0" w:footer="0" w:header="0"/>
          <w:type w:val="continuous"/>
        </w:sectPr>
      </w:pPr>
    </w:p>
    <w:bookmarkStart w:id="6" w:name="page7"/>
    <w:bookmarkEnd w:id="6"/>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left="640" w:hanging="632"/>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INVESTMENTS</w:t>
      </w:r>
    </w:p>
    <w:p>
      <w:pPr>
        <w:spacing w:after="0" w:line="22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The following table summarizes the Company’s investments at: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5"/>
                <w:szCs w:val="15"/>
                <w:color w:val="auto"/>
                <w:w w:val="92"/>
              </w:rPr>
              <w:t>Continuous</w:t>
            </w:r>
          </w:p>
        </w:tc>
        <w:tc>
          <w:tcPr>
            <w:tcW w:w="980" w:type="dxa"/>
            <w:vAlign w:val="bottom"/>
          </w:tcPr>
          <w:p>
            <w:pPr>
              <w:jc w:val="center"/>
              <w:ind w:left="43"/>
              <w:spacing w:after="0"/>
              <w:rPr>
                <w:sz w:val="20"/>
                <w:szCs w:val="20"/>
                <w:color w:val="auto"/>
              </w:rPr>
            </w:pPr>
            <w:r>
              <w:rPr>
                <w:rFonts w:ascii="Arial" w:cs="Arial" w:eastAsia="Arial" w:hAnsi="Arial"/>
                <w:sz w:val="15"/>
                <w:szCs w:val="15"/>
                <w:color w:val="auto"/>
                <w:w w:val="92"/>
              </w:rPr>
              <w:t>Continuous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420"/>
              <w:spacing w:after="0" w:line="162" w:lineRule="exact"/>
              <w:rPr>
                <w:sz w:val="20"/>
                <w:szCs w:val="20"/>
                <w:color w:val="auto"/>
              </w:rPr>
            </w:pPr>
            <w:r>
              <w:rPr>
                <w:rFonts w:ascii="Arial" w:cs="Arial" w:eastAsia="Arial" w:hAnsi="Arial"/>
                <w:sz w:val="15"/>
                <w:szCs w:val="15"/>
                <w:color w:val="auto"/>
                <w:w w:val="89"/>
              </w:rPr>
              <w:t>Gross</w:t>
            </w:r>
          </w:p>
        </w:tc>
        <w:tc>
          <w:tcPr>
            <w:tcW w:w="200" w:type="dxa"/>
            <w:vAlign w:val="bottom"/>
          </w:tcPr>
          <w:p>
            <w:pPr>
              <w:spacing w:after="0"/>
              <w:rPr>
                <w:sz w:val="14"/>
                <w:szCs w:val="14"/>
                <w:color w:val="auto"/>
              </w:rPr>
            </w:pPr>
          </w:p>
        </w:tc>
        <w:tc>
          <w:tcPr>
            <w:tcW w:w="1180" w:type="dxa"/>
            <w:vAlign w:val="bottom"/>
            <w:gridSpan w:val="2"/>
          </w:tcPr>
          <w:p>
            <w:pPr>
              <w:jc w:val="center"/>
              <w:ind w:right="420"/>
              <w:spacing w:after="0" w:line="162" w:lineRule="exact"/>
              <w:rPr>
                <w:sz w:val="20"/>
                <w:szCs w:val="20"/>
                <w:color w:val="auto"/>
              </w:rPr>
            </w:pPr>
            <w:r>
              <w:rPr>
                <w:rFonts w:ascii="Arial" w:cs="Arial" w:eastAsia="Arial" w:hAnsi="Arial"/>
                <w:sz w:val="15"/>
                <w:szCs w:val="15"/>
                <w:color w:val="auto"/>
                <w:w w:val="89"/>
              </w:rPr>
              <w:t>Gross</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400"/>
              <w:spacing w:after="0" w:line="162" w:lineRule="exact"/>
              <w:rPr>
                <w:sz w:val="20"/>
                <w:szCs w:val="20"/>
                <w:color w:val="auto"/>
              </w:rPr>
            </w:pPr>
            <w:r>
              <w:rPr>
                <w:rFonts w:ascii="Arial" w:cs="Arial" w:eastAsia="Arial" w:hAnsi="Arial"/>
                <w:sz w:val="15"/>
                <w:szCs w:val="15"/>
                <w:color w:val="auto"/>
                <w:w w:val="94"/>
              </w:rPr>
              <w:t>Unrealized</w:t>
            </w:r>
          </w:p>
        </w:tc>
        <w:tc>
          <w:tcPr>
            <w:tcW w:w="980" w:type="dxa"/>
            <w:vAlign w:val="bottom"/>
          </w:tcPr>
          <w:p>
            <w:pPr>
              <w:jc w:val="center"/>
              <w:ind w:left="43"/>
              <w:spacing w:after="0" w:line="162" w:lineRule="exact"/>
              <w:rPr>
                <w:sz w:val="20"/>
                <w:szCs w:val="20"/>
                <w:color w:val="auto"/>
              </w:rPr>
            </w:pPr>
            <w:r>
              <w:rPr>
                <w:rFonts w:ascii="Arial" w:cs="Arial" w:eastAsia="Arial" w:hAnsi="Arial"/>
                <w:sz w:val="15"/>
                <w:szCs w:val="15"/>
                <w:color w:val="auto"/>
                <w:w w:val="91"/>
              </w:rPr>
              <w:t>Unrealized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420"/>
              <w:spacing w:after="0" w:line="162" w:lineRule="exact"/>
              <w:rPr>
                <w:sz w:val="20"/>
                <w:szCs w:val="20"/>
                <w:color w:val="auto"/>
              </w:rPr>
            </w:pPr>
            <w:r>
              <w:rPr>
                <w:rFonts w:ascii="Arial" w:cs="Arial" w:eastAsia="Arial" w:hAnsi="Arial"/>
                <w:sz w:val="15"/>
                <w:szCs w:val="15"/>
                <w:color w:val="auto"/>
                <w:w w:val="94"/>
              </w:rPr>
              <w:t>Unrealized</w:t>
            </w:r>
          </w:p>
        </w:tc>
        <w:tc>
          <w:tcPr>
            <w:tcW w:w="200" w:type="dxa"/>
            <w:vAlign w:val="bottom"/>
          </w:tcPr>
          <w:p>
            <w:pPr>
              <w:spacing w:after="0"/>
              <w:rPr>
                <w:sz w:val="14"/>
                <w:szCs w:val="14"/>
                <w:color w:val="auto"/>
              </w:rPr>
            </w:pPr>
          </w:p>
        </w:tc>
        <w:tc>
          <w:tcPr>
            <w:tcW w:w="1180" w:type="dxa"/>
            <w:vAlign w:val="bottom"/>
            <w:gridSpan w:val="2"/>
          </w:tcPr>
          <w:p>
            <w:pPr>
              <w:jc w:val="center"/>
              <w:ind w:right="440"/>
              <w:spacing w:after="0" w:line="162" w:lineRule="exact"/>
              <w:rPr>
                <w:sz w:val="20"/>
                <w:szCs w:val="20"/>
                <w:color w:val="auto"/>
              </w:rPr>
            </w:pPr>
            <w:r>
              <w:rPr>
                <w:rFonts w:ascii="Arial" w:cs="Arial" w:eastAsia="Arial" w:hAnsi="Arial"/>
                <w:sz w:val="15"/>
                <w:szCs w:val="15"/>
                <w:color w:val="auto"/>
                <w:w w:val="91"/>
              </w:rPr>
              <w:t>Unrealized</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3"/>
          </w:tcPr>
          <w:p>
            <w:pPr>
              <w:jc w:val="center"/>
              <w:ind w:right="240"/>
              <w:spacing w:after="0" w:line="162" w:lineRule="exact"/>
              <w:rPr>
                <w:sz w:val="20"/>
                <w:szCs w:val="20"/>
                <w:color w:val="auto"/>
              </w:rPr>
            </w:pPr>
            <w:r>
              <w:rPr>
                <w:rFonts w:ascii="Arial" w:cs="Arial" w:eastAsia="Arial" w:hAnsi="Arial"/>
                <w:sz w:val="15"/>
                <w:szCs w:val="15"/>
                <w:color w:val="auto"/>
                <w:w w:val="91"/>
              </w:rPr>
              <w:t>Loss Position</w:t>
            </w:r>
          </w:p>
        </w:tc>
        <w:tc>
          <w:tcPr>
            <w:tcW w:w="980" w:type="dxa"/>
            <w:vAlign w:val="bottom"/>
          </w:tcPr>
          <w:p>
            <w:pPr>
              <w:jc w:val="center"/>
              <w:ind w:left="43"/>
              <w:spacing w:after="0" w:line="162" w:lineRule="exact"/>
              <w:rPr>
                <w:sz w:val="20"/>
                <w:szCs w:val="20"/>
                <w:color w:val="auto"/>
              </w:rPr>
            </w:pPr>
            <w:r>
              <w:rPr>
                <w:rFonts w:ascii="Arial" w:cs="Arial" w:eastAsia="Arial" w:hAnsi="Arial"/>
                <w:sz w:val="15"/>
                <w:szCs w:val="15"/>
                <w:color w:val="auto"/>
                <w:w w:val="91"/>
              </w:rPr>
              <w:t>Loss Position</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440"/>
              <w:spacing w:after="0" w:line="162" w:lineRule="exact"/>
              <w:rPr>
                <w:sz w:val="20"/>
                <w:szCs w:val="20"/>
                <w:color w:val="auto"/>
              </w:rPr>
            </w:pPr>
            <w:r>
              <w:rPr>
                <w:rFonts w:ascii="Arial" w:cs="Arial" w:eastAsia="Arial" w:hAnsi="Arial"/>
                <w:sz w:val="15"/>
                <w:szCs w:val="15"/>
                <w:color w:val="auto"/>
                <w:w w:val="94"/>
              </w:rPr>
              <w:t>Amortized</w:t>
            </w:r>
          </w:p>
        </w:tc>
        <w:tc>
          <w:tcPr>
            <w:tcW w:w="200" w:type="dxa"/>
            <w:vAlign w:val="bottom"/>
          </w:tcPr>
          <w:p>
            <w:pPr>
              <w:spacing w:after="0"/>
              <w:rPr>
                <w:sz w:val="14"/>
                <w:szCs w:val="14"/>
                <w:color w:val="auto"/>
              </w:rPr>
            </w:pPr>
          </w:p>
        </w:tc>
        <w:tc>
          <w:tcPr>
            <w:tcW w:w="1180" w:type="dxa"/>
            <w:vAlign w:val="bottom"/>
            <w:gridSpan w:val="2"/>
          </w:tcPr>
          <w:p>
            <w:pPr>
              <w:jc w:val="center"/>
              <w:ind w:right="440"/>
              <w:spacing w:after="0" w:line="162" w:lineRule="exact"/>
              <w:rPr>
                <w:sz w:val="20"/>
                <w:szCs w:val="20"/>
                <w:color w:val="auto"/>
              </w:rPr>
            </w:pPr>
            <w:r>
              <w:rPr>
                <w:rFonts w:ascii="Arial" w:cs="Arial" w:eastAsia="Arial" w:hAnsi="Arial"/>
                <w:sz w:val="15"/>
                <w:szCs w:val="15"/>
                <w:color w:val="auto"/>
                <w:w w:val="98"/>
              </w:rPr>
              <w:t>Holding</w:t>
            </w:r>
          </w:p>
        </w:tc>
        <w:tc>
          <w:tcPr>
            <w:tcW w:w="200" w:type="dxa"/>
            <w:vAlign w:val="bottom"/>
          </w:tcPr>
          <w:p>
            <w:pPr>
              <w:spacing w:after="0"/>
              <w:rPr>
                <w:sz w:val="14"/>
                <w:szCs w:val="14"/>
                <w:color w:val="auto"/>
              </w:rPr>
            </w:pPr>
          </w:p>
        </w:tc>
        <w:tc>
          <w:tcPr>
            <w:tcW w:w="1180" w:type="dxa"/>
            <w:vAlign w:val="bottom"/>
            <w:gridSpan w:val="2"/>
          </w:tcPr>
          <w:p>
            <w:pPr>
              <w:jc w:val="center"/>
              <w:ind w:right="440"/>
              <w:spacing w:after="0" w:line="162" w:lineRule="exact"/>
              <w:rPr>
                <w:sz w:val="20"/>
                <w:szCs w:val="20"/>
                <w:color w:val="auto"/>
              </w:rPr>
            </w:pPr>
            <w:r>
              <w:rPr>
                <w:rFonts w:ascii="Arial" w:cs="Arial" w:eastAsia="Arial" w:hAnsi="Arial"/>
                <w:sz w:val="15"/>
                <w:szCs w:val="15"/>
                <w:color w:val="auto"/>
                <w:w w:val="98"/>
              </w:rPr>
              <w:t>Holding</w:t>
            </w:r>
          </w:p>
        </w:tc>
        <w:tc>
          <w:tcPr>
            <w:tcW w:w="260" w:type="dxa"/>
            <w:vAlign w:val="bottom"/>
          </w:tcPr>
          <w:p>
            <w:pPr>
              <w:spacing w:after="0"/>
              <w:rPr>
                <w:sz w:val="14"/>
                <w:szCs w:val="14"/>
                <w:color w:val="auto"/>
              </w:rPr>
            </w:pPr>
          </w:p>
        </w:tc>
        <w:tc>
          <w:tcPr>
            <w:tcW w:w="1080" w:type="dxa"/>
            <w:vAlign w:val="bottom"/>
            <w:gridSpan w:val="2"/>
          </w:tcPr>
          <w:p>
            <w:pPr>
              <w:jc w:val="center"/>
              <w:ind w:right="480"/>
              <w:spacing w:after="0" w:line="162" w:lineRule="exact"/>
              <w:rPr>
                <w:sz w:val="20"/>
                <w:szCs w:val="20"/>
                <w:color w:val="auto"/>
              </w:rPr>
            </w:pPr>
            <w:r>
              <w:rPr>
                <w:rFonts w:ascii="Arial" w:cs="Arial" w:eastAsia="Arial" w:hAnsi="Arial"/>
                <w:sz w:val="15"/>
                <w:szCs w:val="15"/>
                <w:color w:val="auto"/>
                <w:w w:val="92"/>
              </w:rPr>
              <w:t>Fair</w:t>
            </w:r>
          </w:p>
        </w:tc>
        <w:tc>
          <w:tcPr>
            <w:tcW w:w="180" w:type="dxa"/>
            <w:vAlign w:val="bottom"/>
          </w:tcPr>
          <w:p>
            <w:pPr>
              <w:spacing w:after="0"/>
              <w:rPr>
                <w:sz w:val="14"/>
                <w:szCs w:val="14"/>
                <w:color w:val="auto"/>
              </w:rPr>
            </w:pPr>
          </w:p>
        </w:tc>
        <w:tc>
          <w:tcPr>
            <w:tcW w:w="1160" w:type="dxa"/>
            <w:vAlign w:val="bottom"/>
            <w:gridSpan w:val="2"/>
          </w:tcPr>
          <w:p>
            <w:pPr>
              <w:jc w:val="center"/>
              <w:ind w:right="400"/>
              <w:spacing w:after="0" w:line="162" w:lineRule="exact"/>
              <w:rPr>
                <w:sz w:val="20"/>
                <w:szCs w:val="20"/>
                <w:color w:val="auto"/>
              </w:rPr>
            </w:pPr>
            <w:r>
              <w:rPr>
                <w:rFonts w:ascii="Arial" w:cs="Arial" w:eastAsia="Arial" w:hAnsi="Arial"/>
                <w:sz w:val="15"/>
                <w:szCs w:val="15"/>
                <w:color w:val="auto"/>
                <w:w w:val="88"/>
              </w:rPr>
              <w:t>less than 12</w:t>
            </w:r>
          </w:p>
        </w:tc>
        <w:tc>
          <w:tcPr>
            <w:tcW w:w="1120" w:type="dxa"/>
            <w:vAlign w:val="bottom"/>
            <w:gridSpan w:val="2"/>
          </w:tcPr>
          <w:p>
            <w:pPr>
              <w:jc w:val="center"/>
              <w:spacing w:after="0" w:line="162" w:lineRule="exact"/>
              <w:rPr>
                <w:sz w:val="20"/>
                <w:szCs w:val="20"/>
                <w:color w:val="auto"/>
              </w:rPr>
            </w:pPr>
            <w:r>
              <w:rPr>
                <w:rFonts w:ascii="Arial" w:cs="Arial" w:eastAsia="Arial" w:hAnsi="Arial"/>
                <w:sz w:val="15"/>
                <w:szCs w:val="15"/>
                <w:color w:val="auto"/>
                <w:w w:val="90"/>
              </w:rPr>
              <w:t>greater than 12</w:t>
            </w:r>
          </w:p>
        </w:tc>
        <w:tc>
          <w:tcPr>
            <w:tcW w:w="100" w:type="dxa"/>
            <w:vAlign w:val="bottom"/>
          </w:tcPr>
          <w:p>
            <w:pPr>
              <w:spacing w:after="0"/>
              <w:rPr>
                <w:sz w:val="14"/>
                <w:szCs w:val="14"/>
                <w:color w:val="auto"/>
              </w:rPr>
            </w:pPr>
          </w:p>
        </w:tc>
      </w:tr>
      <w:tr>
        <w:trPr>
          <w:trHeight w:val="182"/>
        </w:trPr>
        <w:tc>
          <w:tcPr>
            <w:tcW w:w="33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September 30, 2017</w:t>
            </w: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5"/>
                <w:szCs w:val="15"/>
                <w:color w:val="auto"/>
                <w:w w:val="90"/>
              </w:rPr>
              <w:t>Cost</w:t>
            </w: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5"/>
                <w:szCs w:val="15"/>
                <w:color w:val="auto"/>
                <w:w w:val="91"/>
              </w:rPr>
              <w:t>Gains</w:t>
            </w: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5"/>
                <w:szCs w:val="15"/>
                <w:color w:val="auto"/>
                <w:w w:val="88"/>
              </w:rPr>
              <w:t>Losses</w:t>
            </w: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5"/>
                <w:szCs w:val="15"/>
                <w:color w:val="auto"/>
                <w:w w:val="93"/>
              </w:rPr>
              <w:t>Value</w:t>
            </w: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5"/>
                <w:szCs w:val="15"/>
                <w:color w:val="auto"/>
                <w:w w:val="93"/>
              </w:rPr>
              <w:t>Months</w:t>
            </w:r>
          </w:p>
        </w:tc>
        <w:tc>
          <w:tcPr>
            <w:tcW w:w="980" w:type="dxa"/>
            <w:vAlign w:val="bottom"/>
            <w:tcBorders>
              <w:bottom w:val="single" w:sz="8" w:color="auto"/>
            </w:tcBorders>
          </w:tcPr>
          <w:p>
            <w:pPr>
              <w:jc w:val="center"/>
              <w:ind w:left="43"/>
              <w:spacing w:after="0"/>
              <w:rPr>
                <w:sz w:val="20"/>
                <w:szCs w:val="20"/>
                <w:color w:val="auto"/>
              </w:rPr>
            </w:pPr>
            <w:r>
              <w:rPr>
                <w:rFonts w:ascii="Arial" w:cs="Arial" w:eastAsia="Arial" w:hAnsi="Arial"/>
                <w:sz w:val="15"/>
                <w:szCs w:val="15"/>
                <w:color w:val="auto"/>
                <w:w w:val="93"/>
              </w:rPr>
              <w:t>Months</w:t>
            </w:r>
          </w:p>
        </w:tc>
        <w:tc>
          <w:tcPr>
            <w:tcW w:w="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9"/>
        </w:trPr>
        <w:tc>
          <w:tcPr>
            <w:tcW w:w="3300" w:type="dxa"/>
            <w:vAlign w:val="bottom"/>
          </w:tcPr>
          <w:p>
            <w:pPr>
              <w:spacing w:after="0" w:line="149" w:lineRule="exact"/>
              <w:rPr>
                <w:sz w:val="20"/>
                <w:szCs w:val="20"/>
                <w:color w:val="auto"/>
              </w:rPr>
            </w:pPr>
            <w:r>
              <w:rPr>
                <w:rFonts w:ascii="Arial" w:cs="Arial" w:eastAsia="Arial" w:hAnsi="Arial"/>
                <w:sz w:val="15"/>
                <w:szCs w:val="15"/>
                <w:b w:val="1"/>
                <w:bCs w:val="1"/>
                <w:color w:val="auto"/>
              </w:rPr>
              <w:t>Available-for-sale</w:t>
            </w: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3300" w:type="dxa"/>
            <w:vAlign w:val="bottom"/>
          </w:tcPr>
          <w:p>
            <w:pPr>
              <w:spacing w:after="0" w:line="162" w:lineRule="exact"/>
              <w:rPr>
                <w:sz w:val="20"/>
                <w:szCs w:val="20"/>
                <w:color w:val="auto"/>
              </w:rPr>
            </w:pPr>
            <w:r>
              <w:rPr>
                <w:rFonts w:ascii="Arial" w:cs="Arial" w:eastAsia="Arial" w:hAnsi="Arial"/>
                <w:sz w:val="15"/>
                <w:szCs w:val="15"/>
                <w:color w:val="auto"/>
              </w:rPr>
              <w:t>Short-term:</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300" w:type="dxa"/>
            <w:vAlign w:val="bottom"/>
          </w:tcPr>
          <w:p>
            <w:pPr>
              <w:ind w:left="180"/>
              <w:spacing w:after="0" w:line="162" w:lineRule="exact"/>
              <w:rPr>
                <w:sz w:val="20"/>
                <w:szCs w:val="20"/>
                <w:color w:val="auto"/>
              </w:rPr>
            </w:pPr>
            <w:r>
              <w:rPr>
                <w:rFonts w:ascii="Arial" w:cs="Arial" w:eastAsia="Arial" w:hAnsi="Arial"/>
                <w:sz w:val="15"/>
                <w:szCs w:val="15"/>
                <w:color w:val="auto"/>
              </w:rPr>
              <w:t>Commercial paper</w:t>
            </w:r>
          </w:p>
        </w:tc>
        <w:tc>
          <w:tcPr>
            <w:tcW w:w="2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020" w:type="dxa"/>
            <w:vAlign w:val="bottom"/>
          </w:tcPr>
          <w:p>
            <w:pPr>
              <w:jc w:val="right"/>
              <w:ind w:right="3"/>
              <w:spacing w:after="0" w:line="162" w:lineRule="exact"/>
              <w:rPr>
                <w:sz w:val="20"/>
                <w:szCs w:val="20"/>
                <w:color w:val="auto"/>
              </w:rPr>
            </w:pPr>
            <w:r>
              <w:rPr>
                <w:rFonts w:ascii="Arial" w:cs="Arial" w:eastAsia="Arial" w:hAnsi="Arial"/>
                <w:sz w:val="15"/>
                <w:szCs w:val="15"/>
                <w:color w:val="auto"/>
              </w:rPr>
              <w:t>66,344</w:t>
            </w:r>
          </w:p>
        </w:tc>
        <w:tc>
          <w:tcPr>
            <w:tcW w:w="220" w:type="dxa"/>
            <w:vAlign w:val="bottom"/>
          </w:tcPr>
          <w:p>
            <w:pPr>
              <w:spacing w:after="0"/>
              <w:rPr>
                <w:sz w:val="14"/>
                <w:szCs w:val="14"/>
                <w:color w:val="auto"/>
              </w:rPr>
            </w:pPr>
          </w:p>
        </w:tc>
        <w:tc>
          <w:tcPr>
            <w:tcW w:w="2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2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260" w:type="dxa"/>
            <w:vAlign w:val="bottom"/>
          </w:tcPr>
          <w:p>
            <w:pPr>
              <w:jc w:val="right"/>
              <w:ind w:right="23"/>
              <w:spacing w:after="0" w:line="162" w:lineRule="exact"/>
              <w:rPr>
                <w:sz w:val="20"/>
                <w:szCs w:val="20"/>
                <w:color w:val="auto"/>
              </w:rPr>
            </w:pPr>
            <w:r>
              <w:rPr>
                <w:rFonts w:ascii="Arial" w:cs="Arial" w:eastAsia="Arial" w:hAnsi="Arial"/>
                <w:sz w:val="15"/>
                <w:szCs w:val="15"/>
                <w:color w:val="auto"/>
              </w:rPr>
              <w:t>$</w:t>
            </w:r>
          </w:p>
        </w:tc>
        <w:tc>
          <w:tcPr>
            <w:tcW w:w="860" w:type="dxa"/>
            <w:vAlign w:val="bottom"/>
          </w:tcPr>
          <w:p>
            <w:pPr>
              <w:jc w:val="right"/>
              <w:ind w:right="3"/>
              <w:spacing w:after="0" w:line="162" w:lineRule="exact"/>
              <w:rPr>
                <w:sz w:val="20"/>
                <w:szCs w:val="20"/>
                <w:color w:val="auto"/>
              </w:rPr>
            </w:pPr>
            <w:r>
              <w:rPr>
                <w:rFonts w:ascii="Arial" w:cs="Arial" w:eastAsia="Arial" w:hAnsi="Arial"/>
                <w:sz w:val="15"/>
                <w:szCs w:val="15"/>
                <w:color w:val="auto"/>
              </w:rPr>
              <w:t>66,344</w:t>
            </w:r>
          </w:p>
        </w:tc>
        <w:tc>
          <w:tcPr>
            <w:tcW w:w="220" w:type="dxa"/>
            <w:vAlign w:val="bottom"/>
          </w:tcPr>
          <w:p>
            <w:pPr>
              <w:spacing w:after="0"/>
              <w:rPr>
                <w:sz w:val="14"/>
                <w:szCs w:val="14"/>
                <w:color w:val="auto"/>
              </w:rPr>
            </w:pPr>
          </w:p>
        </w:tc>
        <w:tc>
          <w:tcPr>
            <w:tcW w:w="1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94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ind w:right="763"/>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jc w:val="right"/>
              <w:ind w:right="3"/>
              <w:spacing w:after="0" w:line="162" w:lineRule="exact"/>
              <w:rPr>
                <w:sz w:val="20"/>
                <w:szCs w:val="20"/>
                <w:color w:val="auto"/>
              </w:rPr>
            </w:pPr>
            <w:r>
              <w:rPr>
                <w:rFonts w:ascii="Arial" w:cs="Arial" w:eastAsia="Arial" w:hAnsi="Arial"/>
                <w:sz w:val="15"/>
                <w:szCs w:val="15"/>
                <w:color w:val="auto"/>
                <w:w w:val="79"/>
              </w:rPr>
              <w:t>-</w:t>
            </w:r>
          </w:p>
        </w:tc>
        <w:tc>
          <w:tcPr>
            <w:tcW w:w="100" w:type="dxa"/>
            <w:vAlign w:val="bottom"/>
          </w:tcPr>
          <w:p>
            <w:pPr>
              <w:spacing w:after="0"/>
              <w:rPr>
                <w:sz w:val="14"/>
                <w:szCs w:val="14"/>
                <w:color w:val="auto"/>
              </w:rPr>
            </w:pPr>
          </w:p>
        </w:tc>
      </w:tr>
      <w:tr>
        <w:trPr>
          <w:trHeight w:val="162"/>
        </w:trPr>
        <w:tc>
          <w:tcPr>
            <w:tcW w:w="3300" w:type="dxa"/>
            <w:vAlign w:val="bottom"/>
          </w:tcPr>
          <w:p>
            <w:pPr>
              <w:ind w:left="180"/>
              <w:spacing w:after="0" w:line="162" w:lineRule="exact"/>
              <w:rPr>
                <w:sz w:val="20"/>
                <w:szCs w:val="20"/>
                <w:color w:val="auto"/>
              </w:rPr>
            </w:pPr>
            <w:r>
              <w:rPr>
                <w:rFonts w:ascii="Arial" w:cs="Arial" w:eastAsia="Arial" w:hAnsi="Arial"/>
                <w:sz w:val="15"/>
                <w:szCs w:val="15"/>
                <w:color w:val="auto"/>
              </w:rPr>
              <w:t>Certificates of deposit</w:t>
            </w:r>
          </w:p>
        </w:tc>
        <w:tc>
          <w:tcPr>
            <w:tcW w:w="220" w:type="dxa"/>
            <w:vAlign w:val="bottom"/>
          </w:tcPr>
          <w:p>
            <w:pPr>
              <w:spacing w:after="0"/>
              <w:rPr>
                <w:sz w:val="14"/>
                <w:szCs w:val="14"/>
                <w:color w:val="auto"/>
              </w:rPr>
            </w:pPr>
          </w:p>
        </w:tc>
        <w:tc>
          <w:tcPr>
            <w:tcW w:w="1020" w:type="dxa"/>
            <w:vAlign w:val="bottom"/>
          </w:tcPr>
          <w:p>
            <w:pPr>
              <w:jc w:val="right"/>
              <w:ind w:right="3"/>
              <w:spacing w:after="0" w:line="162" w:lineRule="exact"/>
              <w:rPr>
                <w:sz w:val="20"/>
                <w:szCs w:val="20"/>
                <w:color w:val="auto"/>
              </w:rPr>
            </w:pPr>
            <w:r>
              <w:rPr>
                <w:rFonts w:ascii="Arial" w:cs="Arial" w:eastAsia="Arial" w:hAnsi="Arial"/>
                <w:sz w:val="15"/>
                <w:szCs w:val="15"/>
                <w:color w:val="auto"/>
              </w:rPr>
              <w:t>50,677</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
              <w:spacing w:after="0" w:line="162" w:lineRule="exact"/>
              <w:rPr>
                <w:sz w:val="20"/>
                <w:szCs w:val="20"/>
                <w:color w:val="auto"/>
              </w:rPr>
            </w:pPr>
            <w:r>
              <w:rPr>
                <w:rFonts w:ascii="Arial" w:cs="Arial" w:eastAsia="Arial" w:hAnsi="Arial"/>
                <w:sz w:val="15"/>
                <w:szCs w:val="15"/>
                <w:color w:val="auto"/>
              </w:rPr>
              <w:t>50,677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jc w:val="right"/>
              <w:ind w:right="3"/>
              <w:spacing w:after="0" w:line="162" w:lineRule="exact"/>
              <w:rPr>
                <w:sz w:val="20"/>
                <w:szCs w:val="20"/>
                <w:color w:val="auto"/>
              </w:rPr>
            </w:pPr>
            <w:r>
              <w:rPr>
                <w:rFonts w:ascii="Arial" w:cs="Arial" w:eastAsia="Arial" w:hAnsi="Arial"/>
                <w:sz w:val="15"/>
                <w:szCs w:val="15"/>
                <w:color w:val="auto"/>
                <w:w w:val="79"/>
              </w:rPr>
              <w:t>-</w:t>
            </w:r>
          </w:p>
        </w:tc>
        <w:tc>
          <w:tcPr>
            <w:tcW w:w="100" w:type="dxa"/>
            <w:vAlign w:val="bottom"/>
          </w:tcPr>
          <w:p>
            <w:pPr>
              <w:spacing w:after="0"/>
              <w:rPr>
                <w:sz w:val="14"/>
                <w:szCs w:val="14"/>
                <w:color w:val="auto"/>
              </w:rPr>
            </w:pPr>
          </w:p>
        </w:tc>
      </w:tr>
      <w:tr>
        <w:trPr>
          <w:trHeight w:val="162"/>
        </w:trPr>
        <w:tc>
          <w:tcPr>
            <w:tcW w:w="3300" w:type="dxa"/>
            <w:vAlign w:val="bottom"/>
          </w:tcPr>
          <w:p>
            <w:pPr>
              <w:ind w:left="180"/>
              <w:spacing w:after="0" w:line="162" w:lineRule="exact"/>
              <w:rPr>
                <w:sz w:val="20"/>
                <w:szCs w:val="20"/>
                <w:color w:val="auto"/>
              </w:rPr>
            </w:pPr>
            <w:r>
              <w:rPr>
                <w:rFonts w:ascii="Arial" w:cs="Arial" w:eastAsia="Arial" w:hAnsi="Arial"/>
                <w:sz w:val="15"/>
                <w:szCs w:val="15"/>
                <w:color w:val="auto"/>
              </w:rPr>
              <w:t>Municipal securities</w:t>
            </w:r>
          </w:p>
        </w:tc>
        <w:tc>
          <w:tcPr>
            <w:tcW w:w="220" w:type="dxa"/>
            <w:vAlign w:val="bottom"/>
          </w:tcPr>
          <w:p>
            <w:pPr>
              <w:spacing w:after="0"/>
              <w:rPr>
                <w:sz w:val="14"/>
                <w:szCs w:val="14"/>
                <w:color w:val="auto"/>
              </w:rPr>
            </w:pPr>
          </w:p>
        </w:tc>
        <w:tc>
          <w:tcPr>
            <w:tcW w:w="1020" w:type="dxa"/>
            <w:vAlign w:val="bottom"/>
          </w:tcPr>
          <w:p>
            <w:pPr>
              <w:jc w:val="right"/>
              <w:ind w:right="3"/>
              <w:spacing w:after="0" w:line="162" w:lineRule="exact"/>
              <w:rPr>
                <w:sz w:val="20"/>
                <w:szCs w:val="20"/>
                <w:color w:val="auto"/>
              </w:rPr>
            </w:pPr>
            <w:r>
              <w:rPr>
                <w:rFonts w:ascii="Arial" w:cs="Arial" w:eastAsia="Arial" w:hAnsi="Arial"/>
                <w:sz w:val="15"/>
                <w:szCs w:val="15"/>
                <w:color w:val="auto"/>
              </w:rPr>
              <w:t>402,062</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41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126</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
              <w:spacing w:after="0" w:line="162" w:lineRule="exact"/>
              <w:rPr>
                <w:sz w:val="20"/>
                <w:szCs w:val="20"/>
                <w:color w:val="auto"/>
              </w:rPr>
            </w:pPr>
            <w:r>
              <w:rPr>
                <w:rFonts w:ascii="Arial" w:cs="Arial" w:eastAsia="Arial" w:hAnsi="Arial"/>
                <w:sz w:val="15"/>
                <w:szCs w:val="15"/>
                <w:color w:val="auto"/>
              </w:rPr>
              <w:t>401,977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3"/>
              <w:spacing w:after="0" w:line="162" w:lineRule="exact"/>
              <w:rPr>
                <w:sz w:val="20"/>
                <w:szCs w:val="20"/>
                <w:color w:val="auto"/>
              </w:rPr>
            </w:pPr>
            <w:r>
              <w:rPr>
                <w:rFonts w:ascii="Arial" w:cs="Arial" w:eastAsia="Arial" w:hAnsi="Arial"/>
                <w:sz w:val="15"/>
                <w:szCs w:val="15"/>
                <w:color w:val="auto"/>
              </w:rPr>
              <w:t>126</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jc w:val="right"/>
              <w:ind w:right="3"/>
              <w:spacing w:after="0" w:line="162" w:lineRule="exact"/>
              <w:rPr>
                <w:sz w:val="20"/>
                <w:szCs w:val="20"/>
                <w:color w:val="auto"/>
              </w:rPr>
            </w:pPr>
            <w:r>
              <w:rPr>
                <w:rFonts w:ascii="Arial" w:cs="Arial" w:eastAsia="Arial" w:hAnsi="Arial"/>
                <w:sz w:val="15"/>
                <w:szCs w:val="15"/>
                <w:color w:val="auto"/>
                <w:w w:val="79"/>
              </w:rPr>
              <w:t>-</w:t>
            </w:r>
          </w:p>
        </w:tc>
        <w:tc>
          <w:tcPr>
            <w:tcW w:w="100" w:type="dxa"/>
            <w:vAlign w:val="bottom"/>
          </w:tcPr>
          <w:p>
            <w:pPr>
              <w:spacing w:after="0"/>
              <w:rPr>
                <w:sz w:val="14"/>
                <w:szCs w:val="14"/>
                <w:color w:val="auto"/>
              </w:rPr>
            </w:pPr>
          </w:p>
        </w:tc>
      </w:tr>
      <w:tr>
        <w:trPr>
          <w:trHeight w:val="162"/>
        </w:trPr>
        <w:tc>
          <w:tcPr>
            <w:tcW w:w="3300" w:type="dxa"/>
            <w:vAlign w:val="bottom"/>
          </w:tcPr>
          <w:p>
            <w:pPr>
              <w:ind w:left="180"/>
              <w:spacing w:after="0" w:line="162" w:lineRule="exact"/>
              <w:rPr>
                <w:sz w:val="20"/>
                <w:szCs w:val="20"/>
                <w:color w:val="auto"/>
              </w:rPr>
            </w:pPr>
            <w:r>
              <w:rPr>
                <w:rFonts w:ascii="Arial" w:cs="Arial" w:eastAsia="Arial" w:hAnsi="Arial"/>
                <w:sz w:val="15"/>
                <w:szCs w:val="15"/>
                <w:color w:val="auto"/>
              </w:rPr>
              <w:t>U.S. government agency securities</w:t>
            </w:r>
          </w:p>
        </w:tc>
        <w:tc>
          <w:tcPr>
            <w:tcW w:w="220" w:type="dxa"/>
            <w:vAlign w:val="bottom"/>
          </w:tcPr>
          <w:p>
            <w:pPr>
              <w:spacing w:after="0"/>
              <w:rPr>
                <w:sz w:val="14"/>
                <w:szCs w:val="14"/>
                <w:color w:val="auto"/>
              </w:rPr>
            </w:pPr>
          </w:p>
        </w:tc>
        <w:tc>
          <w:tcPr>
            <w:tcW w:w="1020" w:type="dxa"/>
            <w:vAlign w:val="bottom"/>
          </w:tcPr>
          <w:p>
            <w:pPr>
              <w:jc w:val="right"/>
              <w:ind w:right="3"/>
              <w:spacing w:after="0" w:line="162" w:lineRule="exact"/>
              <w:rPr>
                <w:sz w:val="20"/>
                <w:szCs w:val="20"/>
                <w:color w:val="auto"/>
              </w:rPr>
            </w:pPr>
            <w:r>
              <w:rPr>
                <w:rFonts w:ascii="Arial" w:cs="Arial" w:eastAsia="Arial" w:hAnsi="Arial"/>
                <w:sz w:val="15"/>
                <w:szCs w:val="15"/>
                <w:color w:val="auto"/>
              </w:rPr>
              <w:t>53,342</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28</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
              <w:spacing w:after="0" w:line="162" w:lineRule="exact"/>
              <w:rPr>
                <w:sz w:val="20"/>
                <w:szCs w:val="20"/>
                <w:color w:val="auto"/>
              </w:rPr>
            </w:pPr>
            <w:r>
              <w:rPr>
                <w:rFonts w:ascii="Arial" w:cs="Arial" w:eastAsia="Arial" w:hAnsi="Arial"/>
                <w:sz w:val="15"/>
                <w:szCs w:val="15"/>
                <w:color w:val="auto"/>
              </w:rPr>
              <w:t>53,315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3"/>
              <w:spacing w:after="0" w:line="162" w:lineRule="exact"/>
              <w:rPr>
                <w:sz w:val="20"/>
                <w:szCs w:val="20"/>
                <w:color w:val="auto"/>
              </w:rPr>
            </w:pPr>
            <w:r>
              <w:rPr>
                <w:rFonts w:ascii="Arial" w:cs="Arial" w:eastAsia="Arial" w:hAnsi="Arial"/>
                <w:sz w:val="15"/>
                <w:szCs w:val="15"/>
                <w:color w:val="auto"/>
              </w:rPr>
              <w:t>28</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jc w:val="right"/>
              <w:ind w:right="3"/>
              <w:spacing w:after="0" w:line="162" w:lineRule="exact"/>
              <w:rPr>
                <w:sz w:val="20"/>
                <w:szCs w:val="20"/>
                <w:color w:val="auto"/>
              </w:rPr>
            </w:pPr>
            <w:r>
              <w:rPr>
                <w:rFonts w:ascii="Arial" w:cs="Arial" w:eastAsia="Arial" w:hAnsi="Arial"/>
                <w:sz w:val="15"/>
                <w:szCs w:val="15"/>
                <w:color w:val="auto"/>
                <w:w w:val="79"/>
              </w:rPr>
              <w:t>-</w:t>
            </w:r>
          </w:p>
        </w:tc>
        <w:tc>
          <w:tcPr>
            <w:tcW w:w="100" w:type="dxa"/>
            <w:vAlign w:val="bottom"/>
          </w:tcPr>
          <w:p>
            <w:pPr>
              <w:spacing w:after="0"/>
              <w:rPr>
                <w:sz w:val="14"/>
                <w:szCs w:val="14"/>
                <w:color w:val="auto"/>
              </w:rPr>
            </w:pPr>
          </w:p>
        </w:tc>
      </w:tr>
      <w:tr>
        <w:trPr>
          <w:trHeight w:val="162"/>
        </w:trPr>
        <w:tc>
          <w:tcPr>
            <w:tcW w:w="3300" w:type="dxa"/>
            <w:vAlign w:val="bottom"/>
          </w:tcPr>
          <w:p>
            <w:pPr>
              <w:ind w:left="180"/>
              <w:spacing w:after="0" w:line="162" w:lineRule="exact"/>
              <w:rPr>
                <w:sz w:val="20"/>
                <w:szCs w:val="20"/>
                <w:color w:val="auto"/>
              </w:rPr>
            </w:pPr>
            <w:r>
              <w:rPr>
                <w:rFonts w:ascii="Arial" w:cs="Arial" w:eastAsia="Arial" w:hAnsi="Arial"/>
                <w:sz w:val="15"/>
                <w:szCs w:val="15"/>
                <w:color w:val="auto"/>
              </w:rPr>
              <w:t>U.S. Treasuries</w:t>
            </w:r>
          </w:p>
        </w:tc>
        <w:tc>
          <w:tcPr>
            <w:tcW w:w="220" w:type="dxa"/>
            <w:vAlign w:val="bottom"/>
          </w:tcPr>
          <w:p>
            <w:pPr>
              <w:spacing w:after="0"/>
              <w:rPr>
                <w:sz w:val="14"/>
                <w:szCs w:val="14"/>
                <w:color w:val="auto"/>
              </w:rPr>
            </w:pPr>
          </w:p>
        </w:tc>
        <w:tc>
          <w:tcPr>
            <w:tcW w:w="1020" w:type="dxa"/>
            <w:vAlign w:val="bottom"/>
          </w:tcPr>
          <w:p>
            <w:pPr>
              <w:jc w:val="right"/>
              <w:ind w:right="3"/>
              <w:spacing w:after="0" w:line="162" w:lineRule="exact"/>
              <w:rPr>
                <w:sz w:val="20"/>
                <w:szCs w:val="20"/>
                <w:color w:val="auto"/>
              </w:rPr>
            </w:pPr>
            <w:r>
              <w:rPr>
                <w:rFonts w:ascii="Arial" w:cs="Arial" w:eastAsia="Arial" w:hAnsi="Arial"/>
                <w:sz w:val="15"/>
                <w:szCs w:val="15"/>
                <w:color w:val="auto"/>
              </w:rPr>
              <w:t>11,982</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1</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
              <w:spacing w:after="0" w:line="162" w:lineRule="exact"/>
              <w:rPr>
                <w:sz w:val="20"/>
                <w:szCs w:val="20"/>
                <w:color w:val="auto"/>
              </w:rPr>
            </w:pPr>
            <w:r>
              <w:rPr>
                <w:rFonts w:ascii="Arial" w:cs="Arial" w:eastAsia="Arial" w:hAnsi="Arial"/>
                <w:sz w:val="15"/>
                <w:szCs w:val="15"/>
                <w:color w:val="auto"/>
              </w:rPr>
              <w:t>11,981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3"/>
              <w:spacing w:after="0" w:line="162" w:lineRule="exact"/>
              <w:rPr>
                <w:sz w:val="20"/>
                <w:szCs w:val="20"/>
                <w:color w:val="auto"/>
              </w:rPr>
            </w:pPr>
            <w:r>
              <w:rPr>
                <w:rFonts w:ascii="Arial" w:cs="Arial" w:eastAsia="Arial" w:hAnsi="Arial"/>
                <w:sz w:val="15"/>
                <w:szCs w:val="15"/>
                <w:color w:val="auto"/>
              </w:rPr>
              <w:t>1</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jc w:val="right"/>
              <w:ind w:right="3"/>
              <w:spacing w:after="0" w:line="162" w:lineRule="exact"/>
              <w:rPr>
                <w:sz w:val="20"/>
                <w:szCs w:val="20"/>
                <w:color w:val="auto"/>
              </w:rPr>
            </w:pPr>
            <w:r>
              <w:rPr>
                <w:rFonts w:ascii="Arial" w:cs="Arial" w:eastAsia="Arial" w:hAnsi="Arial"/>
                <w:sz w:val="15"/>
                <w:szCs w:val="15"/>
                <w:color w:val="auto"/>
                <w:w w:val="79"/>
              </w:rPr>
              <w:t>-</w:t>
            </w:r>
          </w:p>
        </w:tc>
        <w:tc>
          <w:tcPr>
            <w:tcW w:w="100" w:type="dxa"/>
            <w:vAlign w:val="bottom"/>
          </w:tcPr>
          <w:p>
            <w:pPr>
              <w:spacing w:after="0"/>
              <w:rPr>
                <w:sz w:val="14"/>
                <w:szCs w:val="14"/>
                <w:color w:val="auto"/>
              </w:rPr>
            </w:pPr>
          </w:p>
        </w:tc>
      </w:tr>
      <w:tr>
        <w:trPr>
          <w:trHeight w:val="162"/>
        </w:trPr>
        <w:tc>
          <w:tcPr>
            <w:tcW w:w="3300" w:type="dxa"/>
            <w:vAlign w:val="bottom"/>
          </w:tcPr>
          <w:p>
            <w:pPr>
              <w:ind w:left="180"/>
              <w:spacing w:after="0" w:line="162" w:lineRule="exact"/>
              <w:rPr>
                <w:sz w:val="20"/>
                <w:szCs w:val="20"/>
                <w:color w:val="auto"/>
              </w:rPr>
            </w:pPr>
            <w:r>
              <w:rPr>
                <w:rFonts w:ascii="Arial" w:cs="Arial" w:eastAsia="Arial" w:hAnsi="Arial"/>
                <w:sz w:val="15"/>
                <w:szCs w:val="15"/>
                <w:color w:val="auto"/>
              </w:rPr>
              <w:t>Variable rate demand notes</w:t>
            </w:r>
          </w:p>
        </w:tc>
        <w:tc>
          <w:tcPr>
            <w:tcW w:w="220" w:type="dxa"/>
            <w:vAlign w:val="bottom"/>
          </w:tcPr>
          <w:p>
            <w:pPr>
              <w:spacing w:after="0"/>
              <w:rPr>
                <w:sz w:val="14"/>
                <w:szCs w:val="14"/>
                <w:color w:val="auto"/>
              </w:rPr>
            </w:pPr>
          </w:p>
        </w:tc>
        <w:tc>
          <w:tcPr>
            <w:tcW w:w="1020" w:type="dxa"/>
            <w:vAlign w:val="bottom"/>
          </w:tcPr>
          <w:p>
            <w:pPr>
              <w:jc w:val="right"/>
              <w:ind w:right="3"/>
              <w:spacing w:after="0" w:line="162" w:lineRule="exact"/>
              <w:rPr>
                <w:sz w:val="20"/>
                <w:szCs w:val="20"/>
                <w:color w:val="auto"/>
              </w:rPr>
            </w:pPr>
            <w:r>
              <w:rPr>
                <w:rFonts w:ascii="Arial" w:cs="Arial" w:eastAsia="Arial" w:hAnsi="Arial"/>
                <w:sz w:val="15"/>
                <w:szCs w:val="15"/>
                <w:color w:val="auto"/>
              </w:rPr>
              <w:t>46,054</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
              <w:spacing w:after="0" w:line="162" w:lineRule="exact"/>
              <w:rPr>
                <w:sz w:val="20"/>
                <w:szCs w:val="20"/>
                <w:color w:val="auto"/>
              </w:rPr>
            </w:pPr>
            <w:r>
              <w:rPr>
                <w:rFonts w:ascii="Arial" w:cs="Arial" w:eastAsia="Arial" w:hAnsi="Arial"/>
                <w:sz w:val="15"/>
                <w:szCs w:val="15"/>
                <w:color w:val="auto"/>
              </w:rPr>
              <w:t>46,054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jc w:val="right"/>
              <w:ind w:right="3"/>
              <w:spacing w:after="0" w:line="162" w:lineRule="exact"/>
              <w:rPr>
                <w:sz w:val="20"/>
                <w:szCs w:val="20"/>
                <w:color w:val="auto"/>
              </w:rPr>
            </w:pPr>
            <w:r>
              <w:rPr>
                <w:rFonts w:ascii="Arial" w:cs="Arial" w:eastAsia="Arial" w:hAnsi="Arial"/>
                <w:sz w:val="15"/>
                <w:szCs w:val="15"/>
                <w:color w:val="auto"/>
                <w:w w:val="79"/>
              </w:rPr>
              <w:t>-</w:t>
            </w:r>
          </w:p>
        </w:tc>
        <w:tc>
          <w:tcPr>
            <w:tcW w:w="100" w:type="dxa"/>
            <w:vAlign w:val="bottom"/>
          </w:tcPr>
          <w:p>
            <w:pPr>
              <w:spacing w:after="0"/>
              <w:rPr>
                <w:sz w:val="14"/>
                <w:szCs w:val="14"/>
                <w:color w:val="auto"/>
              </w:rPr>
            </w:pPr>
          </w:p>
        </w:tc>
      </w:tr>
      <w:tr>
        <w:trPr>
          <w:trHeight w:val="162"/>
        </w:trPr>
        <w:tc>
          <w:tcPr>
            <w:tcW w:w="3300" w:type="dxa"/>
            <w:vAlign w:val="bottom"/>
          </w:tcPr>
          <w:p>
            <w:pPr>
              <w:spacing w:after="0" w:line="162" w:lineRule="exact"/>
              <w:rPr>
                <w:sz w:val="20"/>
                <w:szCs w:val="20"/>
                <w:color w:val="auto"/>
              </w:rPr>
            </w:pPr>
            <w:r>
              <w:rPr>
                <w:rFonts w:ascii="Arial" w:cs="Arial" w:eastAsia="Arial" w:hAnsi="Arial"/>
                <w:sz w:val="15"/>
                <w:szCs w:val="15"/>
                <w:color w:val="auto"/>
              </w:rPr>
              <w:t>Long-term:</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300" w:type="dxa"/>
            <w:vAlign w:val="bottom"/>
          </w:tcPr>
          <w:p>
            <w:pPr>
              <w:ind w:left="180"/>
              <w:spacing w:after="0" w:line="162" w:lineRule="exact"/>
              <w:rPr>
                <w:sz w:val="20"/>
                <w:szCs w:val="20"/>
                <w:color w:val="auto"/>
              </w:rPr>
            </w:pPr>
            <w:r>
              <w:rPr>
                <w:rFonts w:ascii="Arial" w:cs="Arial" w:eastAsia="Arial" w:hAnsi="Arial"/>
                <w:sz w:val="15"/>
                <w:szCs w:val="15"/>
                <w:color w:val="auto"/>
              </w:rPr>
              <w:t>Municipal securities</w:t>
            </w:r>
          </w:p>
        </w:tc>
        <w:tc>
          <w:tcPr>
            <w:tcW w:w="220" w:type="dxa"/>
            <w:vAlign w:val="bottom"/>
          </w:tcPr>
          <w:p>
            <w:pPr>
              <w:spacing w:after="0"/>
              <w:rPr>
                <w:sz w:val="14"/>
                <w:szCs w:val="14"/>
                <w:color w:val="auto"/>
              </w:rPr>
            </w:pPr>
          </w:p>
        </w:tc>
        <w:tc>
          <w:tcPr>
            <w:tcW w:w="1020" w:type="dxa"/>
            <w:vAlign w:val="bottom"/>
          </w:tcPr>
          <w:p>
            <w:pPr>
              <w:jc w:val="right"/>
              <w:ind w:right="3"/>
              <w:spacing w:after="0" w:line="162" w:lineRule="exact"/>
              <w:rPr>
                <w:sz w:val="20"/>
                <w:szCs w:val="20"/>
                <w:color w:val="auto"/>
              </w:rPr>
            </w:pPr>
            <w:r>
              <w:rPr>
                <w:rFonts w:ascii="Arial" w:cs="Arial" w:eastAsia="Arial" w:hAnsi="Arial"/>
                <w:sz w:val="15"/>
                <w:szCs w:val="15"/>
                <w:color w:val="auto"/>
              </w:rPr>
              <w:t>2,010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3</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
              <w:spacing w:after="0" w:line="162" w:lineRule="exact"/>
              <w:rPr>
                <w:sz w:val="20"/>
                <w:szCs w:val="20"/>
                <w:color w:val="auto"/>
              </w:rPr>
            </w:pPr>
            <w:r>
              <w:rPr>
                <w:rFonts w:ascii="Arial" w:cs="Arial" w:eastAsia="Arial" w:hAnsi="Arial"/>
                <w:sz w:val="15"/>
                <w:szCs w:val="15"/>
                <w:color w:val="auto"/>
              </w:rPr>
              <w:t>2,007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3"/>
              <w:spacing w:after="0" w:line="162" w:lineRule="exact"/>
              <w:rPr>
                <w:sz w:val="20"/>
                <w:szCs w:val="20"/>
                <w:color w:val="auto"/>
              </w:rPr>
            </w:pPr>
            <w:r>
              <w:rPr>
                <w:rFonts w:ascii="Arial" w:cs="Arial" w:eastAsia="Arial" w:hAnsi="Arial"/>
                <w:sz w:val="15"/>
                <w:szCs w:val="15"/>
                <w:color w:val="auto"/>
              </w:rPr>
              <w:t>3</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jc w:val="right"/>
              <w:ind w:right="3"/>
              <w:spacing w:after="0" w:line="162" w:lineRule="exact"/>
              <w:rPr>
                <w:sz w:val="20"/>
                <w:szCs w:val="20"/>
                <w:color w:val="auto"/>
              </w:rPr>
            </w:pPr>
            <w:r>
              <w:rPr>
                <w:rFonts w:ascii="Arial" w:cs="Arial" w:eastAsia="Arial" w:hAnsi="Arial"/>
                <w:sz w:val="15"/>
                <w:szCs w:val="15"/>
                <w:color w:val="auto"/>
                <w:w w:val="79"/>
              </w:rPr>
              <w:t>-</w:t>
            </w:r>
          </w:p>
        </w:tc>
        <w:tc>
          <w:tcPr>
            <w:tcW w:w="100" w:type="dxa"/>
            <w:vAlign w:val="bottom"/>
          </w:tcPr>
          <w:p>
            <w:pPr>
              <w:spacing w:after="0"/>
              <w:rPr>
                <w:sz w:val="14"/>
                <w:szCs w:val="14"/>
                <w:color w:val="auto"/>
              </w:rPr>
            </w:pPr>
          </w:p>
        </w:tc>
      </w:tr>
      <w:tr>
        <w:trPr>
          <w:trHeight w:val="169"/>
        </w:trPr>
        <w:tc>
          <w:tcPr>
            <w:tcW w:w="3300" w:type="dxa"/>
            <w:vAlign w:val="bottom"/>
          </w:tcPr>
          <w:p>
            <w:pPr>
              <w:ind w:left="180"/>
              <w:spacing w:after="0" w:line="162" w:lineRule="exact"/>
              <w:rPr>
                <w:sz w:val="20"/>
                <w:szCs w:val="20"/>
                <w:color w:val="auto"/>
              </w:rPr>
            </w:pPr>
            <w:r>
              <w:rPr>
                <w:rFonts w:ascii="Arial" w:cs="Arial" w:eastAsia="Arial" w:hAnsi="Arial"/>
                <w:sz w:val="15"/>
                <w:szCs w:val="15"/>
                <w:color w:val="auto"/>
              </w:rPr>
              <w:t>U.S. government agency securities</w:t>
            </w: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5,001</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5</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4,996</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5</w:t>
            </w:r>
          </w:p>
        </w:tc>
        <w:tc>
          <w:tcPr>
            <w:tcW w:w="22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w w:val="79"/>
              </w:rPr>
              <w:t>-</w:t>
            </w:r>
          </w:p>
        </w:tc>
        <w:tc>
          <w:tcPr>
            <w:tcW w:w="100" w:type="dxa"/>
            <w:vAlign w:val="bottom"/>
          </w:tcPr>
          <w:p>
            <w:pPr>
              <w:spacing w:after="0"/>
              <w:rPr>
                <w:sz w:val="14"/>
                <w:szCs w:val="14"/>
                <w:color w:val="auto"/>
              </w:rPr>
            </w:pPr>
          </w:p>
        </w:tc>
      </w:tr>
      <w:tr>
        <w:trPr>
          <w:trHeight w:val="162"/>
        </w:trPr>
        <w:tc>
          <w:tcPr>
            <w:tcW w:w="3300" w:type="dxa"/>
            <w:vAlign w:val="bottom"/>
          </w:tcPr>
          <w:p>
            <w:pPr>
              <w:ind w:left="360"/>
              <w:spacing w:after="0" w:line="162" w:lineRule="exact"/>
              <w:rPr>
                <w:sz w:val="20"/>
                <w:szCs w:val="20"/>
                <w:color w:val="auto"/>
              </w:rPr>
            </w:pPr>
            <w:r>
              <w:rPr>
                <w:rFonts w:ascii="Arial" w:cs="Arial" w:eastAsia="Arial" w:hAnsi="Arial"/>
                <w:sz w:val="15"/>
                <w:szCs w:val="15"/>
                <w:color w:val="auto"/>
              </w:rPr>
              <w:t>Total</w:t>
            </w:r>
          </w:p>
        </w:tc>
        <w:tc>
          <w:tcPr>
            <w:tcW w:w="2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637,472</w:t>
            </w:r>
          </w:p>
        </w:tc>
        <w:tc>
          <w:tcPr>
            <w:tcW w:w="220" w:type="dxa"/>
            <w:vAlign w:val="bottom"/>
          </w:tcPr>
          <w:p>
            <w:pPr>
              <w:spacing w:after="0"/>
              <w:rPr>
                <w:sz w:val="14"/>
                <w:szCs w:val="14"/>
                <w:color w:val="auto"/>
              </w:rPr>
            </w:pPr>
          </w:p>
        </w:tc>
        <w:tc>
          <w:tcPr>
            <w:tcW w:w="2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42</w:t>
            </w:r>
          </w:p>
        </w:tc>
        <w:tc>
          <w:tcPr>
            <w:tcW w:w="240" w:type="dxa"/>
            <w:vAlign w:val="bottom"/>
          </w:tcPr>
          <w:p>
            <w:pPr>
              <w:spacing w:after="0"/>
              <w:rPr>
                <w:sz w:val="14"/>
                <w:szCs w:val="14"/>
                <w:color w:val="auto"/>
              </w:rPr>
            </w:pPr>
          </w:p>
        </w:tc>
        <w:tc>
          <w:tcPr>
            <w:tcW w:w="2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163</w:t>
            </w:r>
          </w:p>
        </w:tc>
        <w:tc>
          <w:tcPr>
            <w:tcW w:w="240" w:type="dxa"/>
            <w:vAlign w:val="bottom"/>
          </w:tcPr>
          <w:p>
            <w:pPr>
              <w:spacing w:after="0"/>
              <w:rPr>
                <w:sz w:val="14"/>
                <w:szCs w:val="14"/>
                <w:color w:val="auto"/>
              </w:rPr>
            </w:pPr>
          </w:p>
        </w:tc>
        <w:tc>
          <w:tcPr>
            <w:tcW w:w="260" w:type="dxa"/>
            <w:vAlign w:val="bottom"/>
            <w:tcBorders>
              <w:bottom w:val="single" w:sz="8" w:color="auto"/>
            </w:tcBorders>
          </w:tcPr>
          <w:p>
            <w:pPr>
              <w:jc w:val="right"/>
              <w:ind w:right="23"/>
              <w:spacing w:after="0" w:line="162"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637,351</w:t>
            </w:r>
          </w:p>
        </w:tc>
        <w:tc>
          <w:tcPr>
            <w:tcW w:w="220" w:type="dxa"/>
            <w:vAlign w:val="bottom"/>
          </w:tcPr>
          <w:p>
            <w:pPr>
              <w:spacing w:after="0"/>
              <w:rPr>
                <w:sz w:val="14"/>
                <w:szCs w:val="14"/>
                <w:color w:val="auto"/>
              </w:rPr>
            </w:pPr>
          </w:p>
        </w:tc>
        <w:tc>
          <w:tcPr>
            <w:tcW w:w="1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163</w:t>
            </w:r>
          </w:p>
        </w:tc>
        <w:tc>
          <w:tcPr>
            <w:tcW w:w="220" w:type="dxa"/>
            <w:vAlign w:val="bottom"/>
          </w:tcPr>
          <w:p>
            <w:pPr>
              <w:spacing w:after="0"/>
              <w:rPr>
                <w:sz w:val="14"/>
                <w:szCs w:val="14"/>
                <w:color w:val="auto"/>
              </w:rPr>
            </w:pPr>
          </w:p>
        </w:tc>
        <w:tc>
          <w:tcPr>
            <w:tcW w:w="980" w:type="dxa"/>
            <w:vAlign w:val="bottom"/>
            <w:tcBorders>
              <w:bottom w:val="single" w:sz="8" w:color="auto"/>
            </w:tcBorders>
          </w:tcPr>
          <w:p>
            <w:pPr>
              <w:jc w:val="right"/>
              <w:ind w:right="763"/>
              <w:spacing w:after="0" w:line="162" w:lineRule="exact"/>
              <w:rPr>
                <w:sz w:val="20"/>
                <w:szCs w:val="20"/>
                <w:color w:val="auto"/>
              </w:rPr>
            </w:pPr>
            <w:r>
              <w:rPr>
                <w:rFonts w:ascii="Arial" w:cs="Arial" w:eastAsia="Arial" w:hAnsi="Arial"/>
                <w:sz w:val="15"/>
                <w:szCs w:val="15"/>
                <w:color w:val="auto"/>
              </w:rPr>
              <w:t>$</w:t>
            </w:r>
          </w:p>
        </w:tc>
        <w:tc>
          <w:tcPr>
            <w:tcW w:w="14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w w:val="79"/>
              </w:rPr>
              <w:t>-</w:t>
            </w:r>
          </w:p>
        </w:tc>
        <w:tc>
          <w:tcPr>
            <w:tcW w:w="100" w:type="dxa"/>
            <w:vAlign w:val="bottom"/>
          </w:tcPr>
          <w:p>
            <w:pPr>
              <w:spacing w:after="0"/>
              <w:rPr>
                <w:sz w:val="14"/>
                <w:szCs w:val="14"/>
                <w:color w:val="auto"/>
              </w:rPr>
            </w:pPr>
          </w:p>
        </w:tc>
      </w:tr>
      <w:tr>
        <w:trPr>
          <w:trHeight w:val="20"/>
        </w:trPr>
        <w:tc>
          <w:tcPr>
            <w:tcW w:w="3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3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5"/>
                <w:szCs w:val="15"/>
                <w:color w:val="auto"/>
                <w:w w:val="92"/>
              </w:rPr>
              <w:t>Continuous</w:t>
            </w:r>
          </w:p>
        </w:tc>
        <w:tc>
          <w:tcPr>
            <w:tcW w:w="980" w:type="dxa"/>
            <w:vAlign w:val="bottom"/>
          </w:tcPr>
          <w:p>
            <w:pPr>
              <w:jc w:val="center"/>
              <w:ind w:left="43"/>
              <w:spacing w:after="0"/>
              <w:rPr>
                <w:sz w:val="20"/>
                <w:szCs w:val="20"/>
                <w:color w:val="auto"/>
              </w:rPr>
            </w:pPr>
            <w:r>
              <w:rPr>
                <w:rFonts w:ascii="Arial" w:cs="Arial" w:eastAsia="Arial" w:hAnsi="Arial"/>
                <w:sz w:val="15"/>
                <w:szCs w:val="15"/>
                <w:color w:val="auto"/>
                <w:w w:val="92"/>
              </w:rPr>
              <w:t>Continuous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3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420"/>
              <w:spacing w:after="0" w:line="162" w:lineRule="exact"/>
              <w:rPr>
                <w:sz w:val="20"/>
                <w:szCs w:val="20"/>
                <w:color w:val="auto"/>
              </w:rPr>
            </w:pPr>
            <w:r>
              <w:rPr>
                <w:rFonts w:ascii="Arial" w:cs="Arial" w:eastAsia="Arial" w:hAnsi="Arial"/>
                <w:sz w:val="15"/>
                <w:szCs w:val="15"/>
                <w:color w:val="auto"/>
                <w:w w:val="89"/>
              </w:rPr>
              <w:t>Gross</w:t>
            </w:r>
          </w:p>
        </w:tc>
        <w:tc>
          <w:tcPr>
            <w:tcW w:w="200" w:type="dxa"/>
            <w:vAlign w:val="bottom"/>
          </w:tcPr>
          <w:p>
            <w:pPr>
              <w:spacing w:after="0"/>
              <w:rPr>
                <w:sz w:val="14"/>
                <w:szCs w:val="14"/>
                <w:color w:val="auto"/>
              </w:rPr>
            </w:pPr>
          </w:p>
        </w:tc>
        <w:tc>
          <w:tcPr>
            <w:tcW w:w="1180" w:type="dxa"/>
            <w:vAlign w:val="bottom"/>
            <w:gridSpan w:val="2"/>
          </w:tcPr>
          <w:p>
            <w:pPr>
              <w:jc w:val="center"/>
              <w:ind w:right="420"/>
              <w:spacing w:after="0" w:line="162" w:lineRule="exact"/>
              <w:rPr>
                <w:sz w:val="20"/>
                <w:szCs w:val="20"/>
                <w:color w:val="auto"/>
              </w:rPr>
            </w:pPr>
            <w:r>
              <w:rPr>
                <w:rFonts w:ascii="Arial" w:cs="Arial" w:eastAsia="Arial" w:hAnsi="Arial"/>
                <w:sz w:val="15"/>
                <w:szCs w:val="15"/>
                <w:color w:val="auto"/>
                <w:w w:val="89"/>
              </w:rPr>
              <w:t>Gross</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400"/>
              <w:spacing w:after="0" w:line="162" w:lineRule="exact"/>
              <w:rPr>
                <w:sz w:val="20"/>
                <w:szCs w:val="20"/>
                <w:color w:val="auto"/>
              </w:rPr>
            </w:pPr>
            <w:r>
              <w:rPr>
                <w:rFonts w:ascii="Arial" w:cs="Arial" w:eastAsia="Arial" w:hAnsi="Arial"/>
                <w:sz w:val="15"/>
                <w:szCs w:val="15"/>
                <w:color w:val="auto"/>
                <w:w w:val="94"/>
              </w:rPr>
              <w:t>Unrealized</w:t>
            </w:r>
          </w:p>
        </w:tc>
        <w:tc>
          <w:tcPr>
            <w:tcW w:w="980" w:type="dxa"/>
            <w:vAlign w:val="bottom"/>
          </w:tcPr>
          <w:p>
            <w:pPr>
              <w:jc w:val="center"/>
              <w:ind w:left="43"/>
              <w:spacing w:after="0" w:line="162" w:lineRule="exact"/>
              <w:rPr>
                <w:sz w:val="20"/>
                <w:szCs w:val="20"/>
                <w:color w:val="auto"/>
              </w:rPr>
            </w:pPr>
            <w:r>
              <w:rPr>
                <w:rFonts w:ascii="Arial" w:cs="Arial" w:eastAsia="Arial" w:hAnsi="Arial"/>
                <w:sz w:val="15"/>
                <w:szCs w:val="15"/>
                <w:color w:val="auto"/>
                <w:w w:val="91"/>
              </w:rPr>
              <w:t>Unrealized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420"/>
              <w:spacing w:after="0" w:line="162" w:lineRule="exact"/>
              <w:rPr>
                <w:sz w:val="20"/>
                <w:szCs w:val="20"/>
                <w:color w:val="auto"/>
              </w:rPr>
            </w:pPr>
            <w:r>
              <w:rPr>
                <w:rFonts w:ascii="Arial" w:cs="Arial" w:eastAsia="Arial" w:hAnsi="Arial"/>
                <w:sz w:val="15"/>
                <w:szCs w:val="15"/>
                <w:color w:val="auto"/>
                <w:w w:val="94"/>
              </w:rPr>
              <w:t>Unrealized</w:t>
            </w:r>
          </w:p>
        </w:tc>
        <w:tc>
          <w:tcPr>
            <w:tcW w:w="200" w:type="dxa"/>
            <w:vAlign w:val="bottom"/>
          </w:tcPr>
          <w:p>
            <w:pPr>
              <w:spacing w:after="0"/>
              <w:rPr>
                <w:sz w:val="14"/>
                <w:szCs w:val="14"/>
                <w:color w:val="auto"/>
              </w:rPr>
            </w:pPr>
          </w:p>
        </w:tc>
        <w:tc>
          <w:tcPr>
            <w:tcW w:w="1180" w:type="dxa"/>
            <w:vAlign w:val="bottom"/>
            <w:gridSpan w:val="2"/>
          </w:tcPr>
          <w:p>
            <w:pPr>
              <w:jc w:val="center"/>
              <w:ind w:right="440"/>
              <w:spacing w:after="0" w:line="162" w:lineRule="exact"/>
              <w:rPr>
                <w:sz w:val="20"/>
                <w:szCs w:val="20"/>
                <w:color w:val="auto"/>
              </w:rPr>
            </w:pPr>
            <w:r>
              <w:rPr>
                <w:rFonts w:ascii="Arial" w:cs="Arial" w:eastAsia="Arial" w:hAnsi="Arial"/>
                <w:sz w:val="15"/>
                <w:szCs w:val="15"/>
                <w:color w:val="auto"/>
                <w:w w:val="91"/>
              </w:rPr>
              <w:t>Unrealized</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3"/>
          </w:tcPr>
          <w:p>
            <w:pPr>
              <w:jc w:val="center"/>
              <w:ind w:right="240"/>
              <w:spacing w:after="0" w:line="162" w:lineRule="exact"/>
              <w:rPr>
                <w:sz w:val="20"/>
                <w:szCs w:val="20"/>
                <w:color w:val="auto"/>
              </w:rPr>
            </w:pPr>
            <w:r>
              <w:rPr>
                <w:rFonts w:ascii="Arial" w:cs="Arial" w:eastAsia="Arial" w:hAnsi="Arial"/>
                <w:sz w:val="15"/>
                <w:szCs w:val="15"/>
                <w:color w:val="auto"/>
                <w:w w:val="91"/>
              </w:rPr>
              <w:t>Loss Position</w:t>
            </w:r>
          </w:p>
        </w:tc>
        <w:tc>
          <w:tcPr>
            <w:tcW w:w="980" w:type="dxa"/>
            <w:vAlign w:val="bottom"/>
          </w:tcPr>
          <w:p>
            <w:pPr>
              <w:jc w:val="center"/>
              <w:ind w:left="43"/>
              <w:spacing w:after="0" w:line="162" w:lineRule="exact"/>
              <w:rPr>
                <w:sz w:val="20"/>
                <w:szCs w:val="20"/>
                <w:color w:val="auto"/>
              </w:rPr>
            </w:pPr>
            <w:r>
              <w:rPr>
                <w:rFonts w:ascii="Arial" w:cs="Arial" w:eastAsia="Arial" w:hAnsi="Arial"/>
                <w:sz w:val="15"/>
                <w:szCs w:val="15"/>
                <w:color w:val="auto"/>
                <w:w w:val="91"/>
              </w:rPr>
              <w:t>Loss Position</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440"/>
              <w:spacing w:after="0" w:line="162" w:lineRule="exact"/>
              <w:rPr>
                <w:sz w:val="20"/>
                <w:szCs w:val="20"/>
                <w:color w:val="auto"/>
              </w:rPr>
            </w:pPr>
            <w:r>
              <w:rPr>
                <w:rFonts w:ascii="Arial" w:cs="Arial" w:eastAsia="Arial" w:hAnsi="Arial"/>
                <w:sz w:val="15"/>
                <w:szCs w:val="15"/>
                <w:color w:val="auto"/>
                <w:w w:val="94"/>
              </w:rPr>
              <w:t>Amortized</w:t>
            </w:r>
          </w:p>
        </w:tc>
        <w:tc>
          <w:tcPr>
            <w:tcW w:w="200" w:type="dxa"/>
            <w:vAlign w:val="bottom"/>
          </w:tcPr>
          <w:p>
            <w:pPr>
              <w:spacing w:after="0"/>
              <w:rPr>
                <w:sz w:val="14"/>
                <w:szCs w:val="14"/>
                <w:color w:val="auto"/>
              </w:rPr>
            </w:pPr>
          </w:p>
        </w:tc>
        <w:tc>
          <w:tcPr>
            <w:tcW w:w="1180" w:type="dxa"/>
            <w:vAlign w:val="bottom"/>
            <w:gridSpan w:val="2"/>
          </w:tcPr>
          <w:p>
            <w:pPr>
              <w:jc w:val="center"/>
              <w:ind w:right="440"/>
              <w:spacing w:after="0" w:line="162" w:lineRule="exact"/>
              <w:rPr>
                <w:sz w:val="20"/>
                <w:szCs w:val="20"/>
                <w:color w:val="auto"/>
              </w:rPr>
            </w:pPr>
            <w:r>
              <w:rPr>
                <w:rFonts w:ascii="Arial" w:cs="Arial" w:eastAsia="Arial" w:hAnsi="Arial"/>
                <w:sz w:val="15"/>
                <w:szCs w:val="15"/>
                <w:color w:val="auto"/>
                <w:w w:val="98"/>
              </w:rPr>
              <w:t>Holding</w:t>
            </w:r>
          </w:p>
        </w:tc>
        <w:tc>
          <w:tcPr>
            <w:tcW w:w="200" w:type="dxa"/>
            <w:vAlign w:val="bottom"/>
          </w:tcPr>
          <w:p>
            <w:pPr>
              <w:spacing w:after="0"/>
              <w:rPr>
                <w:sz w:val="14"/>
                <w:szCs w:val="14"/>
                <w:color w:val="auto"/>
              </w:rPr>
            </w:pPr>
          </w:p>
        </w:tc>
        <w:tc>
          <w:tcPr>
            <w:tcW w:w="1180" w:type="dxa"/>
            <w:vAlign w:val="bottom"/>
            <w:gridSpan w:val="2"/>
          </w:tcPr>
          <w:p>
            <w:pPr>
              <w:jc w:val="center"/>
              <w:ind w:right="440"/>
              <w:spacing w:after="0" w:line="162" w:lineRule="exact"/>
              <w:rPr>
                <w:sz w:val="20"/>
                <w:szCs w:val="20"/>
                <w:color w:val="auto"/>
              </w:rPr>
            </w:pPr>
            <w:r>
              <w:rPr>
                <w:rFonts w:ascii="Arial" w:cs="Arial" w:eastAsia="Arial" w:hAnsi="Arial"/>
                <w:sz w:val="15"/>
                <w:szCs w:val="15"/>
                <w:color w:val="auto"/>
                <w:w w:val="98"/>
              </w:rPr>
              <w:t>Holding</w:t>
            </w:r>
          </w:p>
        </w:tc>
        <w:tc>
          <w:tcPr>
            <w:tcW w:w="260" w:type="dxa"/>
            <w:vAlign w:val="bottom"/>
          </w:tcPr>
          <w:p>
            <w:pPr>
              <w:spacing w:after="0"/>
              <w:rPr>
                <w:sz w:val="14"/>
                <w:szCs w:val="14"/>
                <w:color w:val="auto"/>
              </w:rPr>
            </w:pPr>
          </w:p>
        </w:tc>
        <w:tc>
          <w:tcPr>
            <w:tcW w:w="1080" w:type="dxa"/>
            <w:vAlign w:val="bottom"/>
            <w:gridSpan w:val="2"/>
          </w:tcPr>
          <w:p>
            <w:pPr>
              <w:jc w:val="center"/>
              <w:ind w:right="480"/>
              <w:spacing w:after="0" w:line="162" w:lineRule="exact"/>
              <w:rPr>
                <w:sz w:val="20"/>
                <w:szCs w:val="20"/>
                <w:color w:val="auto"/>
              </w:rPr>
            </w:pPr>
            <w:r>
              <w:rPr>
                <w:rFonts w:ascii="Arial" w:cs="Arial" w:eastAsia="Arial" w:hAnsi="Arial"/>
                <w:sz w:val="15"/>
                <w:szCs w:val="15"/>
                <w:color w:val="auto"/>
                <w:w w:val="92"/>
              </w:rPr>
              <w:t>Fair</w:t>
            </w:r>
          </w:p>
        </w:tc>
        <w:tc>
          <w:tcPr>
            <w:tcW w:w="180" w:type="dxa"/>
            <w:vAlign w:val="bottom"/>
          </w:tcPr>
          <w:p>
            <w:pPr>
              <w:spacing w:after="0"/>
              <w:rPr>
                <w:sz w:val="14"/>
                <w:szCs w:val="14"/>
                <w:color w:val="auto"/>
              </w:rPr>
            </w:pPr>
          </w:p>
        </w:tc>
        <w:tc>
          <w:tcPr>
            <w:tcW w:w="1160" w:type="dxa"/>
            <w:vAlign w:val="bottom"/>
            <w:gridSpan w:val="2"/>
          </w:tcPr>
          <w:p>
            <w:pPr>
              <w:jc w:val="center"/>
              <w:ind w:right="400"/>
              <w:spacing w:after="0" w:line="162" w:lineRule="exact"/>
              <w:rPr>
                <w:sz w:val="20"/>
                <w:szCs w:val="20"/>
                <w:color w:val="auto"/>
              </w:rPr>
            </w:pPr>
            <w:r>
              <w:rPr>
                <w:rFonts w:ascii="Arial" w:cs="Arial" w:eastAsia="Arial" w:hAnsi="Arial"/>
                <w:sz w:val="15"/>
                <w:szCs w:val="15"/>
                <w:color w:val="auto"/>
                <w:w w:val="88"/>
              </w:rPr>
              <w:t>less than 12</w:t>
            </w:r>
          </w:p>
        </w:tc>
        <w:tc>
          <w:tcPr>
            <w:tcW w:w="1120" w:type="dxa"/>
            <w:vAlign w:val="bottom"/>
            <w:gridSpan w:val="2"/>
          </w:tcPr>
          <w:p>
            <w:pPr>
              <w:jc w:val="center"/>
              <w:spacing w:after="0" w:line="162" w:lineRule="exact"/>
              <w:rPr>
                <w:sz w:val="20"/>
                <w:szCs w:val="20"/>
                <w:color w:val="auto"/>
              </w:rPr>
            </w:pPr>
            <w:r>
              <w:rPr>
                <w:rFonts w:ascii="Arial" w:cs="Arial" w:eastAsia="Arial" w:hAnsi="Arial"/>
                <w:sz w:val="15"/>
                <w:szCs w:val="15"/>
                <w:color w:val="auto"/>
                <w:w w:val="90"/>
              </w:rPr>
              <w:t>greater than 12</w:t>
            </w:r>
          </w:p>
        </w:tc>
        <w:tc>
          <w:tcPr>
            <w:tcW w:w="100" w:type="dxa"/>
            <w:vAlign w:val="bottom"/>
          </w:tcPr>
          <w:p>
            <w:pPr>
              <w:spacing w:after="0"/>
              <w:rPr>
                <w:sz w:val="14"/>
                <w:szCs w:val="14"/>
                <w:color w:val="auto"/>
              </w:rPr>
            </w:pPr>
          </w:p>
        </w:tc>
      </w:tr>
      <w:tr>
        <w:trPr>
          <w:trHeight w:val="182"/>
        </w:trPr>
        <w:tc>
          <w:tcPr>
            <w:tcW w:w="33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December 31, 2016</w:t>
            </w: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5"/>
                <w:szCs w:val="15"/>
                <w:color w:val="auto"/>
                <w:w w:val="90"/>
              </w:rPr>
              <w:t>Cost</w:t>
            </w: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5"/>
                <w:szCs w:val="15"/>
                <w:color w:val="auto"/>
                <w:w w:val="91"/>
              </w:rPr>
              <w:t>Gains</w:t>
            </w: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5"/>
                <w:szCs w:val="15"/>
                <w:color w:val="auto"/>
                <w:w w:val="88"/>
              </w:rPr>
              <w:t>Losses</w:t>
            </w: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5"/>
                <w:szCs w:val="15"/>
                <w:color w:val="auto"/>
                <w:w w:val="93"/>
              </w:rPr>
              <w:t>Value</w:t>
            </w: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5"/>
                <w:szCs w:val="15"/>
                <w:color w:val="auto"/>
                <w:w w:val="93"/>
              </w:rPr>
              <w:t>Months</w:t>
            </w:r>
          </w:p>
        </w:tc>
        <w:tc>
          <w:tcPr>
            <w:tcW w:w="980" w:type="dxa"/>
            <w:vAlign w:val="bottom"/>
            <w:tcBorders>
              <w:bottom w:val="single" w:sz="8" w:color="auto"/>
            </w:tcBorders>
          </w:tcPr>
          <w:p>
            <w:pPr>
              <w:jc w:val="center"/>
              <w:ind w:left="43"/>
              <w:spacing w:after="0"/>
              <w:rPr>
                <w:sz w:val="20"/>
                <w:szCs w:val="20"/>
                <w:color w:val="auto"/>
              </w:rPr>
            </w:pPr>
            <w:r>
              <w:rPr>
                <w:rFonts w:ascii="Arial" w:cs="Arial" w:eastAsia="Arial" w:hAnsi="Arial"/>
                <w:sz w:val="15"/>
                <w:szCs w:val="15"/>
                <w:color w:val="auto"/>
                <w:w w:val="93"/>
              </w:rPr>
              <w:t>Months</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r>
      <w:tr>
        <w:trPr>
          <w:trHeight w:val="149"/>
        </w:trPr>
        <w:tc>
          <w:tcPr>
            <w:tcW w:w="3300" w:type="dxa"/>
            <w:vAlign w:val="bottom"/>
          </w:tcPr>
          <w:p>
            <w:pPr>
              <w:spacing w:after="0" w:line="149" w:lineRule="exact"/>
              <w:rPr>
                <w:sz w:val="20"/>
                <w:szCs w:val="20"/>
                <w:color w:val="auto"/>
              </w:rPr>
            </w:pPr>
            <w:r>
              <w:rPr>
                <w:rFonts w:ascii="Arial" w:cs="Arial" w:eastAsia="Arial" w:hAnsi="Arial"/>
                <w:sz w:val="15"/>
                <w:szCs w:val="15"/>
                <w:b w:val="1"/>
                <w:bCs w:val="1"/>
                <w:color w:val="auto"/>
              </w:rPr>
              <w:t>Available-for-sale</w:t>
            </w: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3300" w:type="dxa"/>
            <w:vAlign w:val="bottom"/>
          </w:tcPr>
          <w:p>
            <w:pPr>
              <w:spacing w:after="0" w:line="162" w:lineRule="exact"/>
              <w:rPr>
                <w:sz w:val="20"/>
                <w:szCs w:val="20"/>
                <w:color w:val="auto"/>
              </w:rPr>
            </w:pPr>
            <w:r>
              <w:rPr>
                <w:rFonts w:ascii="Arial" w:cs="Arial" w:eastAsia="Arial" w:hAnsi="Arial"/>
                <w:sz w:val="15"/>
                <w:szCs w:val="15"/>
                <w:color w:val="auto"/>
              </w:rPr>
              <w:t>Short-term:</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300" w:type="dxa"/>
            <w:vAlign w:val="bottom"/>
          </w:tcPr>
          <w:p>
            <w:pPr>
              <w:ind w:left="180"/>
              <w:spacing w:after="0" w:line="162" w:lineRule="exact"/>
              <w:rPr>
                <w:sz w:val="20"/>
                <w:szCs w:val="20"/>
                <w:color w:val="auto"/>
              </w:rPr>
            </w:pPr>
            <w:r>
              <w:rPr>
                <w:rFonts w:ascii="Arial" w:cs="Arial" w:eastAsia="Arial" w:hAnsi="Arial"/>
                <w:sz w:val="15"/>
                <w:szCs w:val="15"/>
                <w:color w:val="auto"/>
              </w:rPr>
              <w:t>Commercial paper</w:t>
            </w:r>
          </w:p>
        </w:tc>
        <w:tc>
          <w:tcPr>
            <w:tcW w:w="2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020" w:type="dxa"/>
            <w:vAlign w:val="bottom"/>
          </w:tcPr>
          <w:p>
            <w:pPr>
              <w:jc w:val="right"/>
              <w:ind w:right="3"/>
              <w:spacing w:after="0" w:line="162" w:lineRule="exact"/>
              <w:rPr>
                <w:sz w:val="20"/>
                <w:szCs w:val="20"/>
                <w:color w:val="auto"/>
              </w:rPr>
            </w:pPr>
            <w:r>
              <w:rPr>
                <w:rFonts w:ascii="Arial" w:cs="Arial" w:eastAsia="Arial" w:hAnsi="Arial"/>
                <w:sz w:val="15"/>
                <w:szCs w:val="15"/>
                <w:color w:val="auto"/>
              </w:rPr>
              <w:t>40,382</w:t>
            </w:r>
          </w:p>
        </w:tc>
        <w:tc>
          <w:tcPr>
            <w:tcW w:w="220" w:type="dxa"/>
            <w:vAlign w:val="bottom"/>
          </w:tcPr>
          <w:p>
            <w:pPr>
              <w:spacing w:after="0"/>
              <w:rPr>
                <w:sz w:val="14"/>
                <w:szCs w:val="14"/>
                <w:color w:val="auto"/>
              </w:rPr>
            </w:pPr>
          </w:p>
        </w:tc>
        <w:tc>
          <w:tcPr>
            <w:tcW w:w="2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2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260" w:type="dxa"/>
            <w:vAlign w:val="bottom"/>
          </w:tcPr>
          <w:p>
            <w:pPr>
              <w:jc w:val="right"/>
              <w:ind w:right="23"/>
              <w:spacing w:after="0" w:line="162" w:lineRule="exact"/>
              <w:rPr>
                <w:sz w:val="20"/>
                <w:szCs w:val="20"/>
                <w:color w:val="auto"/>
              </w:rPr>
            </w:pPr>
            <w:r>
              <w:rPr>
                <w:rFonts w:ascii="Arial" w:cs="Arial" w:eastAsia="Arial" w:hAnsi="Arial"/>
                <w:sz w:val="15"/>
                <w:szCs w:val="15"/>
                <w:color w:val="auto"/>
              </w:rPr>
              <w:t>$</w:t>
            </w:r>
          </w:p>
        </w:tc>
        <w:tc>
          <w:tcPr>
            <w:tcW w:w="860" w:type="dxa"/>
            <w:vAlign w:val="bottom"/>
          </w:tcPr>
          <w:p>
            <w:pPr>
              <w:jc w:val="right"/>
              <w:ind w:right="3"/>
              <w:spacing w:after="0" w:line="162" w:lineRule="exact"/>
              <w:rPr>
                <w:sz w:val="20"/>
                <w:szCs w:val="20"/>
                <w:color w:val="auto"/>
              </w:rPr>
            </w:pPr>
            <w:r>
              <w:rPr>
                <w:rFonts w:ascii="Arial" w:cs="Arial" w:eastAsia="Arial" w:hAnsi="Arial"/>
                <w:sz w:val="15"/>
                <w:szCs w:val="15"/>
                <w:color w:val="auto"/>
              </w:rPr>
              <w:t>40,382</w:t>
            </w:r>
          </w:p>
        </w:tc>
        <w:tc>
          <w:tcPr>
            <w:tcW w:w="220" w:type="dxa"/>
            <w:vAlign w:val="bottom"/>
          </w:tcPr>
          <w:p>
            <w:pPr>
              <w:spacing w:after="0"/>
              <w:rPr>
                <w:sz w:val="14"/>
                <w:szCs w:val="14"/>
                <w:color w:val="auto"/>
              </w:rPr>
            </w:pPr>
          </w:p>
        </w:tc>
        <w:tc>
          <w:tcPr>
            <w:tcW w:w="1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94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ind w:right="763"/>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jc w:val="right"/>
              <w:ind w:right="3"/>
              <w:spacing w:after="0" w:line="162" w:lineRule="exact"/>
              <w:rPr>
                <w:sz w:val="20"/>
                <w:szCs w:val="20"/>
                <w:color w:val="auto"/>
              </w:rPr>
            </w:pPr>
            <w:r>
              <w:rPr>
                <w:rFonts w:ascii="Arial" w:cs="Arial" w:eastAsia="Arial" w:hAnsi="Arial"/>
                <w:sz w:val="15"/>
                <w:szCs w:val="15"/>
                <w:color w:val="auto"/>
                <w:w w:val="79"/>
              </w:rPr>
              <w:t>-</w:t>
            </w:r>
          </w:p>
        </w:tc>
        <w:tc>
          <w:tcPr>
            <w:tcW w:w="100" w:type="dxa"/>
            <w:vAlign w:val="bottom"/>
          </w:tcPr>
          <w:p>
            <w:pPr>
              <w:spacing w:after="0"/>
              <w:rPr>
                <w:sz w:val="14"/>
                <w:szCs w:val="14"/>
                <w:color w:val="auto"/>
              </w:rPr>
            </w:pPr>
          </w:p>
        </w:tc>
      </w:tr>
      <w:tr>
        <w:trPr>
          <w:trHeight w:val="162"/>
        </w:trPr>
        <w:tc>
          <w:tcPr>
            <w:tcW w:w="3300" w:type="dxa"/>
            <w:vAlign w:val="bottom"/>
          </w:tcPr>
          <w:p>
            <w:pPr>
              <w:ind w:left="180"/>
              <w:spacing w:after="0" w:line="162" w:lineRule="exact"/>
              <w:rPr>
                <w:sz w:val="20"/>
                <w:szCs w:val="20"/>
                <w:color w:val="auto"/>
              </w:rPr>
            </w:pPr>
            <w:r>
              <w:rPr>
                <w:rFonts w:ascii="Arial" w:cs="Arial" w:eastAsia="Arial" w:hAnsi="Arial"/>
                <w:sz w:val="15"/>
                <w:szCs w:val="15"/>
                <w:color w:val="auto"/>
              </w:rPr>
              <w:t>Municipal securities</w:t>
            </w:r>
          </w:p>
        </w:tc>
        <w:tc>
          <w:tcPr>
            <w:tcW w:w="220" w:type="dxa"/>
            <w:vAlign w:val="bottom"/>
          </w:tcPr>
          <w:p>
            <w:pPr>
              <w:spacing w:after="0"/>
              <w:rPr>
                <w:sz w:val="14"/>
                <w:szCs w:val="14"/>
                <w:color w:val="auto"/>
              </w:rPr>
            </w:pPr>
          </w:p>
        </w:tc>
        <w:tc>
          <w:tcPr>
            <w:tcW w:w="1020" w:type="dxa"/>
            <w:vAlign w:val="bottom"/>
          </w:tcPr>
          <w:p>
            <w:pPr>
              <w:jc w:val="right"/>
              <w:ind w:right="3"/>
              <w:spacing w:after="0" w:line="162" w:lineRule="exact"/>
              <w:rPr>
                <w:sz w:val="20"/>
                <w:szCs w:val="20"/>
                <w:color w:val="auto"/>
              </w:rPr>
            </w:pPr>
            <w:r>
              <w:rPr>
                <w:rFonts w:ascii="Arial" w:cs="Arial" w:eastAsia="Arial" w:hAnsi="Arial"/>
                <w:sz w:val="15"/>
                <w:szCs w:val="15"/>
                <w:color w:val="auto"/>
              </w:rPr>
              <w:t>140,379</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181</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
              <w:spacing w:after="0" w:line="162" w:lineRule="exact"/>
              <w:rPr>
                <w:sz w:val="20"/>
                <w:szCs w:val="20"/>
                <w:color w:val="auto"/>
              </w:rPr>
            </w:pPr>
            <w:r>
              <w:rPr>
                <w:rFonts w:ascii="Arial" w:cs="Arial" w:eastAsia="Arial" w:hAnsi="Arial"/>
                <w:sz w:val="15"/>
                <w:szCs w:val="15"/>
                <w:color w:val="auto"/>
              </w:rPr>
              <w:t>140,198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3"/>
              <w:spacing w:after="0" w:line="162" w:lineRule="exact"/>
              <w:rPr>
                <w:sz w:val="20"/>
                <w:szCs w:val="20"/>
                <w:color w:val="auto"/>
              </w:rPr>
            </w:pPr>
            <w:r>
              <w:rPr>
                <w:rFonts w:ascii="Arial" w:cs="Arial" w:eastAsia="Arial" w:hAnsi="Arial"/>
                <w:sz w:val="15"/>
                <w:szCs w:val="15"/>
                <w:color w:val="auto"/>
              </w:rPr>
              <w:t>181</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jc w:val="right"/>
              <w:ind w:right="3"/>
              <w:spacing w:after="0" w:line="162" w:lineRule="exact"/>
              <w:rPr>
                <w:sz w:val="20"/>
                <w:szCs w:val="20"/>
                <w:color w:val="auto"/>
              </w:rPr>
            </w:pPr>
            <w:r>
              <w:rPr>
                <w:rFonts w:ascii="Arial" w:cs="Arial" w:eastAsia="Arial" w:hAnsi="Arial"/>
                <w:sz w:val="15"/>
                <w:szCs w:val="15"/>
                <w:color w:val="auto"/>
                <w:w w:val="79"/>
              </w:rPr>
              <w:t>-</w:t>
            </w:r>
          </w:p>
        </w:tc>
        <w:tc>
          <w:tcPr>
            <w:tcW w:w="100" w:type="dxa"/>
            <w:vAlign w:val="bottom"/>
          </w:tcPr>
          <w:p>
            <w:pPr>
              <w:spacing w:after="0"/>
              <w:rPr>
                <w:sz w:val="14"/>
                <w:szCs w:val="14"/>
                <w:color w:val="auto"/>
              </w:rPr>
            </w:pPr>
          </w:p>
        </w:tc>
      </w:tr>
      <w:tr>
        <w:trPr>
          <w:trHeight w:val="162"/>
        </w:trPr>
        <w:tc>
          <w:tcPr>
            <w:tcW w:w="3300" w:type="dxa"/>
            <w:vAlign w:val="bottom"/>
          </w:tcPr>
          <w:p>
            <w:pPr>
              <w:ind w:left="180"/>
              <w:spacing w:after="0" w:line="162" w:lineRule="exact"/>
              <w:rPr>
                <w:sz w:val="20"/>
                <w:szCs w:val="20"/>
                <w:color w:val="auto"/>
              </w:rPr>
            </w:pPr>
            <w:r>
              <w:rPr>
                <w:rFonts w:ascii="Arial" w:cs="Arial" w:eastAsia="Arial" w:hAnsi="Arial"/>
                <w:sz w:val="15"/>
                <w:szCs w:val="15"/>
                <w:color w:val="auto"/>
              </w:rPr>
              <w:t>U.S. government agency securities</w:t>
            </w:r>
          </w:p>
        </w:tc>
        <w:tc>
          <w:tcPr>
            <w:tcW w:w="220" w:type="dxa"/>
            <w:vAlign w:val="bottom"/>
          </w:tcPr>
          <w:p>
            <w:pPr>
              <w:spacing w:after="0"/>
              <w:rPr>
                <w:sz w:val="14"/>
                <w:szCs w:val="14"/>
                <w:color w:val="auto"/>
              </w:rPr>
            </w:pPr>
          </w:p>
        </w:tc>
        <w:tc>
          <w:tcPr>
            <w:tcW w:w="1020" w:type="dxa"/>
            <w:vAlign w:val="bottom"/>
          </w:tcPr>
          <w:p>
            <w:pPr>
              <w:jc w:val="right"/>
              <w:ind w:right="3"/>
              <w:spacing w:after="0" w:line="162" w:lineRule="exact"/>
              <w:rPr>
                <w:sz w:val="20"/>
                <w:szCs w:val="20"/>
                <w:color w:val="auto"/>
              </w:rPr>
            </w:pPr>
            <w:r>
              <w:rPr>
                <w:rFonts w:ascii="Arial" w:cs="Arial" w:eastAsia="Arial" w:hAnsi="Arial"/>
                <w:sz w:val="15"/>
                <w:szCs w:val="15"/>
                <w:color w:val="auto"/>
              </w:rPr>
              <w:t>26,057</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6</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
              <w:spacing w:after="0" w:line="162" w:lineRule="exact"/>
              <w:rPr>
                <w:sz w:val="20"/>
                <w:szCs w:val="20"/>
                <w:color w:val="auto"/>
              </w:rPr>
            </w:pPr>
            <w:r>
              <w:rPr>
                <w:rFonts w:ascii="Arial" w:cs="Arial" w:eastAsia="Arial" w:hAnsi="Arial"/>
                <w:sz w:val="15"/>
                <w:szCs w:val="15"/>
                <w:color w:val="auto"/>
              </w:rPr>
              <w:t>26,051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3"/>
              <w:spacing w:after="0" w:line="162" w:lineRule="exact"/>
              <w:rPr>
                <w:sz w:val="20"/>
                <w:szCs w:val="20"/>
                <w:color w:val="auto"/>
              </w:rPr>
            </w:pPr>
            <w:r>
              <w:rPr>
                <w:rFonts w:ascii="Arial" w:cs="Arial" w:eastAsia="Arial" w:hAnsi="Arial"/>
                <w:sz w:val="15"/>
                <w:szCs w:val="15"/>
                <w:color w:val="auto"/>
              </w:rPr>
              <w:t>6</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jc w:val="right"/>
              <w:ind w:right="3"/>
              <w:spacing w:after="0" w:line="162" w:lineRule="exact"/>
              <w:rPr>
                <w:sz w:val="20"/>
                <w:szCs w:val="20"/>
                <w:color w:val="auto"/>
              </w:rPr>
            </w:pPr>
            <w:r>
              <w:rPr>
                <w:rFonts w:ascii="Arial" w:cs="Arial" w:eastAsia="Arial" w:hAnsi="Arial"/>
                <w:sz w:val="15"/>
                <w:szCs w:val="15"/>
                <w:color w:val="auto"/>
                <w:w w:val="79"/>
              </w:rPr>
              <w:t>-</w:t>
            </w:r>
          </w:p>
        </w:tc>
        <w:tc>
          <w:tcPr>
            <w:tcW w:w="100" w:type="dxa"/>
            <w:vAlign w:val="bottom"/>
          </w:tcPr>
          <w:p>
            <w:pPr>
              <w:spacing w:after="0"/>
              <w:rPr>
                <w:sz w:val="14"/>
                <w:szCs w:val="14"/>
                <w:color w:val="auto"/>
              </w:rPr>
            </w:pPr>
          </w:p>
        </w:tc>
      </w:tr>
      <w:tr>
        <w:trPr>
          <w:trHeight w:val="162"/>
        </w:trPr>
        <w:tc>
          <w:tcPr>
            <w:tcW w:w="3300" w:type="dxa"/>
            <w:vAlign w:val="bottom"/>
          </w:tcPr>
          <w:p>
            <w:pPr>
              <w:ind w:left="180"/>
              <w:spacing w:after="0" w:line="162" w:lineRule="exact"/>
              <w:rPr>
                <w:sz w:val="20"/>
                <w:szCs w:val="20"/>
                <w:color w:val="auto"/>
              </w:rPr>
            </w:pPr>
            <w:r>
              <w:rPr>
                <w:rFonts w:ascii="Arial" w:cs="Arial" w:eastAsia="Arial" w:hAnsi="Arial"/>
                <w:sz w:val="15"/>
                <w:szCs w:val="15"/>
                <w:color w:val="auto"/>
              </w:rPr>
              <w:t>Variable rate demand notes</w:t>
            </w:r>
          </w:p>
        </w:tc>
        <w:tc>
          <w:tcPr>
            <w:tcW w:w="220" w:type="dxa"/>
            <w:vAlign w:val="bottom"/>
          </w:tcPr>
          <w:p>
            <w:pPr>
              <w:spacing w:after="0"/>
              <w:rPr>
                <w:sz w:val="14"/>
                <w:szCs w:val="14"/>
                <w:color w:val="auto"/>
              </w:rPr>
            </w:pPr>
          </w:p>
        </w:tc>
        <w:tc>
          <w:tcPr>
            <w:tcW w:w="1020" w:type="dxa"/>
            <w:vAlign w:val="bottom"/>
          </w:tcPr>
          <w:p>
            <w:pPr>
              <w:jc w:val="right"/>
              <w:ind w:right="3"/>
              <w:spacing w:after="0" w:line="162" w:lineRule="exact"/>
              <w:rPr>
                <w:sz w:val="20"/>
                <w:szCs w:val="20"/>
                <w:color w:val="auto"/>
              </w:rPr>
            </w:pPr>
            <w:r>
              <w:rPr>
                <w:rFonts w:ascii="Arial" w:cs="Arial" w:eastAsia="Arial" w:hAnsi="Arial"/>
                <w:sz w:val="15"/>
                <w:szCs w:val="15"/>
                <w:color w:val="auto"/>
              </w:rPr>
              <w:t>13,923</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
              <w:spacing w:after="0" w:line="162" w:lineRule="exact"/>
              <w:rPr>
                <w:sz w:val="20"/>
                <w:szCs w:val="20"/>
                <w:color w:val="auto"/>
              </w:rPr>
            </w:pPr>
            <w:r>
              <w:rPr>
                <w:rFonts w:ascii="Arial" w:cs="Arial" w:eastAsia="Arial" w:hAnsi="Arial"/>
                <w:sz w:val="15"/>
                <w:szCs w:val="15"/>
                <w:color w:val="auto"/>
              </w:rPr>
              <w:t>13,923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jc w:val="right"/>
              <w:ind w:right="3"/>
              <w:spacing w:after="0" w:line="162" w:lineRule="exact"/>
              <w:rPr>
                <w:sz w:val="20"/>
                <w:szCs w:val="20"/>
                <w:color w:val="auto"/>
              </w:rPr>
            </w:pPr>
            <w:r>
              <w:rPr>
                <w:rFonts w:ascii="Arial" w:cs="Arial" w:eastAsia="Arial" w:hAnsi="Arial"/>
                <w:sz w:val="15"/>
                <w:szCs w:val="15"/>
                <w:color w:val="auto"/>
                <w:w w:val="79"/>
              </w:rPr>
              <w:t>-</w:t>
            </w:r>
          </w:p>
        </w:tc>
        <w:tc>
          <w:tcPr>
            <w:tcW w:w="100" w:type="dxa"/>
            <w:vAlign w:val="bottom"/>
          </w:tcPr>
          <w:p>
            <w:pPr>
              <w:spacing w:after="0"/>
              <w:rPr>
                <w:sz w:val="14"/>
                <w:szCs w:val="14"/>
                <w:color w:val="auto"/>
              </w:rPr>
            </w:pPr>
          </w:p>
        </w:tc>
      </w:tr>
      <w:tr>
        <w:trPr>
          <w:trHeight w:val="162"/>
        </w:trPr>
        <w:tc>
          <w:tcPr>
            <w:tcW w:w="3300" w:type="dxa"/>
            <w:vAlign w:val="bottom"/>
          </w:tcPr>
          <w:p>
            <w:pPr>
              <w:spacing w:after="0" w:line="162" w:lineRule="exact"/>
              <w:rPr>
                <w:sz w:val="20"/>
                <w:szCs w:val="20"/>
                <w:color w:val="auto"/>
              </w:rPr>
            </w:pPr>
            <w:r>
              <w:rPr>
                <w:rFonts w:ascii="Arial" w:cs="Arial" w:eastAsia="Arial" w:hAnsi="Arial"/>
                <w:sz w:val="15"/>
                <w:szCs w:val="15"/>
                <w:color w:val="auto"/>
              </w:rPr>
              <w:t>Long-term:</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3300" w:type="dxa"/>
            <w:vAlign w:val="bottom"/>
          </w:tcPr>
          <w:p>
            <w:pPr>
              <w:ind w:left="180"/>
              <w:spacing w:after="0" w:line="162" w:lineRule="exact"/>
              <w:rPr>
                <w:sz w:val="20"/>
                <w:szCs w:val="20"/>
                <w:color w:val="auto"/>
              </w:rPr>
            </w:pPr>
            <w:r>
              <w:rPr>
                <w:rFonts w:ascii="Arial" w:cs="Arial" w:eastAsia="Arial" w:hAnsi="Arial"/>
                <w:sz w:val="15"/>
                <w:szCs w:val="15"/>
                <w:color w:val="auto"/>
              </w:rPr>
              <w:t>Municipal securities</w:t>
            </w: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2,403</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9</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2,394</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9</w:t>
            </w:r>
          </w:p>
        </w:tc>
        <w:tc>
          <w:tcPr>
            <w:tcW w:w="22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w w:val="79"/>
              </w:rPr>
              <w:t>-</w:t>
            </w:r>
          </w:p>
        </w:tc>
        <w:tc>
          <w:tcPr>
            <w:tcW w:w="100" w:type="dxa"/>
            <w:vAlign w:val="bottom"/>
          </w:tcPr>
          <w:p>
            <w:pPr>
              <w:spacing w:after="0"/>
              <w:rPr>
                <w:sz w:val="14"/>
                <w:szCs w:val="14"/>
                <w:color w:val="auto"/>
              </w:rPr>
            </w:pPr>
          </w:p>
        </w:tc>
      </w:tr>
      <w:tr>
        <w:trPr>
          <w:trHeight w:val="162"/>
        </w:trPr>
        <w:tc>
          <w:tcPr>
            <w:tcW w:w="3300" w:type="dxa"/>
            <w:vAlign w:val="bottom"/>
          </w:tcPr>
          <w:p>
            <w:pPr>
              <w:ind w:left="360"/>
              <w:spacing w:after="0" w:line="162" w:lineRule="exact"/>
              <w:rPr>
                <w:sz w:val="20"/>
                <w:szCs w:val="20"/>
                <w:color w:val="auto"/>
              </w:rPr>
            </w:pPr>
            <w:r>
              <w:rPr>
                <w:rFonts w:ascii="Arial" w:cs="Arial" w:eastAsia="Arial" w:hAnsi="Arial"/>
                <w:sz w:val="15"/>
                <w:szCs w:val="15"/>
                <w:color w:val="auto"/>
              </w:rPr>
              <w:t>Total</w:t>
            </w:r>
          </w:p>
        </w:tc>
        <w:tc>
          <w:tcPr>
            <w:tcW w:w="2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223,144</w:t>
            </w:r>
          </w:p>
        </w:tc>
        <w:tc>
          <w:tcPr>
            <w:tcW w:w="220" w:type="dxa"/>
            <w:vAlign w:val="bottom"/>
          </w:tcPr>
          <w:p>
            <w:pPr>
              <w:spacing w:after="0"/>
              <w:rPr>
                <w:sz w:val="14"/>
                <w:szCs w:val="14"/>
                <w:color w:val="auto"/>
              </w:rPr>
            </w:pPr>
          </w:p>
        </w:tc>
        <w:tc>
          <w:tcPr>
            <w:tcW w:w="2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2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196</w:t>
            </w:r>
          </w:p>
        </w:tc>
        <w:tc>
          <w:tcPr>
            <w:tcW w:w="240" w:type="dxa"/>
            <w:vAlign w:val="bottom"/>
          </w:tcPr>
          <w:p>
            <w:pPr>
              <w:spacing w:after="0"/>
              <w:rPr>
                <w:sz w:val="14"/>
                <w:szCs w:val="14"/>
                <w:color w:val="auto"/>
              </w:rPr>
            </w:pPr>
          </w:p>
        </w:tc>
        <w:tc>
          <w:tcPr>
            <w:tcW w:w="260" w:type="dxa"/>
            <w:vAlign w:val="bottom"/>
            <w:tcBorders>
              <w:bottom w:val="single" w:sz="8" w:color="auto"/>
            </w:tcBorders>
          </w:tcPr>
          <w:p>
            <w:pPr>
              <w:jc w:val="right"/>
              <w:ind w:right="23"/>
              <w:spacing w:after="0" w:line="162"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222,948</w:t>
            </w:r>
          </w:p>
        </w:tc>
        <w:tc>
          <w:tcPr>
            <w:tcW w:w="220" w:type="dxa"/>
            <w:vAlign w:val="bottom"/>
          </w:tcPr>
          <w:p>
            <w:pPr>
              <w:spacing w:after="0"/>
              <w:rPr>
                <w:sz w:val="14"/>
                <w:szCs w:val="14"/>
                <w:color w:val="auto"/>
              </w:rPr>
            </w:pPr>
          </w:p>
        </w:tc>
        <w:tc>
          <w:tcPr>
            <w:tcW w:w="1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196</w:t>
            </w:r>
          </w:p>
        </w:tc>
        <w:tc>
          <w:tcPr>
            <w:tcW w:w="220" w:type="dxa"/>
            <w:vAlign w:val="bottom"/>
          </w:tcPr>
          <w:p>
            <w:pPr>
              <w:spacing w:after="0"/>
              <w:rPr>
                <w:sz w:val="14"/>
                <w:szCs w:val="14"/>
                <w:color w:val="auto"/>
              </w:rPr>
            </w:pPr>
          </w:p>
        </w:tc>
        <w:tc>
          <w:tcPr>
            <w:tcW w:w="980" w:type="dxa"/>
            <w:vAlign w:val="bottom"/>
            <w:tcBorders>
              <w:bottom w:val="single" w:sz="8" w:color="auto"/>
            </w:tcBorders>
          </w:tcPr>
          <w:p>
            <w:pPr>
              <w:jc w:val="right"/>
              <w:ind w:right="763"/>
              <w:spacing w:after="0" w:line="162" w:lineRule="exact"/>
              <w:rPr>
                <w:sz w:val="20"/>
                <w:szCs w:val="20"/>
                <w:color w:val="auto"/>
              </w:rPr>
            </w:pPr>
            <w:r>
              <w:rPr>
                <w:rFonts w:ascii="Arial" w:cs="Arial" w:eastAsia="Arial" w:hAnsi="Arial"/>
                <w:sz w:val="15"/>
                <w:szCs w:val="15"/>
                <w:color w:val="auto"/>
              </w:rPr>
              <w:t>$</w:t>
            </w:r>
          </w:p>
        </w:tc>
        <w:tc>
          <w:tcPr>
            <w:tcW w:w="14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w w:val="79"/>
              </w:rPr>
              <w:t>-</w:t>
            </w:r>
          </w:p>
        </w:tc>
        <w:tc>
          <w:tcPr>
            <w:tcW w:w="100" w:type="dxa"/>
            <w:vAlign w:val="bottom"/>
          </w:tcPr>
          <w:p>
            <w:pPr>
              <w:spacing w:after="0"/>
              <w:rPr>
                <w:sz w:val="14"/>
                <w:szCs w:val="14"/>
                <w:color w:val="auto"/>
              </w:rPr>
            </w:pPr>
          </w:p>
        </w:tc>
      </w:tr>
      <w:tr>
        <w:trPr>
          <w:trHeight w:val="20"/>
        </w:trPr>
        <w:tc>
          <w:tcPr>
            <w:tcW w:w="3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During the three- and nine-months ended September 30, 2017 and 2016, realized gains or losses recognized on the sale of investments were not significant.</w:t>
      </w:r>
    </w:p>
    <w:p>
      <w:pPr>
        <w:spacing w:after="0" w:line="190"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The Company’s investments at September 30, 2017 and December 31, 2016 in commercial paper, certificates of deposit, municipal securities, U.S. Treasuries, U.S. government agency securities and/or variable rate demand notes (“VRDNs”) carried investment grade credit ratings. VRDNs are floating rate municipal bonds with embedded put options that allow the bondholder to sell the security at par plus accrued interest. All of the put options are secured by a pledged liquidity source. While they are classified as marketable investment securities, the put option allows the VRDNs to be liquidated at par on a same day, or more generally, on a seven-day settlement basis.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summarizes the underlying contractual maturities of the Company’s investments at:</w:t>
      </w:r>
    </w:p>
    <w:p>
      <w:pPr>
        <w:spacing w:after="0" w:line="224"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41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right"/>
              <w:ind w:right="685"/>
              <w:spacing w:after="0"/>
              <w:rPr>
                <w:sz w:val="20"/>
                <w:szCs w:val="20"/>
                <w:color w:val="auto"/>
              </w:rPr>
            </w:pPr>
            <w:r>
              <w:rPr>
                <w:rFonts w:ascii="Arial" w:cs="Arial" w:eastAsia="Arial" w:hAnsi="Arial"/>
                <w:sz w:val="19"/>
                <w:szCs w:val="19"/>
                <w:color w:val="auto"/>
              </w:rPr>
              <w:t>September 30, 2017</w:t>
            </w:r>
          </w:p>
        </w:tc>
        <w:tc>
          <w:tcPr>
            <w:tcW w:w="2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665"/>
              <w:spacing w:after="0"/>
              <w:rPr>
                <w:sz w:val="20"/>
                <w:szCs w:val="20"/>
                <w:color w:val="auto"/>
              </w:rPr>
            </w:pPr>
            <w:r>
              <w:rPr>
                <w:rFonts w:ascii="Arial" w:cs="Arial" w:eastAsia="Arial" w:hAnsi="Arial"/>
                <w:sz w:val="19"/>
                <w:szCs w:val="19"/>
                <w:color w:val="auto"/>
              </w:rPr>
              <w:t>December 31, 2016</w:t>
            </w:r>
          </w:p>
        </w:tc>
        <w:tc>
          <w:tcPr>
            <w:tcW w:w="0" w:type="dxa"/>
            <w:vAlign w:val="bottom"/>
          </w:tcPr>
          <w:p>
            <w:pPr>
              <w:spacing w:after="0"/>
              <w:rPr>
                <w:sz w:val="1"/>
                <w:szCs w:val="1"/>
                <w:color w:val="auto"/>
              </w:rPr>
            </w:pPr>
          </w:p>
        </w:tc>
      </w:tr>
      <w:tr>
        <w:trPr>
          <w:trHeight w:val="426"/>
        </w:trPr>
        <w:tc>
          <w:tcPr>
            <w:tcW w:w="4180" w:type="dxa"/>
            <w:vAlign w:val="bottom"/>
            <w:vMerge w:val="restart"/>
          </w:tcPr>
          <w:p>
            <w:pPr>
              <w:spacing w:after="0"/>
              <w:rPr>
                <w:sz w:val="20"/>
                <w:szCs w:val="20"/>
                <w:color w:val="auto"/>
              </w:rPr>
            </w:pPr>
            <w:r>
              <w:rPr>
                <w:rFonts w:ascii="Arial" w:cs="Arial" w:eastAsia="Arial" w:hAnsi="Arial"/>
                <w:sz w:val="19"/>
                <w:szCs w:val="19"/>
                <w:color w:val="auto"/>
              </w:rPr>
              <w:t>Less than 1 year:</w:t>
            </w:r>
          </w:p>
        </w:tc>
        <w:tc>
          <w:tcPr>
            <w:tcW w:w="1700" w:type="dxa"/>
            <w:vAlign w:val="bottom"/>
            <w:gridSpan w:val="3"/>
          </w:tcPr>
          <w:p>
            <w:pPr>
              <w:ind w:left="140"/>
              <w:spacing w:after="0"/>
              <w:rPr>
                <w:sz w:val="20"/>
                <w:szCs w:val="20"/>
                <w:color w:val="auto"/>
              </w:rPr>
            </w:pPr>
            <w:r>
              <w:rPr>
                <w:rFonts w:ascii="Arial" w:cs="Arial" w:eastAsia="Arial" w:hAnsi="Arial"/>
                <w:sz w:val="19"/>
                <w:szCs w:val="19"/>
                <w:color w:val="auto"/>
              </w:rPr>
              <w:t>Amortized Cost</w:t>
            </w:r>
          </w:p>
        </w:tc>
        <w:tc>
          <w:tcPr>
            <w:tcW w:w="240" w:type="dxa"/>
            <w:vAlign w:val="bottom"/>
          </w:tcPr>
          <w:p>
            <w:pPr>
              <w:spacing w:after="0"/>
              <w:rPr>
                <w:sz w:val="24"/>
                <w:szCs w:val="24"/>
                <w:color w:val="auto"/>
              </w:rPr>
            </w:pPr>
          </w:p>
        </w:tc>
        <w:tc>
          <w:tcPr>
            <w:tcW w:w="1360" w:type="dxa"/>
            <w:vAlign w:val="bottom"/>
            <w:gridSpan w:val="2"/>
          </w:tcPr>
          <w:p>
            <w:pPr>
              <w:ind w:left="60"/>
              <w:spacing w:after="0"/>
              <w:rPr>
                <w:sz w:val="20"/>
                <w:szCs w:val="20"/>
                <w:color w:val="auto"/>
              </w:rPr>
            </w:pPr>
            <w:r>
              <w:rPr>
                <w:rFonts w:ascii="Arial" w:cs="Arial" w:eastAsia="Arial" w:hAnsi="Arial"/>
                <w:sz w:val="19"/>
                <w:szCs w:val="19"/>
                <w:color w:val="auto"/>
              </w:rPr>
              <w:t>Fair Value</w:t>
            </w:r>
          </w:p>
        </w:tc>
        <w:tc>
          <w:tcPr>
            <w:tcW w:w="1680" w:type="dxa"/>
            <w:vAlign w:val="bottom"/>
            <w:gridSpan w:val="3"/>
          </w:tcPr>
          <w:p>
            <w:pPr>
              <w:ind w:left="140"/>
              <w:spacing w:after="0"/>
              <w:rPr>
                <w:sz w:val="20"/>
                <w:szCs w:val="20"/>
                <w:color w:val="auto"/>
              </w:rPr>
            </w:pPr>
            <w:r>
              <w:rPr>
                <w:rFonts w:ascii="Arial" w:cs="Arial" w:eastAsia="Arial" w:hAnsi="Arial"/>
                <w:sz w:val="19"/>
                <w:szCs w:val="19"/>
                <w:color w:val="auto"/>
              </w:rPr>
              <w:t>Amortized Cost</w:t>
            </w:r>
          </w:p>
        </w:tc>
        <w:tc>
          <w:tcPr>
            <w:tcW w:w="220" w:type="dxa"/>
            <w:vAlign w:val="bottom"/>
          </w:tcPr>
          <w:p>
            <w:pPr>
              <w:spacing w:after="0"/>
              <w:rPr>
                <w:sz w:val="24"/>
                <w:szCs w:val="24"/>
                <w:color w:val="auto"/>
              </w:rPr>
            </w:pPr>
          </w:p>
        </w:tc>
        <w:tc>
          <w:tcPr>
            <w:tcW w:w="1100" w:type="dxa"/>
            <w:vAlign w:val="bottom"/>
          </w:tcPr>
          <w:p>
            <w:pPr>
              <w:jc w:val="right"/>
              <w:ind w:right="165"/>
              <w:spacing w:after="0"/>
              <w:rPr>
                <w:sz w:val="20"/>
                <w:szCs w:val="20"/>
                <w:color w:val="auto"/>
              </w:rPr>
            </w:pPr>
            <w:r>
              <w:rPr>
                <w:rFonts w:ascii="Arial" w:cs="Arial" w:eastAsia="Arial" w:hAnsi="Arial"/>
                <w:sz w:val="19"/>
                <w:szCs w:val="19"/>
                <w:color w:val="auto"/>
                <w:w w:val="94"/>
              </w:rPr>
              <w:t>Fair Value</w:t>
            </w:r>
          </w:p>
        </w:tc>
        <w:tc>
          <w:tcPr>
            <w:tcW w:w="0" w:type="dxa"/>
            <w:vAlign w:val="bottom"/>
          </w:tcPr>
          <w:p>
            <w:pPr>
              <w:spacing w:after="0"/>
              <w:rPr>
                <w:sz w:val="1"/>
                <w:szCs w:val="1"/>
                <w:color w:val="auto"/>
              </w:rPr>
            </w:pPr>
          </w:p>
        </w:tc>
      </w:tr>
      <w:tr>
        <w:trPr>
          <w:trHeight w:val="174"/>
        </w:trPr>
        <w:tc>
          <w:tcPr>
            <w:tcW w:w="4180" w:type="dxa"/>
            <w:vAlign w:val="bottom"/>
            <w:vMerge w:val="continue"/>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360"/>
              <w:spacing w:after="0" w:line="216" w:lineRule="exact"/>
              <w:rPr>
                <w:sz w:val="20"/>
                <w:szCs w:val="20"/>
                <w:color w:val="auto"/>
              </w:rPr>
            </w:pPr>
            <w:r>
              <w:rPr>
                <w:rFonts w:ascii="Arial" w:cs="Arial" w:eastAsia="Arial" w:hAnsi="Arial"/>
                <w:sz w:val="19"/>
                <w:szCs w:val="19"/>
                <w:color w:val="auto"/>
              </w:rPr>
              <w:t>Commercial paper</w:t>
            </w:r>
          </w:p>
        </w:tc>
        <w:tc>
          <w:tcPr>
            <w:tcW w:w="480" w:type="dxa"/>
            <w:vAlign w:val="bottom"/>
          </w:tcPr>
          <w:p>
            <w:pPr>
              <w:jc w:val="right"/>
              <w:ind w:right="185"/>
              <w:spacing w:after="0" w:line="216" w:lineRule="exact"/>
              <w:rPr>
                <w:sz w:val="20"/>
                <w:szCs w:val="20"/>
                <w:color w:val="auto"/>
              </w:rPr>
            </w:pPr>
            <w:r>
              <w:rPr>
                <w:rFonts w:ascii="Arial" w:cs="Arial" w:eastAsia="Arial" w:hAnsi="Arial"/>
                <w:sz w:val="19"/>
                <w:szCs w:val="19"/>
                <w:color w:val="auto"/>
              </w:rPr>
              <w:t>$</w:t>
            </w:r>
          </w:p>
        </w:tc>
        <w:tc>
          <w:tcPr>
            <w:tcW w:w="1000" w:type="dxa"/>
            <w:vAlign w:val="bottom"/>
          </w:tcPr>
          <w:p>
            <w:pPr>
              <w:jc w:val="right"/>
              <w:spacing w:after="0" w:line="216" w:lineRule="exact"/>
              <w:rPr>
                <w:sz w:val="20"/>
                <w:szCs w:val="20"/>
                <w:color w:val="auto"/>
              </w:rPr>
            </w:pPr>
            <w:r>
              <w:rPr>
                <w:rFonts w:ascii="Arial" w:cs="Arial" w:eastAsia="Arial" w:hAnsi="Arial"/>
                <w:sz w:val="19"/>
                <w:szCs w:val="19"/>
                <w:color w:val="auto"/>
              </w:rPr>
              <w:t>66,344</w:t>
            </w:r>
          </w:p>
        </w:tc>
        <w:tc>
          <w:tcPr>
            <w:tcW w:w="220" w:type="dxa"/>
            <w:vAlign w:val="bottom"/>
          </w:tcPr>
          <w:p>
            <w:pPr>
              <w:spacing w:after="0"/>
              <w:rPr>
                <w:sz w:val="18"/>
                <w:szCs w:val="18"/>
                <w:color w:val="auto"/>
              </w:rPr>
            </w:pPr>
          </w:p>
        </w:tc>
        <w:tc>
          <w:tcPr>
            <w:tcW w:w="24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1140" w:type="dxa"/>
            <w:vAlign w:val="bottom"/>
          </w:tcPr>
          <w:p>
            <w:pPr>
              <w:jc w:val="right"/>
              <w:spacing w:after="0" w:line="216" w:lineRule="exact"/>
              <w:rPr>
                <w:sz w:val="20"/>
                <w:szCs w:val="20"/>
                <w:color w:val="auto"/>
              </w:rPr>
            </w:pPr>
            <w:r>
              <w:rPr>
                <w:rFonts w:ascii="Arial" w:cs="Arial" w:eastAsia="Arial" w:hAnsi="Arial"/>
                <w:sz w:val="19"/>
                <w:szCs w:val="19"/>
                <w:color w:val="auto"/>
              </w:rPr>
              <w:t>66,344</w:t>
            </w:r>
          </w:p>
        </w:tc>
        <w:tc>
          <w:tcPr>
            <w:tcW w:w="220" w:type="dxa"/>
            <w:vAlign w:val="bottom"/>
          </w:tcPr>
          <w:p>
            <w:pPr>
              <w:spacing w:after="0"/>
              <w:rPr>
                <w:sz w:val="18"/>
                <w:szCs w:val="18"/>
                <w:color w:val="auto"/>
              </w:rPr>
            </w:pPr>
          </w:p>
        </w:tc>
        <w:tc>
          <w:tcPr>
            <w:tcW w:w="480" w:type="dxa"/>
            <w:vAlign w:val="bottom"/>
          </w:tcPr>
          <w:p>
            <w:pPr>
              <w:jc w:val="right"/>
              <w:ind w:right="205"/>
              <w:spacing w:after="0" w:line="216" w:lineRule="exact"/>
              <w:rPr>
                <w:sz w:val="20"/>
                <w:szCs w:val="20"/>
                <w:color w:val="auto"/>
              </w:rPr>
            </w:pPr>
            <w:r>
              <w:rPr>
                <w:rFonts w:ascii="Arial" w:cs="Arial" w:eastAsia="Arial" w:hAnsi="Arial"/>
                <w:sz w:val="19"/>
                <w:szCs w:val="19"/>
                <w:color w:val="auto"/>
              </w:rPr>
              <w:t>$</w:t>
            </w:r>
          </w:p>
        </w:tc>
        <w:tc>
          <w:tcPr>
            <w:tcW w:w="1000" w:type="dxa"/>
            <w:vAlign w:val="bottom"/>
          </w:tcPr>
          <w:p>
            <w:pPr>
              <w:jc w:val="right"/>
              <w:spacing w:after="0" w:line="216" w:lineRule="exact"/>
              <w:rPr>
                <w:sz w:val="20"/>
                <w:szCs w:val="20"/>
                <w:color w:val="auto"/>
              </w:rPr>
            </w:pPr>
            <w:r>
              <w:rPr>
                <w:rFonts w:ascii="Arial" w:cs="Arial" w:eastAsia="Arial" w:hAnsi="Arial"/>
                <w:sz w:val="19"/>
                <w:szCs w:val="19"/>
                <w:color w:val="auto"/>
              </w:rPr>
              <w:t>40,382</w:t>
            </w:r>
          </w:p>
        </w:tc>
        <w:tc>
          <w:tcPr>
            <w:tcW w:w="200" w:type="dxa"/>
            <w:vAlign w:val="bottom"/>
          </w:tcPr>
          <w:p>
            <w:pPr>
              <w:spacing w:after="0"/>
              <w:rPr>
                <w:sz w:val="18"/>
                <w:szCs w:val="18"/>
                <w:color w:val="auto"/>
              </w:rPr>
            </w:pPr>
          </w:p>
        </w:tc>
        <w:tc>
          <w:tcPr>
            <w:tcW w:w="22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1100" w:type="dxa"/>
            <w:vAlign w:val="bottom"/>
          </w:tcPr>
          <w:p>
            <w:pPr>
              <w:jc w:val="right"/>
              <w:spacing w:after="0" w:line="216" w:lineRule="exact"/>
              <w:rPr>
                <w:sz w:val="20"/>
                <w:szCs w:val="20"/>
                <w:color w:val="auto"/>
              </w:rPr>
            </w:pPr>
            <w:r>
              <w:rPr>
                <w:rFonts w:ascii="Arial" w:cs="Arial" w:eastAsia="Arial" w:hAnsi="Arial"/>
                <w:sz w:val="19"/>
                <w:szCs w:val="19"/>
                <w:color w:val="auto"/>
              </w:rPr>
              <w:t>40,382</w:t>
            </w:r>
          </w:p>
        </w:tc>
        <w:tc>
          <w:tcPr>
            <w:tcW w:w="0" w:type="dxa"/>
            <w:vAlign w:val="bottom"/>
          </w:tcPr>
          <w:p>
            <w:pPr>
              <w:spacing w:after="0"/>
              <w:rPr>
                <w:sz w:val="1"/>
                <w:szCs w:val="1"/>
                <w:color w:val="auto"/>
              </w:rPr>
            </w:pPr>
          </w:p>
        </w:tc>
      </w:tr>
      <w:tr>
        <w:trPr>
          <w:trHeight w:val="216"/>
        </w:trPr>
        <w:tc>
          <w:tcPr>
            <w:tcW w:w="4180" w:type="dxa"/>
            <w:vAlign w:val="bottom"/>
          </w:tcPr>
          <w:p>
            <w:pPr>
              <w:ind w:left="360"/>
              <w:spacing w:after="0" w:line="216" w:lineRule="exact"/>
              <w:rPr>
                <w:sz w:val="20"/>
                <w:szCs w:val="20"/>
                <w:color w:val="auto"/>
              </w:rPr>
            </w:pPr>
            <w:r>
              <w:rPr>
                <w:rFonts w:ascii="Arial" w:cs="Arial" w:eastAsia="Arial" w:hAnsi="Arial"/>
                <w:sz w:val="19"/>
                <w:szCs w:val="19"/>
                <w:color w:val="auto"/>
              </w:rPr>
              <w:t>Certificates of deposit</w:t>
            </w:r>
          </w:p>
        </w:tc>
        <w:tc>
          <w:tcPr>
            <w:tcW w:w="48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Arial" w:cs="Arial" w:eastAsia="Arial" w:hAnsi="Arial"/>
                <w:sz w:val="19"/>
                <w:szCs w:val="19"/>
                <w:color w:val="auto"/>
              </w:rPr>
              <w:t>50,677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Arial" w:cs="Arial" w:eastAsia="Arial" w:hAnsi="Arial"/>
                <w:sz w:val="19"/>
                <w:szCs w:val="19"/>
                <w:color w:val="auto"/>
              </w:rPr>
              <w:t>50,677</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4180" w:type="dxa"/>
            <w:vAlign w:val="bottom"/>
          </w:tcPr>
          <w:p>
            <w:pPr>
              <w:ind w:left="360"/>
              <w:spacing w:after="0" w:line="216" w:lineRule="exact"/>
              <w:rPr>
                <w:sz w:val="20"/>
                <w:szCs w:val="20"/>
                <w:color w:val="auto"/>
              </w:rPr>
            </w:pPr>
            <w:r>
              <w:rPr>
                <w:rFonts w:ascii="Arial" w:cs="Arial" w:eastAsia="Arial" w:hAnsi="Arial"/>
                <w:sz w:val="19"/>
                <w:szCs w:val="19"/>
                <w:color w:val="auto"/>
              </w:rPr>
              <w:t>Municipal securities</w:t>
            </w:r>
          </w:p>
        </w:tc>
        <w:tc>
          <w:tcPr>
            <w:tcW w:w="48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Arial" w:cs="Arial" w:eastAsia="Arial" w:hAnsi="Arial"/>
                <w:sz w:val="19"/>
                <w:szCs w:val="19"/>
                <w:color w:val="auto"/>
              </w:rPr>
              <w:t>402,062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Arial" w:cs="Arial" w:eastAsia="Arial" w:hAnsi="Arial"/>
                <w:sz w:val="19"/>
                <w:szCs w:val="19"/>
                <w:color w:val="auto"/>
              </w:rPr>
              <w:t>401,977</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Arial" w:cs="Arial" w:eastAsia="Arial" w:hAnsi="Arial"/>
                <w:sz w:val="19"/>
                <w:szCs w:val="19"/>
                <w:color w:val="auto"/>
              </w:rPr>
              <w:t>140,379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line="216" w:lineRule="exact"/>
              <w:rPr>
                <w:sz w:val="20"/>
                <w:szCs w:val="20"/>
                <w:color w:val="auto"/>
              </w:rPr>
            </w:pPr>
            <w:r>
              <w:rPr>
                <w:rFonts w:ascii="Arial" w:cs="Arial" w:eastAsia="Arial" w:hAnsi="Arial"/>
                <w:sz w:val="19"/>
                <w:szCs w:val="19"/>
                <w:color w:val="auto"/>
              </w:rPr>
              <w:t>140,198</w:t>
            </w:r>
          </w:p>
        </w:tc>
        <w:tc>
          <w:tcPr>
            <w:tcW w:w="0" w:type="dxa"/>
            <w:vAlign w:val="bottom"/>
          </w:tcPr>
          <w:p>
            <w:pPr>
              <w:spacing w:after="0"/>
              <w:rPr>
                <w:sz w:val="1"/>
                <w:szCs w:val="1"/>
                <w:color w:val="auto"/>
              </w:rPr>
            </w:pPr>
          </w:p>
        </w:tc>
      </w:tr>
      <w:tr>
        <w:trPr>
          <w:trHeight w:val="216"/>
        </w:trPr>
        <w:tc>
          <w:tcPr>
            <w:tcW w:w="4180" w:type="dxa"/>
            <w:vAlign w:val="bottom"/>
          </w:tcPr>
          <w:p>
            <w:pPr>
              <w:ind w:left="360"/>
              <w:spacing w:after="0" w:line="216" w:lineRule="exact"/>
              <w:rPr>
                <w:sz w:val="20"/>
                <w:szCs w:val="20"/>
                <w:color w:val="auto"/>
              </w:rPr>
            </w:pPr>
            <w:r>
              <w:rPr>
                <w:rFonts w:ascii="Arial" w:cs="Arial" w:eastAsia="Arial" w:hAnsi="Arial"/>
                <w:sz w:val="19"/>
                <w:szCs w:val="19"/>
                <w:color w:val="auto"/>
              </w:rPr>
              <w:t>U. S. Treasuries</w:t>
            </w:r>
          </w:p>
        </w:tc>
        <w:tc>
          <w:tcPr>
            <w:tcW w:w="48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Arial" w:cs="Arial" w:eastAsia="Arial" w:hAnsi="Arial"/>
                <w:sz w:val="19"/>
                <w:szCs w:val="19"/>
                <w:color w:val="auto"/>
              </w:rPr>
              <w:t>11,982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Arial" w:cs="Arial" w:eastAsia="Arial" w:hAnsi="Arial"/>
                <w:sz w:val="19"/>
                <w:szCs w:val="19"/>
                <w:color w:val="auto"/>
              </w:rPr>
              <w:t>11,981</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4180" w:type="dxa"/>
            <w:vAlign w:val="bottom"/>
          </w:tcPr>
          <w:p>
            <w:pPr>
              <w:ind w:left="360"/>
              <w:spacing w:after="0" w:line="216" w:lineRule="exact"/>
              <w:rPr>
                <w:sz w:val="20"/>
                <w:szCs w:val="20"/>
                <w:color w:val="auto"/>
              </w:rPr>
            </w:pPr>
            <w:r>
              <w:rPr>
                <w:rFonts w:ascii="Arial" w:cs="Arial" w:eastAsia="Arial" w:hAnsi="Arial"/>
                <w:sz w:val="19"/>
                <w:szCs w:val="19"/>
                <w:color w:val="auto"/>
              </w:rPr>
              <w:t>U.S. government agency securities</w:t>
            </w:r>
          </w:p>
        </w:tc>
        <w:tc>
          <w:tcPr>
            <w:tcW w:w="48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Arial" w:cs="Arial" w:eastAsia="Arial" w:hAnsi="Arial"/>
                <w:sz w:val="19"/>
                <w:szCs w:val="19"/>
                <w:color w:val="auto"/>
              </w:rPr>
              <w:t>53,342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Arial" w:cs="Arial" w:eastAsia="Arial" w:hAnsi="Arial"/>
                <w:sz w:val="19"/>
                <w:szCs w:val="19"/>
                <w:color w:val="auto"/>
              </w:rPr>
              <w:t>53,315</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Arial" w:cs="Arial" w:eastAsia="Arial" w:hAnsi="Arial"/>
                <w:sz w:val="19"/>
                <w:szCs w:val="19"/>
                <w:color w:val="auto"/>
              </w:rPr>
              <w:t>26,057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line="216" w:lineRule="exact"/>
              <w:rPr>
                <w:sz w:val="20"/>
                <w:szCs w:val="20"/>
                <w:color w:val="auto"/>
              </w:rPr>
            </w:pPr>
            <w:r>
              <w:rPr>
                <w:rFonts w:ascii="Arial" w:cs="Arial" w:eastAsia="Arial" w:hAnsi="Arial"/>
                <w:sz w:val="19"/>
                <w:szCs w:val="19"/>
                <w:color w:val="auto"/>
              </w:rPr>
              <w:t>26,051</w:t>
            </w:r>
          </w:p>
        </w:tc>
        <w:tc>
          <w:tcPr>
            <w:tcW w:w="0" w:type="dxa"/>
            <w:vAlign w:val="bottom"/>
          </w:tcPr>
          <w:p>
            <w:pPr>
              <w:spacing w:after="0"/>
              <w:rPr>
                <w:sz w:val="1"/>
                <w:szCs w:val="1"/>
                <w:color w:val="auto"/>
              </w:rPr>
            </w:pPr>
          </w:p>
        </w:tc>
      </w:tr>
      <w:tr>
        <w:trPr>
          <w:trHeight w:val="216"/>
        </w:trPr>
        <w:tc>
          <w:tcPr>
            <w:tcW w:w="4180" w:type="dxa"/>
            <w:vAlign w:val="bottom"/>
          </w:tcPr>
          <w:p>
            <w:pPr>
              <w:spacing w:after="0" w:line="216" w:lineRule="exact"/>
              <w:rPr>
                <w:sz w:val="20"/>
                <w:szCs w:val="20"/>
                <w:color w:val="auto"/>
              </w:rPr>
            </w:pPr>
            <w:r>
              <w:rPr>
                <w:rFonts w:ascii="Arial" w:cs="Arial" w:eastAsia="Arial" w:hAnsi="Arial"/>
                <w:sz w:val="19"/>
                <w:szCs w:val="19"/>
                <w:color w:val="auto"/>
              </w:rPr>
              <w:t>Due 1 -10 years:</w:t>
            </w: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360"/>
              <w:spacing w:after="0" w:line="216" w:lineRule="exact"/>
              <w:rPr>
                <w:sz w:val="20"/>
                <w:szCs w:val="20"/>
                <w:color w:val="auto"/>
              </w:rPr>
            </w:pPr>
            <w:r>
              <w:rPr>
                <w:rFonts w:ascii="Arial" w:cs="Arial" w:eastAsia="Arial" w:hAnsi="Arial"/>
                <w:sz w:val="19"/>
                <w:szCs w:val="19"/>
                <w:color w:val="auto"/>
              </w:rPr>
              <w:t>Municipal securities</w:t>
            </w:r>
          </w:p>
        </w:tc>
        <w:tc>
          <w:tcPr>
            <w:tcW w:w="48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Arial" w:cs="Arial" w:eastAsia="Arial" w:hAnsi="Arial"/>
                <w:sz w:val="19"/>
                <w:szCs w:val="19"/>
                <w:color w:val="auto"/>
              </w:rPr>
              <w:t>2,010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Arial" w:cs="Arial" w:eastAsia="Arial" w:hAnsi="Arial"/>
                <w:sz w:val="19"/>
                <w:szCs w:val="19"/>
                <w:color w:val="auto"/>
              </w:rPr>
              <w:t>2,007</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Arial" w:cs="Arial" w:eastAsia="Arial" w:hAnsi="Arial"/>
                <w:sz w:val="19"/>
                <w:szCs w:val="19"/>
                <w:color w:val="auto"/>
              </w:rPr>
              <w:t>2,403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line="216" w:lineRule="exact"/>
              <w:rPr>
                <w:sz w:val="20"/>
                <w:szCs w:val="20"/>
                <w:color w:val="auto"/>
              </w:rPr>
            </w:pPr>
            <w:r>
              <w:rPr>
                <w:rFonts w:ascii="Arial" w:cs="Arial" w:eastAsia="Arial" w:hAnsi="Arial"/>
                <w:sz w:val="19"/>
                <w:szCs w:val="19"/>
                <w:color w:val="auto"/>
              </w:rPr>
              <w:t>2,394</w:t>
            </w:r>
          </w:p>
        </w:tc>
        <w:tc>
          <w:tcPr>
            <w:tcW w:w="0" w:type="dxa"/>
            <w:vAlign w:val="bottom"/>
          </w:tcPr>
          <w:p>
            <w:pPr>
              <w:spacing w:after="0"/>
              <w:rPr>
                <w:sz w:val="1"/>
                <w:szCs w:val="1"/>
                <w:color w:val="auto"/>
              </w:rPr>
            </w:pPr>
          </w:p>
        </w:tc>
      </w:tr>
      <w:tr>
        <w:trPr>
          <w:trHeight w:val="216"/>
        </w:trPr>
        <w:tc>
          <w:tcPr>
            <w:tcW w:w="4180" w:type="dxa"/>
            <w:vAlign w:val="bottom"/>
          </w:tcPr>
          <w:p>
            <w:pPr>
              <w:ind w:left="360"/>
              <w:spacing w:after="0" w:line="216" w:lineRule="exact"/>
              <w:rPr>
                <w:sz w:val="20"/>
                <w:szCs w:val="20"/>
                <w:color w:val="auto"/>
              </w:rPr>
            </w:pPr>
            <w:r>
              <w:rPr>
                <w:rFonts w:ascii="Arial" w:cs="Arial" w:eastAsia="Arial" w:hAnsi="Arial"/>
                <w:sz w:val="19"/>
                <w:szCs w:val="19"/>
                <w:color w:val="auto"/>
              </w:rPr>
              <w:t>U.S. government agency securities</w:t>
            </w:r>
          </w:p>
        </w:tc>
        <w:tc>
          <w:tcPr>
            <w:tcW w:w="48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Arial" w:cs="Arial" w:eastAsia="Arial" w:hAnsi="Arial"/>
                <w:sz w:val="19"/>
                <w:szCs w:val="19"/>
                <w:color w:val="auto"/>
              </w:rPr>
              <w:t>5,001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Arial" w:cs="Arial" w:eastAsia="Arial" w:hAnsi="Arial"/>
                <w:sz w:val="19"/>
                <w:szCs w:val="19"/>
                <w:color w:val="auto"/>
              </w:rPr>
              <w:t>4,996</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4180" w:type="dxa"/>
            <w:vAlign w:val="bottom"/>
          </w:tcPr>
          <w:p>
            <w:pPr>
              <w:ind w:left="360"/>
              <w:spacing w:after="0" w:line="216" w:lineRule="exact"/>
              <w:rPr>
                <w:sz w:val="20"/>
                <w:szCs w:val="20"/>
                <w:color w:val="auto"/>
              </w:rPr>
            </w:pPr>
            <w:r>
              <w:rPr>
                <w:rFonts w:ascii="Arial" w:cs="Arial" w:eastAsia="Arial" w:hAnsi="Arial"/>
                <w:sz w:val="19"/>
                <w:szCs w:val="19"/>
                <w:color w:val="auto"/>
              </w:rPr>
              <w:t>Variable rate demand notes</w:t>
            </w:r>
          </w:p>
        </w:tc>
        <w:tc>
          <w:tcPr>
            <w:tcW w:w="48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Arial" w:cs="Arial" w:eastAsia="Arial" w:hAnsi="Arial"/>
                <w:sz w:val="19"/>
                <w:szCs w:val="19"/>
                <w:color w:val="auto"/>
              </w:rPr>
              <w:t>6,664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Arial" w:cs="Arial" w:eastAsia="Arial" w:hAnsi="Arial"/>
                <w:sz w:val="19"/>
                <w:szCs w:val="19"/>
                <w:color w:val="auto"/>
              </w:rPr>
              <w:t>6,664</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Arial" w:cs="Arial" w:eastAsia="Arial" w:hAnsi="Arial"/>
                <w:sz w:val="19"/>
                <w:szCs w:val="19"/>
                <w:color w:val="auto"/>
              </w:rPr>
              <w:t>3,917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line="216" w:lineRule="exact"/>
              <w:rPr>
                <w:sz w:val="20"/>
                <w:szCs w:val="20"/>
                <w:color w:val="auto"/>
              </w:rPr>
            </w:pPr>
            <w:r>
              <w:rPr>
                <w:rFonts w:ascii="Arial" w:cs="Arial" w:eastAsia="Arial" w:hAnsi="Arial"/>
                <w:sz w:val="19"/>
                <w:szCs w:val="19"/>
                <w:color w:val="auto"/>
              </w:rPr>
              <w:t>3,917</w:t>
            </w:r>
          </w:p>
        </w:tc>
        <w:tc>
          <w:tcPr>
            <w:tcW w:w="0" w:type="dxa"/>
            <w:vAlign w:val="bottom"/>
          </w:tcPr>
          <w:p>
            <w:pPr>
              <w:spacing w:after="0"/>
              <w:rPr>
                <w:sz w:val="1"/>
                <w:szCs w:val="1"/>
                <w:color w:val="auto"/>
              </w:rPr>
            </w:pPr>
          </w:p>
        </w:tc>
      </w:tr>
      <w:tr>
        <w:trPr>
          <w:trHeight w:val="216"/>
        </w:trPr>
        <w:tc>
          <w:tcPr>
            <w:tcW w:w="4180" w:type="dxa"/>
            <w:vAlign w:val="bottom"/>
          </w:tcPr>
          <w:p>
            <w:pPr>
              <w:spacing w:after="0" w:line="216" w:lineRule="exact"/>
              <w:rPr>
                <w:sz w:val="20"/>
                <w:szCs w:val="20"/>
                <w:color w:val="auto"/>
              </w:rPr>
            </w:pPr>
            <w:r>
              <w:rPr>
                <w:rFonts w:ascii="Arial" w:cs="Arial" w:eastAsia="Arial" w:hAnsi="Arial"/>
                <w:sz w:val="19"/>
                <w:szCs w:val="19"/>
                <w:color w:val="auto"/>
              </w:rPr>
              <w:t>Due 11 - 20 years:</w:t>
            </w: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360"/>
              <w:spacing w:after="0" w:line="216" w:lineRule="exact"/>
              <w:rPr>
                <w:sz w:val="20"/>
                <w:szCs w:val="20"/>
                <w:color w:val="auto"/>
              </w:rPr>
            </w:pPr>
            <w:r>
              <w:rPr>
                <w:rFonts w:ascii="Arial" w:cs="Arial" w:eastAsia="Arial" w:hAnsi="Arial"/>
                <w:sz w:val="19"/>
                <w:szCs w:val="19"/>
                <w:color w:val="auto"/>
              </w:rPr>
              <w:t>Variable rate demand notes</w:t>
            </w:r>
          </w:p>
        </w:tc>
        <w:tc>
          <w:tcPr>
            <w:tcW w:w="48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Arial" w:cs="Arial" w:eastAsia="Arial" w:hAnsi="Arial"/>
                <w:sz w:val="19"/>
                <w:szCs w:val="19"/>
                <w:color w:val="auto"/>
              </w:rPr>
              <w:t>26,016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Arial" w:cs="Arial" w:eastAsia="Arial" w:hAnsi="Arial"/>
                <w:sz w:val="19"/>
                <w:szCs w:val="19"/>
                <w:color w:val="auto"/>
              </w:rPr>
              <w:t>26,016</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Arial" w:cs="Arial" w:eastAsia="Arial" w:hAnsi="Arial"/>
                <w:sz w:val="19"/>
                <w:szCs w:val="19"/>
                <w:color w:val="auto"/>
              </w:rPr>
              <w:t>6,003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line="216" w:lineRule="exact"/>
              <w:rPr>
                <w:sz w:val="20"/>
                <w:szCs w:val="20"/>
                <w:color w:val="auto"/>
              </w:rPr>
            </w:pPr>
            <w:r>
              <w:rPr>
                <w:rFonts w:ascii="Arial" w:cs="Arial" w:eastAsia="Arial" w:hAnsi="Arial"/>
                <w:sz w:val="19"/>
                <w:szCs w:val="19"/>
                <w:color w:val="auto"/>
              </w:rPr>
              <w:t>6,003</w:t>
            </w:r>
          </w:p>
        </w:tc>
        <w:tc>
          <w:tcPr>
            <w:tcW w:w="0" w:type="dxa"/>
            <w:vAlign w:val="bottom"/>
          </w:tcPr>
          <w:p>
            <w:pPr>
              <w:spacing w:after="0"/>
              <w:rPr>
                <w:sz w:val="1"/>
                <w:szCs w:val="1"/>
                <w:color w:val="auto"/>
              </w:rPr>
            </w:pPr>
          </w:p>
        </w:tc>
      </w:tr>
      <w:tr>
        <w:trPr>
          <w:trHeight w:val="216"/>
        </w:trPr>
        <w:tc>
          <w:tcPr>
            <w:tcW w:w="4180" w:type="dxa"/>
            <w:vAlign w:val="bottom"/>
          </w:tcPr>
          <w:p>
            <w:pPr>
              <w:spacing w:after="0" w:line="216" w:lineRule="exact"/>
              <w:rPr>
                <w:sz w:val="20"/>
                <w:szCs w:val="20"/>
                <w:color w:val="auto"/>
              </w:rPr>
            </w:pPr>
            <w:r>
              <w:rPr>
                <w:rFonts w:ascii="Arial" w:cs="Arial" w:eastAsia="Arial" w:hAnsi="Arial"/>
                <w:sz w:val="19"/>
                <w:szCs w:val="19"/>
                <w:color w:val="auto"/>
              </w:rPr>
              <w:t>Due 21 - 30 years:</w:t>
            </w: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360"/>
              <w:spacing w:after="0" w:line="216" w:lineRule="exact"/>
              <w:rPr>
                <w:sz w:val="20"/>
                <w:szCs w:val="20"/>
                <w:color w:val="auto"/>
              </w:rPr>
            </w:pPr>
            <w:r>
              <w:rPr>
                <w:rFonts w:ascii="Arial" w:cs="Arial" w:eastAsia="Arial" w:hAnsi="Arial"/>
                <w:sz w:val="19"/>
                <w:szCs w:val="19"/>
                <w:color w:val="auto"/>
              </w:rPr>
              <w:t>Variable rate demand notes</w:t>
            </w:r>
          </w:p>
        </w:tc>
        <w:tc>
          <w:tcPr>
            <w:tcW w:w="48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Arial" w:cs="Arial" w:eastAsia="Arial" w:hAnsi="Arial"/>
                <w:sz w:val="19"/>
                <w:szCs w:val="19"/>
                <w:color w:val="auto"/>
              </w:rPr>
              <w:t>13,374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Arial" w:cs="Arial" w:eastAsia="Arial" w:hAnsi="Arial"/>
                <w:sz w:val="19"/>
                <w:szCs w:val="19"/>
                <w:color w:val="auto"/>
              </w:rPr>
              <w:t>13,374</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Arial" w:cs="Arial" w:eastAsia="Arial" w:hAnsi="Arial"/>
                <w:sz w:val="19"/>
                <w:szCs w:val="19"/>
                <w:color w:val="auto"/>
              </w:rPr>
              <w:t>4,003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line="216" w:lineRule="exact"/>
              <w:rPr>
                <w:sz w:val="20"/>
                <w:szCs w:val="20"/>
                <w:color w:val="auto"/>
              </w:rPr>
            </w:pPr>
            <w:r>
              <w:rPr>
                <w:rFonts w:ascii="Arial" w:cs="Arial" w:eastAsia="Arial" w:hAnsi="Arial"/>
                <w:sz w:val="19"/>
                <w:szCs w:val="19"/>
                <w:color w:val="auto"/>
              </w:rPr>
              <w:t>4,003</w:t>
            </w:r>
          </w:p>
        </w:tc>
        <w:tc>
          <w:tcPr>
            <w:tcW w:w="0" w:type="dxa"/>
            <w:vAlign w:val="bottom"/>
          </w:tcPr>
          <w:p>
            <w:pPr>
              <w:spacing w:after="0"/>
              <w:rPr>
                <w:sz w:val="1"/>
                <w:szCs w:val="1"/>
                <w:color w:val="auto"/>
              </w:rPr>
            </w:pPr>
          </w:p>
        </w:tc>
      </w:tr>
      <w:tr>
        <w:trPr>
          <w:trHeight w:val="22"/>
        </w:trPr>
        <w:tc>
          <w:tcPr>
            <w:tcW w:w="4180" w:type="dxa"/>
            <w:vAlign w:val="bottom"/>
            <w:vMerge w:val="restart"/>
          </w:tcPr>
          <w:p>
            <w:pPr>
              <w:ind w:left="180"/>
              <w:spacing w:after="0"/>
              <w:rPr>
                <w:sz w:val="20"/>
                <w:szCs w:val="20"/>
                <w:color w:val="auto"/>
              </w:rPr>
            </w:pPr>
            <w:r>
              <w:rPr>
                <w:rFonts w:ascii="Arial" w:cs="Arial" w:eastAsia="Arial" w:hAnsi="Arial"/>
                <w:sz w:val="19"/>
                <w:szCs w:val="19"/>
                <w:color w:val="auto"/>
              </w:rPr>
              <w:t>Total</w:t>
            </w: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180" w:type="dxa"/>
            <w:vAlign w:val="bottom"/>
            <w:vMerge w:val="continue"/>
          </w:tcPr>
          <w:p>
            <w:pPr>
              <w:spacing w:after="0"/>
              <w:rPr>
                <w:sz w:val="18"/>
                <w:szCs w:val="18"/>
                <w:color w:val="auto"/>
              </w:rPr>
            </w:pPr>
          </w:p>
        </w:tc>
        <w:tc>
          <w:tcPr>
            <w:tcW w:w="480" w:type="dxa"/>
            <w:vAlign w:val="bottom"/>
            <w:tcBorders>
              <w:bottom w:val="single" w:sz="8" w:color="auto"/>
            </w:tcBorders>
          </w:tcPr>
          <w:p>
            <w:pPr>
              <w:jc w:val="right"/>
              <w:ind w:right="185"/>
              <w:spacing w:after="0" w:line="210" w:lineRule="exact"/>
              <w:rPr>
                <w:sz w:val="20"/>
                <w:szCs w:val="20"/>
                <w:color w:val="auto"/>
              </w:rPr>
            </w:pPr>
            <w:r>
              <w:rPr>
                <w:rFonts w:ascii="Arial" w:cs="Arial" w:eastAsia="Arial" w:hAnsi="Arial"/>
                <w:sz w:val="19"/>
                <w:szCs w:val="19"/>
                <w:color w:val="auto"/>
              </w:rPr>
              <w:t>$</w:t>
            </w:r>
          </w:p>
        </w:tc>
        <w:tc>
          <w:tcPr>
            <w:tcW w:w="100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637,472</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w:t>
            </w:r>
          </w:p>
        </w:tc>
        <w:tc>
          <w:tcPr>
            <w:tcW w:w="114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637,351</w:t>
            </w:r>
          </w:p>
        </w:tc>
        <w:tc>
          <w:tcPr>
            <w:tcW w:w="220" w:type="dxa"/>
            <w:vAlign w:val="bottom"/>
          </w:tcPr>
          <w:p>
            <w:pPr>
              <w:spacing w:after="0"/>
              <w:rPr>
                <w:sz w:val="18"/>
                <w:szCs w:val="18"/>
                <w:color w:val="auto"/>
              </w:rPr>
            </w:pPr>
          </w:p>
        </w:tc>
        <w:tc>
          <w:tcPr>
            <w:tcW w:w="480" w:type="dxa"/>
            <w:vAlign w:val="bottom"/>
            <w:tcBorders>
              <w:bottom w:val="single" w:sz="8" w:color="auto"/>
            </w:tcBorders>
          </w:tcPr>
          <w:p>
            <w:pPr>
              <w:jc w:val="right"/>
              <w:ind w:right="205"/>
              <w:spacing w:after="0" w:line="210" w:lineRule="exact"/>
              <w:rPr>
                <w:sz w:val="20"/>
                <w:szCs w:val="20"/>
                <w:color w:val="auto"/>
              </w:rPr>
            </w:pPr>
            <w:r>
              <w:rPr>
                <w:rFonts w:ascii="Arial" w:cs="Arial" w:eastAsia="Arial" w:hAnsi="Arial"/>
                <w:sz w:val="19"/>
                <w:szCs w:val="19"/>
                <w:color w:val="auto"/>
              </w:rPr>
              <w:t>$</w:t>
            </w:r>
          </w:p>
        </w:tc>
        <w:tc>
          <w:tcPr>
            <w:tcW w:w="100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223,144</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w:t>
            </w:r>
          </w:p>
        </w:tc>
        <w:tc>
          <w:tcPr>
            <w:tcW w:w="110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222,948</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346" w:right="239" w:bottom="0" w:gutter="0" w:footer="0" w:header="0"/>
        </w:sectPr>
      </w:pPr>
    </w:p>
    <w:bookmarkStart w:id="7" w:name="page8"/>
    <w:bookmarkEnd w:id="7"/>
    <w:p>
      <w:pPr>
        <w:ind w:left="640" w:hanging="632"/>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FAIR VALUE OF CERTAIN FINANCIAL ASSETS AND LIABILITIES</w:t>
      </w:r>
    </w:p>
    <w:p>
      <w:pPr>
        <w:spacing w:after="0" w:line="22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Accounting Standards Codification (“ASC”) 820 provides a framework for measuring fair value and requires disclosures regarding fair value measurements. ASC 820 defines fair value as the price that would be received on the sale of an asset or paid to transfer a liability in an orderly transaction between market participants at the measurement date. ASC 820 also establishes a fair value hierarchy which requires an entity to maximize the use of observable inputs, where available. The three levels of inputs required by the standard that the Company uses to measure fair value are summarized below.</w:t>
      </w:r>
    </w:p>
    <w:p>
      <w:pPr>
        <w:spacing w:after="0" w:line="202" w:lineRule="exact"/>
        <w:rPr>
          <w:sz w:val="20"/>
          <w:szCs w:val="20"/>
          <w:color w:val="auto"/>
        </w:rPr>
      </w:pPr>
    </w:p>
    <w:p>
      <w:pPr>
        <w:ind w:left="620" w:hanging="288"/>
        <w:spacing w:after="0"/>
        <w:tabs>
          <w:tab w:leader="none" w:pos="620"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 xml:space="preserve">Level 1: </w:t>
      </w:r>
      <w:r>
        <w:rPr>
          <w:rFonts w:ascii="Arial" w:cs="Arial" w:eastAsia="Arial" w:hAnsi="Arial"/>
          <w:sz w:val="20"/>
          <w:szCs w:val="20"/>
          <w:color w:val="auto"/>
        </w:rPr>
        <w:t>Quoted prices in active markets for identical assets or liabilities.</w:t>
      </w:r>
    </w:p>
    <w:p>
      <w:pPr>
        <w:spacing w:after="0" w:line="229" w:lineRule="exact"/>
        <w:rPr>
          <w:rFonts w:ascii="Arial" w:cs="Arial" w:eastAsia="Arial" w:hAnsi="Arial"/>
          <w:sz w:val="20"/>
          <w:szCs w:val="20"/>
          <w:color w:val="auto"/>
        </w:rPr>
      </w:pPr>
    </w:p>
    <w:p>
      <w:pPr>
        <w:jc w:val="both"/>
        <w:ind w:left="660" w:hanging="328"/>
        <w:spacing w:after="0" w:line="253" w:lineRule="auto"/>
        <w:tabs>
          <w:tab w:leader="none" w:pos="642"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 xml:space="preserve">Level 2: </w:t>
      </w:r>
      <w:r>
        <w:rPr>
          <w:rFonts w:ascii="Arial" w:cs="Arial" w:eastAsia="Arial" w:hAnsi="Arial"/>
          <w:sz w:val="20"/>
          <w:szCs w:val="20"/>
          <w:color w:val="auto"/>
        </w:rPr>
        <w:t>Observable inputs other than Level 1 prices, such as quoted prices for similar assets or liabilities, quoted prices in markets that</w:t>
      </w:r>
      <w:r>
        <w:rPr>
          <w:rFonts w:ascii="Arial" w:cs="Arial" w:eastAsia="Arial" w:hAnsi="Arial"/>
          <w:sz w:val="20"/>
          <w:szCs w:val="20"/>
          <w:b w:val="1"/>
          <w:bCs w:val="1"/>
          <w:color w:val="auto"/>
        </w:rPr>
        <w:t xml:space="preserve"> </w:t>
      </w:r>
      <w:r>
        <w:rPr>
          <w:rFonts w:ascii="Arial" w:cs="Arial" w:eastAsia="Arial" w:hAnsi="Arial"/>
          <w:sz w:val="20"/>
          <w:szCs w:val="20"/>
          <w:color w:val="auto"/>
        </w:rPr>
        <w:t>are not active, or other inputs that are observable or can be corroborated by observable market data for substantially the full term of the related assets or liabilities.</w:t>
      </w:r>
    </w:p>
    <w:p>
      <w:pPr>
        <w:spacing w:after="0" w:line="191" w:lineRule="exact"/>
        <w:rPr>
          <w:rFonts w:ascii="Arial" w:cs="Arial" w:eastAsia="Arial" w:hAnsi="Arial"/>
          <w:sz w:val="20"/>
          <w:szCs w:val="20"/>
          <w:color w:val="auto"/>
        </w:rPr>
      </w:pPr>
    </w:p>
    <w:p>
      <w:pPr>
        <w:ind w:left="660" w:hanging="328"/>
        <w:spacing w:after="0" w:line="267" w:lineRule="auto"/>
        <w:tabs>
          <w:tab w:leader="none" w:pos="709"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 xml:space="preserve">Level 3: </w:t>
      </w:r>
      <w:r>
        <w:rPr>
          <w:rFonts w:ascii="Arial" w:cs="Arial" w:eastAsia="Arial" w:hAnsi="Arial"/>
          <w:sz w:val="20"/>
          <w:szCs w:val="20"/>
          <w:color w:val="auto"/>
        </w:rPr>
        <w:t>Unobservable inputs that are supported by little or no market activity and that are significant to the fair value of the assets or</w:t>
      </w:r>
      <w:r>
        <w:rPr>
          <w:rFonts w:ascii="Arial" w:cs="Arial" w:eastAsia="Arial" w:hAnsi="Arial"/>
          <w:sz w:val="20"/>
          <w:szCs w:val="20"/>
          <w:b w:val="1"/>
          <w:bCs w:val="1"/>
          <w:color w:val="auto"/>
        </w:rPr>
        <w:t xml:space="preserve"> </w:t>
      </w:r>
      <w:r>
        <w:rPr>
          <w:rFonts w:ascii="Arial" w:cs="Arial" w:eastAsia="Arial" w:hAnsi="Arial"/>
          <w:sz w:val="20"/>
          <w:szCs w:val="20"/>
          <w:color w:val="auto"/>
        </w:rPr>
        <w:t>liabilities.</w:t>
      </w:r>
    </w:p>
    <w:p>
      <w:pPr>
        <w:spacing w:after="0" w:line="183"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ASC 820 requires the use of observable market inputs (quoted market prices) when measuring fair value and requires a Level 1 quoted price to be used to measure fair value whenever possible.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0"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following tables present the fair value of the Company’s financial assets and liabilities that are recorded at fair value on a recurring basis, segregated among the appropriate levels within the fair value hierarchy at: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1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September 30, 2017</w:t>
            </w: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21"/>
              <w:spacing w:after="0"/>
              <w:rPr>
                <w:sz w:val="20"/>
                <w:szCs w:val="20"/>
                <w:color w:val="auto"/>
              </w:rPr>
            </w:pPr>
            <w:r>
              <w:rPr>
                <w:rFonts w:ascii="Arial" w:cs="Arial" w:eastAsia="Arial" w:hAnsi="Arial"/>
                <w:sz w:val="20"/>
                <w:szCs w:val="20"/>
                <w:color w:val="auto"/>
              </w:rPr>
              <w:t>Level 1</w:t>
            </w: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Level 2</w:t>
            </w: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Level 3</w:t>
            </w:r>
          </w:p>
        </w:tc>
        <w:tc>
          <w:tcPr>
            <w:tcW w:w="3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06"/>
        </w:trPr>
        <w:tc>
          <w:tcPr>
            <w:tcW w:w="5160" w:type="dxa"/>
            <w:vAlign w:val="bottom"/>
          </w:tcPr>
          <w:p>
            <w:pPr>
              <w:spacing w:after="0" w:line="207" w:lineRule="exact"/>
              <w:rPr>
                <w:sz w:val="20"/>
                <w:szCs w:val="20"/>
                <w:color w:val="auto"/>
              </w:rPr>
            </w:pPr>
            <w:r>
              <w:rPr>
                <w:rFonts w:ascii="Arial" w:cs="Arial" w:eastAsia="Arial" w:hAnsi="Arial"/>
                <w:sz w:val="20"/>
                <w:szCs w:val="20"/>
                <w:color w:val="auto"/>
              </w:rPr>
              <w:t>Cash</w:t>
            </w:r>
          </w:p>
        </w:tc>
        <w:tc>
          <w:tcPr>
            <w:tcW w:w="300" w:type="dxa"/>
            <w:vAlign w:val="bottom"/>
          </w:tcPr>
          <w:p>
            <w:pPr>
              <w:jc w:val="right"/>
              <w:ind w:right="1"/>
              <w:spacing w:after="0" w:line="207" w:lineRule="exact"/>
              <w:rPr>
                <w:sz w:val="20"/>
                <w:szCs w:val="20"/>
                <w:color w:val="auto"/>
              </w:rPr>
            </w:pPr>
            <w:r>
              <w:rPr>
                <w:rFonts w:ascii="Arial" w:cs="Arial" w:eastAsia="Arial" w:hAnsi="Arial"/>
                <w:sz w:val="20"/>
                <w:szCs w:val="20"/>
                <w:color w:val="auto"/>
              </w:rPr>
              <w:t>$</w:t>
            </w:r>
          </w:p>
        </w:tc>
        <w:tc>
          <w:tcPr>
            <w:tcW w:w="1220" w:type="dxa"/>
            <w:vAlign w:val="bottom"/>
          </w:tcPr>
          <w:p>
            <w:pPr>
              <w:jc w:val="right"/>
              <w:ind w:right="21"/>
              <w:spacing w:after="0" w:line="207" w:lineRule="exact"/>
              <w:rPr>
                <w:sz w:val="20"/>
                <w:szCs w:val="20"/>
                <w:color w:val="auto"/>
              </w:rPr>
            </w:pPr>
            <w:r>
              <w:rPr>
                <w:rFonts w:ascii="Arial" w:cs="Arial" w:eastAsia="Arial" w:hAnsi="Arial"/>
                <w:sz w:val="20"/>
                <w:szCs w:val="20"/>
                <w:color w:val="auto"/>
              </w:rPr>
              <w:t>330,758</w:t>
            </w:r>
          </w:p>
        </w:tc>
        <w:tc>
          <w:tcPr>
            <w:tcW w:w="360" w:type="dxa"/>
            <w:vAlign w:val="bottom"/>
          </w:tcPr>
          <w:p>
            <w:pPr>
              <w:jc w:val="right"/>
              <w:ind w:right="61"/>
              <w:spacing w:after="0" w:line="207" w:lineRule="exact"/>
              <w:rPr>
                <w:sz w:val="20"/>
                <w:szCs w:val="20"/>
                <w:color w:val="auto"/>
              </w:rPr>
            </w:pPr>
            <w:r>
              <w:rPr>
                <w:rFonts w:ascii="Arial" w:cs="Arial" w:eastAsia="Arial" w:hAnsi="Arial"/>
                <w:sz w:val="20"/>
                <w:szCs w:val="20"/>
                <w:color w:val="auto"/>
              </w:rPr>
              <w:t>$</w:t>
            </w:r>
          </w:p>
        </w:tc>
        <w:tc>
          <w:tcPr>
            <w:tcW w:w="1280" w:type="dxa"/>
            <w:vAlign w:val="bottom"/>
          </w:tcPr>
          <w:p>
            <w:pPr>
              <w:jc w:val="right"/>
              <w:ind w:right="61"/>
              <w:spacing w:after="0" w:line="207" w:lineRule="exact"/>
              <w:rPr>
                <w:sz w:val="20"/>
                <w:szCs w:val="20"/>
                <w:color w:val="auto"/>
              </w:rPr>
            </w:pPr>
            <w:r>
              <w:rPr>
                <w:rFonts w:ascii="Arial" w:cs="Arial" w:eastAsia="Arial" w:hAnsi="Arial"/>
                <w:sz w:val="20"/>
                <w:szCs w:val="20"/>
                <w:color w:val="auto"/>
              </w:rPr>
              <w:t>-</w:t>
            </w:r>
          </w:p>
        </w:tc>
        <w:tc>
          <w:tcPr>
            <w:tcW w:w="1200" w:type="dxa"/>
            <w:vAlign w:val="bottom"/>
          </w:tcPr>
          <w:p>
            <w:pPr>
              <w:jc w:val="right"/>
              <w:ind w:right="921"/>
              <w:spacing w:after="0" w:line="207" w:lineRule="exact"/>
              <w:rPr>
                <w:sz w:val="20"/>
                <w:szCs w:val="20"/>
                <w:color w:val="auto"/>
              </w:rPr>
            </w:pPr>
            <w:r>
              <w:rPr>
                <w:rFonts w:ascii="Arial" w:cs="Arial" w:eastAsia="Arial" w:hAnsi="Arial"/>
                <w:sz w:val="20"/>
                <w:szCs w:val="20"/>
                <w:color w:val="auto"/>
              </w:rPr>
              <w:t>$</w:t>
            </w:r>
          </w:p>
        </w:tc>
        <w:tc>
          <w:tcPr>
            <w:tcW w:w="340" w:type="dxa"/>
            <w:vAlign w:val="bottom"/>
          </w:tcPr>
          <w:p>
            <w:pPr>
              <w:jc w:val="right"/>
              <w:ind w:right="21"/>
              <w:spacing w:after="0" w:line="207" w:lineRule="exact"/>
              <w:rPr>
                <w:sz w:val="20"/>
                <w:szCs w:val="20"/>
                <w:color w:val="auto"/>
              </w:rPr>
            </w:pPr>
            <w:r>
              <w:rPr>
                <w:rFonts w:ascii="Arial" w:cs="Arial" w:eastAsia="Arial" w:hAnsi="Arial"/>
                <w:sz w:val="20"/>
                <w:szCs w:val="20"/>
                <w:color w:val="auto"/>
              </w:rPr>
              <w:t>-</w:t>
            </w:r>
          </w:p>
        </w:tc>
        <w:tc>
          <w:tcPr>
            <w:tcW w:w="380" w:type="dxa"/>
            <w:vAlign w:val="bottom"/>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1180" w:type="dxa"/>
            <w:vAlign w:val="bottom"/>
          </w:tcPr>
          <w:p>
            <w:pPr>
              <w:jc w:val="right"/>
              <w:ind w:right="1"/>
              <w:spacing w:after="0" w:line="207" w:lineRule="exact"/>
              <w:rPr>
                <w:sz w:val="20"/>
                <w:szCs w:val="20"/>
                <w:color w:val="auto"/>
              </w:rPr>
            </w:pPr>
            <w:r>
              <w:rPr>
                <w:rFonts w:ascii="Arial" w:cs="Arial" w:eastAsia="Arial" w:hAnsi="Arial"/>
                <w:sz w:val="20"/>
                <w:szCs w:val="20"/>
                <w:color w:val="auto"/>
              </w:rPr>
              <w:t>330,758</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Money market funds</w:t>
            </w:r>
          </w:p>
        </w:tc>
        <w:tc>
          <w:tcPr>
            <w:tcW w:w="30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Arial" w:cs="Arial" w:eastAsia="Arial" w:hAnsi="Arial"/>
                <w:sz w:val="20"/>
                <w:szCs w:val="20"/>
                <w:color w:val="auto"/>
              </w:rPr>
              <w:t>69,273</w:t>
            </w:r>
          </w:p>
        </w:tc>
        <w:tc>
          <w:tcPr>
            <w:tcW w:w="360" w:type="dxa"/>
            <w:vAlign w:val="bottom"/>
          </w:tcPr>
          <w:p>
            <w:pPr>
              <w:spacing w:after="0"/>
              <w:rPr>
                <w:sz w:val="19"/>
                <w:szCs w:val="19"/>
                <w:color w:val="auto"/>
              </w:rPr>
            </w:pPr>
          </w:p>
        </w:tc>
        <w:tc>
          <w:tcPr>
            <w:tcW w:w="128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20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69,273</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Certificates of deposit</w:t>
            </w:r>
          </w:p>
        </w:tc>
        <w:tc>
          <w:tcPr>
            <w:tcW w:w="30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61"/>
              <w:spacing w:after="0"/>
              <w:rPr>
                <w:sz w:val="20"/>
                <w:szCs w:val="20"/>
                <w:color w:val="auto"/>
              </w:rPr>
            </w:pPr>
            <w:r>
              <w:rPr>
                <w:rFonts w:ascii="Arial" w:cs="Arial" w:eastAsia="Arial" w:hAnsi="Arial"/>
                <w:sz w:val="20"/>
                <w:szCs w:val="20"/>
                <w:color w:val="auto"/>
              </w:rPr>
              <w:t>56,698</w:t>
            </w:r>
          </w:p>
        </w:tc>
        <w:tc>
          <w:tcPr>
            <w:tcW w:w="120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56,698</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Commercial paper</w:t>
            </w:r>
          </w:p>
        </w:tc>
        <w:tc>
          <w:tcPr>
            <w:tcW w:w="30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61"/>
              <w:spacing w:after="0"/>
              <w:rPr>
                <w:sz w:val="20"/>
                <w:szCs w:val="20"/>
                <w:color w:val="auto"/>
              </w:rPr>
            </w:pPr>
            <w:r>
              <w:rPr>
                <w:rFonts w:ascii="Arial" w:cs="Arial" w:eastAsia="Arial" w:hAnsi="Arial"/>
                <w:sz w:val="20"/>
                <w:szCs w:val="20"/>
                <w:color w:val="auto"/>
              </w:rPr>
              <w:t>81,708</w:t>
            </w:r>
          </w:p>
        </w:tc>
        <w:tc>
          <w:tcPr>
            <w:tcW w:w="120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81,708</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Variable rate demand notes</w:t>
            </w:r>
          </w:p>
        </w:tc>
        <w:tc>
          <w:tcPr>
            <w:tcW w:w="30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61"/>
              <w:spacing w:after="0"/>
              <w:rPr>
                <w:sz w:val="20"/>
                <w:szCs w:val="20"/>
                <w:color w:val="auto"/>
              </w:rPr>
            </w:pPr>
            <w:r>
              <w:rPr>
                <w:rFonts w:ascii="Arial" w:cs="Arial" w:eastAsia="Arial" w:hAnsi="Arial"/>
                <w:sz w:val="20"/>
                <w:szCs w:val="20"/>
                <w:color w:val="auto"/>
              </w:rPr>
              <w:t>46,054</w:t>
            </w:r>
          </w:p>
        </w:tc>
        <w:tc>
          <w:tcPr>
            <w:tcW w:w="120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46,054</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Municipal securities</w:t>
            </w:r>
          </w:p>
        </w:tc>
        <w:tc>
          <w:tcPr>
            <w:tcW w:w="30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61"/>
              <w:spacing w:after="0"/>
              <w:rPr>
                <w:sz w:val="20"/>
                <w:szCs w:val="20"/>
                <w:color w:val="auto"/>
              </w:rPr>
            </w:pPr>
            <w:r>
              <w:rPr>
                <w:rFonts w:ascii="Arial" w:cs="Arial" w:eastAsia="Arial" w:hAnsi="Arial"/>
                <w:sz w:val="20"/>
                <w:szCs w:val="20"/>
                <w:color w:val="auto"/>
              </w:rPr>
              <w:t>423,159</w:t>
            </w:r>
          </w:p>
        </w:tc>
        <w:tc>
          <w:tcPr>
            <w:tcW w:w="120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423,159</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U.S. government agency securities</w:t>
            </w:r>
          </w:p>
        </w:tc>
        <w:tc>
          <w:tcPr>
            <w:tcW w:w="30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61"/>
              <w:spacing w:after="0"/>
              <w:rPr>
                <w:sz w:val="20"/>
                <w:szCs w:val="20"/>
                <w:color w:val="auto"/>
              </w:rPr>
            </w:pPr>
            <w:r>
              <w:rPr>
                <w:rFonts w:ascii="Arial" w:cs="Arial" w:eastAsia="Arial" w:hAnsi="Arial"/>
                <w:sz w:val="20"/>
                <w:szCs w:val="20"/>
                <w:color w:val="auto"/>
              </w:rPr>
              <w:t>83,279</w:t>
            </w:r>
          </w:p>
        </w:tc>
        <w:tc>
          <w:tcPr>
            <w:tcW w:w="120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83,279</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U.S. Treasuries</w:t>
            </w:r>
          </w:p>
        </w:tc>
        <w:tc>
          <w:tcPr>
            <w:tcW w:w="30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61"/>
              <w:spacing w:after="0"/>
              <w:rPr>
                <w:sz w:val="20"/>
                <w:szCs w:val="20"/>
                <w:color w:val="auto"/>
              </w:rPr>
            </w:pPr>
            <w:r>
              <w:rPr>
                <w:rFonts w:ascii="Arial" w:cs="Arial" w:eastAsia="Arial" w:hAnsi="Arial"/>
                <w:sz w:val="20"/>
                <w:szCs w:val="20"/>
                <w:color w:val="auto"/>
              </w:rPr>
              <w:t>11,981</w:t>
            </w:r>
          </w:p>
        </w:tc>
        <w:tc>
          <w:tcPr>
            <w:tcW w:w="120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11,981</w:t>
            </w:r>
          </w:p>
        </w:tc>
        <w:tc>
          <w:tcPr>
            <w:tcW w:w="0" w:type="dxa"/>
            <w:vAlign w:val="bottom"/>
          </w:tcPr>
          <w:p>
            <w:pPr>
              <w:spacing w:after="0"/>
              <w:rPr>
                <w:sz w:val="1"/>
                <w:szCs w:val="1"/>
                <w:color w:val="auto"/>
              </w:rPr>
            </w:pPr>
          </w:p>
        </w:tc>
      </w:tr>
      <w:tr>
        <w:trPr>
          <w:trHeight w:val="240"/>
        </w:trPr>
        <w:tc>
          <w:tcPr>
            <w:tcW w:w="5160" w:type="dxa"/>
            <w:vAlign w:val="bottom"/>
          </w:tcPr>
          <w:p>
            <w:pPr>
              <w:spacing w:after="0"/>
              <w:rPr>
                <w:sz w:val="20"/>
                <w:szCs w:val="20"/>
                <w:color w:val="auto"/>
              </w:rPr>
            </w:pPr>
            <w:r>
              <w:rPr>
                <w:rFonts w:ascii="Arial" w:cs="Arial" w:eastAsia="Arial" w:hAnsi="Arial"/>
                <w:sz w:val="20"/>
                <w:szCs w:val="20"/>
                <w:color w:val="auto"/>
              </w:rPr>
              <w:t>Foreign currency derivatives</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(339)</w:t>
            </w:r>
          </w:p>
        </w:tc>
        <w:tc>
          <w:tcPr>
            <w:tcW w:w="12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(339)</w:t>
            </w:r>
          </w:p>
        </w:tc>
        <w:tc>
          <w:tcPr>
            <w:tcW w:w="0" w:type="dxa"/>
            <w:vAlign w:val="bottom"/>
          </w:tcPr>
          <w:p>
            <w:pPr>
              <w:spacing w:after="0"/>
              <w:rPr>
                <w:sz w:val="1"/>
                <w:szCs w:val="1"/>
                <w:color w:val="auto"/>
              </w:rPr>
            </w:pPr>
          </w:p>
        </w:tc>
      </w:tr>
      <w:tr>
        <w:trPr>
          <w:trHeight w:val="230"/>
        </w:trPr>
        <w:tc>
          <w:tcPr>
            <w:tcW w:w="5160" w:type="dxa"/>
            <w:vAlign w:val="bottom"/>
          </w:tcPr>
          <w:p>
            <w:pPr>
              <w:ind w:left="180"/>
              <w:spacing w:after="0" w:line="220" w:lineRule="exact"/>
              <w:rPr>
                <w:sz w:val="20"/>
                <w:szCs w:val="20"/>
                <w:color w:val="auto"/>
              </w:rPr>
            </w:pPr>
            <w:r>
              <w:rPr>
                <w:rFonts w:ascii="Arial" w:cs="Arial" w:eastAsia="Arial" w:hAnsi="Arial"/>
                <w:sz w:val="20"/>
                <w:szCs w:val="20"/>
                <w:color w:val="auto"/>
              </w:rPr>
              <w:t>Total</w:t>
            </w:r>
          </w:p>
        </w:tc>
        <w:tc>
          <w:tcPr>
            <w:tcW w:w="3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12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400,031</w:t>
            </w:r>
          </w:p>
        </w:tc>
        <w:tc>
          <w:tcPr>
            <w:tcW w:w="3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702,540</w:t>
            </w:r>
          </w:p>
        </w:tc>
        <w:tc>
          <w:tcPr>
            <w:tcW w:w="1200" w:type="dxa"/>
            <w:vAlign w:val="bottom"/>
            <w:tcBorders>
              <w:bottom w:val="single" w:sz="8" w:color="auto"/>
            </w:tcBorders>
          </w:tcPr>
          <w:p>
            <w:pPr>
              <w:jc w:val="right"/>
              <w:ind w:right="921"/>
              <w:spacing w:after="0"/>
              <w:rPr>
                <w:sz w:val="20"/>
                <w:szCs w:val="20"/>
                <w:color w:val="auto"/>
              </w:rPr>
            </w:pPr>
            <w:r>
              <w:rPr>
                <w:rFonts w:ascii="Arial" w:cs="Arial" w:eastAsia="Arial" w:hAnsi="Arial"/>
                <w:sz w:val="20"/>
                <w:szCs w:val="20"/>
                <w:color w:val="auto"/>
              </w:rPr>
              <w:t>$</w:t>
            </w:r>
          </w:p>
        </w:tc>
        <w:tc>
          <w:tcPr>
            <w:tcW w:w="3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1,102,571</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20"/>
                <w:szCs w:val="20"/>
                <w:color w:val="auto"/>
              </w:rPr>
              <w:t>Amounts included in:</w:t>
            </w: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51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Cash and cash equivalents</w:t>
            </w:r>
          </w:p>
        </w:tc>
        <w:tc>
          <w:tcPr>
            <w:tcW w:w="30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21"/>
              <w:spacing w:after="0"/>
              <w:rPr>
                <w:sz w:val="20"/>
                <w:szCs w:val="20"/>
                <w:color w:val="auto"/>
              </w:rPr>
            </w:pPr>
            <w:r>
              <w:rPr>
                <w:rFonts w:ascii="Arial" w:cs="Arial" w:eastAsia="Arial" w:hAnsi="Arial"/>
                <w:sz w:val="20"/>
                <w:szCs w:val="20"/>
                <w:color w:val="auto"/>
              </w:rPr>
              <w:t>400,031</w:t>
            </w:r>
          </w:p>
        </w:tc>
        <w:tc>
          <w:tcPr>
            <w:tcW w:w="3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280" w:type="dxa"/>
            <w:vAlign w:val="bottom"/>
          </w:tcPr>
          <w:p>
            <w:pPr>
              <w:jc w:val="right"/>
              <w:ind w:right="61"/>
              <w:spacing w:after="0"/>
              <w:rPr>
                <w:sz w:val="20"/>
                <w:szCs w:val="20"/>
                <w:color w:val="auto"/>
              </w:rPr>
            </w:pPr>
            <w:r>
              <w:rPr>
                <w:rFonts w:ascii="Arial" w:cs="Arial" w:eastAsia="Arial" w:hAnsi="Arial"/>
                <w:sz w:val="20"/>
                <w:szCs w:val="20"/>
                <w:color w:val="auto"/>
              </w:rPr>
              <w:t>65,528</w:t>
            </w:r>
          </w:p>
        </w:tc>
        <w:tc>
          <w:tcPr>
            <w:tcW w:w="1200" w:type="dxa"/>
            <w:vAlign w:val="bottom"/>
          </w:tcPr>
          <w:p>
            <w:pPr>
              <w:jc w:val="right"/>
              <w:ind w:right="921"/>
              <w:spacing w:after="0"/>
              <w:rPr>
                <w:sz w:val="20"/>
                <w:szCs w:val="20"/>
                <w:color w:val="auto"/>
              </w:rPr>
            </w:pPr>
            <w:r>
              <w:rPr>
                <w:rFonts w:ascii="Arial" w:cs="Arial" w:eastAsia="Arial" w:hAnsi="Arial"/>
                <w:sz w:val="20"/>
                <w:szCs w:val="20"/>
                <w:color w:val="auto"/>
              </w:rPr>
              <w:t>$</w:t>
            </w: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465,559</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Short-term investments</w:t>
            </w:r>
          </w:p>
        </w:tc>
        <w:tc>
          <w:tcPr>
            <w:tcW w:w="30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61"/>
              <w:spacing w:after="0"/>
              <w:rPr>
                <w:sz w:val="20"/>
                <w:szCs w:val="20"/>
                <w:color w:val="auto"/>
              </w:rPr>
            </w:pPr>
            <w:r>
              <w:rPr>
                <w:rFonts w:ascii="Arial" w:cs="Arial" w:eastAsia="Arial" w:hAnsi="Arial"/>
                <w:sz w:val="20"/>
                <w:szCs w:val="20"/>
                <w:color w:val="auto"/>
              </w:rPr>
              <w:t>630,348</w:t>
            </w:r>
          </w:p>
        </w:tc>
        <w:tc>
          <w:tcPr>
            <w:tcW w:w="120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630,348</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Accounts receivable, net</w:t>
            </w:r>
          </w:p>
        </w:tc>
        <w:tc>
          <w:tcPr>
            <w:tcW w:w="30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61"/>
              <w:spacing w:after="0"/>
              <w:rPr>
                <w:sz w:val="20"/>
                <w:szCs w:val="20"/>
                <w:color w:val="auto"/>
              </w:rPr>
            </w:pPr>
            <w:r>
              <w:rPr>
                <w:rFonts w:ascii="Arial" w:cs="Arial" w:eastAsia="Arial" w:hAnsi="Arial"/>
                <w:sz w:val="20"/>
                <w:szCs w:val="20"/>
                <w:color w:val="auto"/>
              </w:rPr>
              <w:t>174</w:t>
            </w:r>
          </w:p>
        </w:tc>
        <w:tc>
          <w:tcPr>
            <w:tcW w:w="120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174</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Investments</w:t>
            </w:r>
          </w:p>
        </w:tc>
        <w:tc>
          <w:tcPr>
            <w:tcW w:w="30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61"/>
              <w:spacing w:after="0"/>
              <w:rPr>
                <w:sz w:val="20"/>
                <w:szCs w:val="20"/>
                <w:color w:val="auto"/>
              </w:rPr>
            </w:pPr>
            <w:r>
              <w:rPr>
                <w:rFonts w:ascii="Arial" w:cs="Arial" w:eastAsia="Arial" w:hAnsi="Arial"/>
                <w:sz w:val="20"/>
                <w:szCs w:val="20"/>
                <w:color w:val="auto"/>
              </w:rPr>
              <w:t>7,003</w:t>
            </w:r>
          </w:p>
        </w:tc>
        <w:tc>
          <w:tcPr>
            <w:tcW w:w="120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7,003</w:t>
            </w:r>
          </w:p>
        </w:tc>
        <w:tc>
          <w:tcPr>
            <w:tcW w:w="0" w:type="dxa"/>
            <w:vAlign w:val="bottom"/>
          </w:tcPr>
          <w:p>
            <w:pPr>
              <w:spacing w:after="0"/>
              <w:rPr>
                <w:sz w:val="1"/>
                <w:szCs w:val="1"/>
                <w:color w:val="auto"/>
              </w:rPr>
            </w:pPr>
          </w:p>
        </w:tc>
      </w:tr>
      <w:tr>
        <w:trPr>
          <w:trHeight w:val="240"/>
        </w:trPr>
        <w:tc>
          <w:tcPr>
            <w:tcW w:w="5160" w:type="dxa"/>
            <w:vAlign w:val="bottom"/>
          </w:tcPr>
          <w:p>
            <w:pPr>
              <w:spacing w:after="0"/>
              <w:rPr>
                <w:sz w:val="20"/>
                <w:szCs w:val="20"/>
                <w:color w:val="auto"/>
              </w:rPr>
            </w:pPr>
            <w:r>
              <w:rPr>
                <w:rFonts w:ascii="Arial" w:cs="Arial" w:eastAsia="Arial" w:hAnsi="Arial"/>
                <w:sz w:val="20"/>
                <w:szCs w:val="20"/>
                <w:color w:val="auto"/>
              </w:rPr>
              <w:t>Accrued liabilities</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(513)</w:t>
            </w:r>
          </w:p>
        </w:tc>
        <w:tc>
          <w:tcPr>
            <w:tcW w:w="12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(513)</w:t>
            </w:r>
          </w:p>
        </w:tc>
        <w:tc>
          <w:tcPr>
            <w:tcW w:w="0" w:type="dxa"/>
            <w:vAlign w:val="bottom"/>
          </w:tcPr>
          <w:p>
            <w:pPr>
              <w:spacing w:after="0"/>
              <w:rPr>
                <w:sz w:val="1"/>
                <w:szCs w:val="1"/>
                <w:color w:val="auto"/>
              </w:rPr>
            </w:pPr>
          </w:p>
        </w:tc>
      </w:tr>
      <w:tr>
        <w:trPr>
          <w:trHeight w:val="230"/>
        </w:trPr>
        <w:tc>
          <w:tcPr>
            <w:tcW w:w="5160" w:type="dxa"/>
            <w:vAlign w:val="bottom"/>
          </w:tcPr>
          <w:p>
            <w:pPr>
              <w:ind w:left="180"/>
              <w:spacing w:after="0" w:line="220" w:lineRule="exact"/>
              <w:rPr>
                <w:sz w:val="20"/>
                <w:szCs w:val="20"/>
                <w:color w:val="auto"/>
              </w:rPr>
            </w:pPr>
            <w:r>
              <w:rPr>
                <w:rFonts w:ascii="Arial" w:cs="Arial" w:eastAsia="Arial" w:hAnsi="Arial"/>
                <w:sz w:val="20"/>
                <w:szCs w:val="20"/>
                <w:color w:val="auto"/>
              </w:rPr>
              <w:t>Total</w:t>
            </w:r>
          </w:p>
        </w:tc>
        <w:tc>
          <w:tcPr>
            <w:tcW w:w="3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12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400,031</w:t>
            </w:r>
          </w:p>
        </w:tc>
        <w:tc>
          <w:tcPr>
            <w:tcW w:w="3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702,540</w:t>
            </w:r>
          </w:p>
        </w:tc>
        <w:tc>
          <w:tcPr>
            <w:tcW w:w="1200" w:type="dxa"/>
            <w:vAlign w:val="bottom"/>
            <w:tcBorders>
              <w:bottom w:val="single" w:sz="8" w:color="auto"/>
            </w:tcBorders>
          </w:tcPr>
          <w:p>
            <w:pPr>
              <w:jc w:val="right"/>
              <w:ind w:right="921"/>
              <w:spacing w:after="0"/>
              <w:rPr>
                <w:sz w:val="20"/>
                <w:szCs w:val="20"/>
                <w:color w:val="auto"/>
              </w:rPr>
            </w:pPr>
            <w:r>
              <w:rPr>
                <w:rFonts w:ascii="Arial" w:cs="Arial" w:eastAsia="Arial" w:hAnsi="Arial"/>
                <w:sz w:val="20"/>
                <w:szCs w:val="20"/>
                <w:color w:val="auto"/>
              </w:rPr>
              <w:t>$</w:t>
            </w:r>
          </w:p>
        </w:tc>
        <w:tc>
          <w:tcPr>
            <w:tcW w:w="3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1,102,571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1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December 31, 2016</w:t>
            </w: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21"/>
              <w:spacing w:after="0"/>
              <w:rPr>
                <w:sz w:val="20"/>
                <w:szCs w:val="20"/>
                <w:color w:val="auto"/>
              </w:rPr>
            </w:pPr>
            <w:r>
              <w:rPr>
                <w:rFonts w:ascii="Arial" w:cs="Arial" w:eastAsia="Arial" w:hAnsi="Arial"/>
                <w:sz w:val="20"/>
                <w:szCs w:val="20"/>
                <w:color w:val="auto"/>
              </w:rPr>
              <w:t>Level 1</w:t>
            </w: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Level 2</w:t>
            </w: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Level 3</w:t>
            </w:r>
          </w:p>
        </w:tc>
        <w:tc>
          <w:tcPr>
            <w:tcW w:w="3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06"/>
        </w:trPr>
        <w:tc>
          <w:tcPr>
            <w:tcW w:w="5160" w:type="dxa"/>
            <w:vAlign w:val="bottom"/>
          </w:tcPr>
          <w:p>
            <w:pPr>
              <w:spacing w:after="0" w:line="207" w:lineRule="exact"/>
              <w:rPr>
                <w:sz w:val="20"/>
                <w:szCs w:val="20"/>
                <w:color w:val="auto"/>
              </w:rPr>
            </w:pPr>
            <w:r>
              <w:rPr>
                <w:rFonts w:ascii="Arial" w:cs="Arial" w:eastAsia="Arial" w:hAnsi="Arial"/>
                <w:sz w:val="20"/>
                <w:szCs w:val="20"/>
                <w:color w:val="auto"/>
              </w:rPr>
              <w:t>Cash</w:t>
            </w:r>
          </w:p>
        </w:tc>
        <w:tc>
          <w:tcPr>
            <w:tcW w:w="300" w:type="dxa"/>
            <w:vAlign w:val="bottom"/>
          </w:tcPr>
          <w:p>
            <w:pPr>
              <w:jc w:val="right"/>
              <w:ind w:right="1"/>
              <w:spacing w:after="0" w:line="207" w:lineRule="exact"/>
              <w:rPr>
                <w:sz w:val="20"/>
                <w:szCs w:val="20"/>
                <w:color w:val="auto"/>
              </w:rPr>
            </w:pPr>
            <w:r>
              <w:rPr>
                <w:rFonts w:ascii="Arial" w:cs="Arial" w:eastAsia="Arial" w:hAnsi="Arial"/>
                <w:sz w:val="20"/>
                <w:szCs w:val="20"/>
                <w:color w:val="auto"/>
              </w:rPr>
              <w:t>$</w:t>
            </w:r>
          </w:p>
        </w:tc>
        <w:tc>
          <w:tcPr>
            <w:tcW w:w="1220" w:type="dxa"/>
            <w:vAlign w:val="bottom"/>
          </w:tcPr>
          <w:p>
            <w:pPr>
              <w:jc w:val="right"/>
              <w:ind w:right="21"/>
              <w:spacing w:after="0" w:line="207" w:lineRule="exact"/>
              <w:rPr>
                <w:sz w:val="20"/>
                <w:szCs w:val="20"/>
                <w:color w:val="auto"/>
              </w:rPr>
            </w:pPr>
            <w:r>
              <w:rPr>
                <w:rFonts w:ascii="Arial" w:cs="Arial" w:eastAsia="Arial" w:hAnsi="Arial"/>
                <w:sz w:val="20"/>
                <w:szCs w:val="20"/>
                <w:color w:val="auto"/>
              </w:rPr>
              <w:t>278,972</w:t>
            </w:r>
          </w:p>
        </w:tc>
        <w:tc>
          <w:tcPr>
            <w:tcW w:w="360" w:type="dxa"/>
            <w:vAlign w:val="bottom"/>
          </w:tcPr>
          <w:p>
            <w:pPr>
              <w:jc w:val="right"/>
              <w:ind w:right="61"/>
              <w:spacing w:after="0" w:line="207" w:lineRule="exact"/>
              <w:rPr>
                <w:sz w:val="20"/>
                <w:szCs w:val="20"/>
                <w:color w:val="auto"/>
              </w:rPr>
            </w:pPr>
            <w:r>
              <w:rPr>
                <w:rFonts w:ascii="Arial" w:cs="Arial" w:eastAsia="Arial" w:hAnsi="Arial"/>
                <w:sz w:val="20"/>
                <w:szCs w:val="20"/>
                <w:color w:val="auto"/>
              </w:rPr>
              <w:t>$</w:t>
            </w:r>
          </w:p>
        </w:tc>
        <w:tc>
          <w:tcPr>
            <w:tcW w:w="1280" w:type="dxa"/>
            <w:vAlign w:val="bottom"/>
          </w:tcPr>
          <w:p>
            <w:pPr>
              <w:jc w:val="right"/>
              <w:ind w:right="61"/>
              <w:spacing w:after="0" w:line="207" w:lineRule="exact"/>
              <w:rPr>
                <w:sz w:val="20"/>
                <w:szCs w:val="20"/>
                <w:color w:val="auto"/>
              </w:rPr>
            </w:pPr>
            <w:r>
              <w:rPr>
                <w:rFonts w:ascii="Arial" w:cs="Arial" w:eastAsia="Arial" w:hAnsi="Arial"/>
                <w:sz w:val="20"/>
                <w:szCs w:val="20"/>
                <w:color w:val="auto"/>
              </w:rPr>
              <w:t>-</w:t>
            </w:r>
          </w:p>
        </w:tc>
        <w:tc>
          <w:tcPr>
            <w:tcW w:w="1200" w:type="dxa"/>
            <w:vAlign w:val="bottom"/>
          </w:tcPr>
          <w:p>
            <w:pPr>
              <w:jc w:val="right"/>
              <w:ind w:right="921"/>
              <w:spacing w:after="0" w:line="207" w:lineRule="exact"/>
              <w:rPr>
                <w:sz w:val="20"/>
                <w:szCs w:val="20"/>
                <w:color w:val="auto"/>
              </w:rPr>
            </w:pPr>
            <w:r>
              <w:rPr>
                <w:rFonts w:ascii="Arial" w:cs="Arial" w:eastAsia="Arial" w:hAnsi="Arial"/>
                <w:sz w:val="20"/>
                <w:szCs w:val="20"/>
                <w:color w:val="auto"/>
              </w:rPr>
              <w:t>$</w:t>
            </w:r>
          </w:p>
        </w:tc>
        <w:tc>
          <w:tcPr>
            <w:tcW w:w="340" w:type="dxa"/>
            <w:vAlign w:val="bottom"/>
          </w:tcPr>
          <w:p>
            <w:pPr>
              <w:jc w:val="right"/>
              <w:ind w:right="21"/>
              <w:spacing w:after="0" w:line="207" w:lineRule="exact"/>
              <w:rPr>
                <w:sz w:val="20"/>
                <w:szCs w:val="20"/>
                <w:color w:val="auto"/>
              </w:rPr>
            </w:pPr>
            <w:r>
              <w:rPr>
                <w:rFonts w:ascii="Arial" w:cs="Arial" w:eastAsia="Arial" w:hAnsi="Arial"/>
                <w:sz w:val="20"/>
                <w:szCs w:val="20"/>
                <w:color w:val="auto"/>
              </w:rPr>
              <w:t>-</w:t>
            </w:r>
          </w:p>
        </w:tc>
        <w:tc>
          <w:tcPr>
            <w:tcW w:w="380" w:type="dxa"/>
            <w:vAlign w:val="bottom"/>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1180" w:type="dxa"/>
            <w:vAlign w:val="bottom"/>
          </w:tcPr>
          <w:p>
            <w:pPr>
              <w:jc w:val="right"/>
              <w:ind w:right="1"/>
              <w:spacing w:after="0" w:line="207" w:lineRule="exact"/>
              <w:rPr>
                <w:sz w:val="20"/>
                <w:szCs w:val="20"/>
                <w:color w:val="auto"/>
              </w:rPr>
            </w:pPr>
            <w:r>
              <w:rPr>
                <w:rFonts w:ascii="Arial" w:cs="Arial" w:eastAsia="Arial" w:hAnsi="Arial"/>
                <w:sz w:val="20"/>
                <w:szCs w:val="20"/>
                <w:color w:val="auto"/>
              </w:rPr>
              <w:t>278,972</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Money market funds</w:t>
            </w:r>
          </w:p>
        </w:tc>
        <w:tc>
          <w:tcPr>
            <w:tcW w:w="30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Arial" w:cs="Arial" w:eastAsia="Arial" w:hAnsi="Arial"/>
                <w:sz w:val="20"/>
                <w:szCs w:val="20"/>
                <w:color w:val="auto"/>
              </w:rPr>
              <w:t>76,112</w:t>
            </w:r>
          </w:p>
        </w:tc>
        <w:tc>
          <w:tcPr>
            <w:tcW w:w="360" w:type="dxa"/>
            <w:vAlign w:val="bottom"/>
          </w:tcPr>
          <w:p>
            <w:pPr>
              <w:spacing w:after="0"/>
              <w:rPr>
                <w:sz w:val="19"/>
                <w:szCs w:val="19"/>
                <w:color w:val="auto"/>
              </w:rPr>
            </w:pPr>
          </w:p>
        </w:tc>
        <w:tc>
          <w:tcPr>
            <w:tcW w:w="128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20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76,112</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Commercial paper</w:t>
            </w:r>
          </w:p>
        </w:tc>
        <w:tc>
          <w:tcPr>
            <w:tcW w:w="30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61"/>
              <w:spacing w:after="0"/>
              <w:rPr>
                <w:sz w:val="20"/>
                <w:szCs w:val="20"/>
                <w:color w:val="auto"/>
              </w:rPr>
            </w:pPr>
            <w:r>
              <w:rPr>
                <w:rFonts w:ascii="Arial" w:cs="Arial" w:eastAsia="Arial" w:hAnsi="Arial"/>
                <w:sz w:val="20"/>
                <w:szCs w:val="20"/>
                <w:color w:val="auto"/>
              </w:rPr>
              <w:t>47,855</w:t>
            </w:r>
          </w:p>
        </w:tc>
        <w:tc>
          <w:tcPr>
            <w:tcW w:w="120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47,855</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Variable rate demand notes</w:t>
            </w:r>
          </w:p>
        </w:tc>
        <w:tc>
          <w:tcPr>
            <w:tcW w:w="30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61"/>
              <w:spacing w:after="0"/>
              <w:rPr>
                <w:sz w:val="20"/>
                <w:szCs w:val="20"/>
                <w:color w:val="auto"/>
              </w:rPr>
            </w:pPr>
            <w:r>
              <w:rPr>
                <w:rFonts w:ascii="Arial" w:cs="Arial" w:eastAsia="Arial" w:hAnsi="Arial"/>
                <w:sz w:val="20"/>
                <w:szCs w:val="20"/>
                <w:color w:val="auto"/>
              </w:rPr>
              <w:t>13,923</w:t>
            </w:r>
          </w:p>
        </w:tc>
        <w:tc>
          <w:tcPr>
            <w:tcW w:w="120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13,923</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Municipal securities</w:t>
            </w:r>
          </w:p>
        </w:tc>
        <w:tc>
          <w:tcPr>
            <w:tcW w:w="30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61"/>
              <w:spacing w:after="0"/>
              <w:rPr>
                <w:sz w:val="20"/>
                <w:szCs w:val="20"/>
                <w:color w:val="auto"/>
              </w:rPr>
            </w:pPr>
            <w:r>
              <w:rPr>
                <w:rFonts w:ascii="Arial" w:cs="Arial" w:eastAsia="Arial" w:hAnsi="Arial"/>
                <w:sz w:val="20"/>
                <w:szCs w:val="20"/>
                <w:color w:val="auto"/>
              </w:rPr>
              <w:t>157,617</w:t>
            </w:r>
          </w:p>
        </w:tc>
        <w:tc>
          <w:tcPr>
            <w:tcW w:w="120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157,617</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U.S. government agency securities</w:t>
            </w:r>
          </w:p>
        </w:tc>
        <w:tc>
          <w:tcPr>
            <w:tcW w:w="30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61"/>
              <w:spacing w:after="0"/>
              <w:rPr>
                <w:sz w:val="20"/>
                <w:szCs w:val="20"/>
                <w:color w:val="auto"/>
              </w:rPr>
            </w:pPr>
            <w:r>
              <w:rPr>
                <w:rFonts w:ascii="Arial" w:cs="Arial" w:eastAsia="Arial" w:hAnsi="Arial"/>
                <w:sz w:val="20"/>
                <w:szCs w:val="20"/>
                <w:color w:val="auto"/>
              </w:rPr>
              <w:t>26,051</w:t>
            </w:r>
          </w:p>
        </w:tc>
        <w:tc>
          <w:tcPr>
            <w:tcW w:w="120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26,051</w:t>
            </w:r>
          </w:p>
        </w:tc>
        <w:tc>
          <w:tcPr>
            <w:tcW w:w="0" w:type="dxa"/>
            <w:vAlign w:val="bottom"/>
          </w:tcPr>
          <w:p>
            <w:pPr>
              <w:spacing w:after="0"/>
              <w:rPr>
                <w:sz w:val="1"/>
                <w:szCs w:val="1"/>
                <w:color w:val="auto"/>
              </w:rPr>
            </w:pPr>
          </w:p>
        </w:tc>
      </w:tr>
      <w:tr>
        <w:trPr>
          <w:trHeight w:val="240"/>
        </w:trPr>
        <w:tc>
          <w:tcPr>
            <w:tcW w:w="5160" w:type="dxa"/>
            <w:vAlign w:val="bottom"/>
          </w:tcPr>
          <w:p>
            <w:pPr>
              <w:spacing w:after="0"/>
              <w:rPr>
                <w:sz w:val="20"/>
                <w:szCs w:val="20"/>
                <w:color w:val="auto"/>
              </w:rPr>
            </w:pPr>
            <w:r>
              <w:rPr>
                <w:rFonts w:ascii="Arial" w:cs="Arial" w:eastAsia="Arial" w:hAnsi="Arial"/>
                <w:sz w:val="20"/>
                <w:szCs w:val="20"/>
                <w:color w:val="auto"/>
              </w:rPr>
              <w:t>Foreign currency derivatives</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(528)</w:t>
            </w:r>
          </w:p>
        </w:tc>
        <w:tc>
          <w:tcPr>
            <w:tcW w:w="12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(528)</w:t>
            </w:r>
          </w:p>
        </w:tc>
        <w:tc>
          <w:tcPr>
            <w:tcW w:w="0" w:type="dxa"/>
            <w:vAlign w:val="bottom"/>
          </w:tcPr>
          <w:p>
            <w:pPr>
              <w:spacing w:after="0"/>
              <w:rPr>
                <w:sz w:val="1"/>
                <w:szCs w:val="1"/>
                <w:color w:val="auto"/>
              </w:rPr>
            </w:pPr>
          </w:p>
        </w:tc>
      </w:tr>
      <w:tr>
        <w:trPr>
          <w:trHeight w:val="230"/>
        </w:trPr>
        <w:tc>
          <w:tcPr>
            <w:tcW w:w="5160" w:type="dxa"/>
            <w:vAlign w:val="bottom"/>
          </w:tcPr>
          <w:p>
            <w:pPr>
              <w:ind w:left="180"/>
              <w:spacing w:after="0" w:line="220" w:lineRule="exact"/>
              <w:rPr>
                <w:sz w:val="20"/>
                <w:szCs w:val="20"/>
                <w:color w:val="auto"/>
              </w:rPr>
            </w:pPr>
            <w:r>
              <w:rPr>
                <w:rFonts w:ascii="Arial" w:cs="Arial" w:eastAsia="Arial" w:hAnsi="Arial"/>
                <w:sz w:val="20"/>
                <w:szCs w:val="20"/>
                <w:color w:val="auto"/>
              </w:rPr>
              <w:t>Total</w:t>
            </w:r>
          </w:p>
        </w:tc>
        <w:tc>
          <w:tcPr>
            <w:tcW w:w="3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12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355,084</w:t>
            </w:r>
          </w:p>
        </w:tc>
        <w:tc>
          <w:tcPr>
            <w:tcW w:w="3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244,918</w:t>
            </w:r>
          </w:p>
        </w:tc>
        <w:tc>
          <w:tcPr>
            <w:tcW w:w="1200" w:type="dxa"/>
            <w:vAlign w:val="bottom"/>
            <w:tcBorders>
              <w:bottom w:val="single" w:sz="8" w:color="auto"/>
            </w:tcBorders>
          </w:tcPr>
          <w:p>
            <w:pPr>
              <w:jc w:val="right"/>
              <w:ind w:right="921"/>
              <w:spacing w:after="0"/>
              <w:rPr>
                <w:sz w:val="20"/>
                <w:szCs w:val="20"/>
                <w:color w:val="auto"/>
              </w:rPr>
            </w:pPr>
            <w:r>
              <w:rPr>
                <w:rFonts w:ascii="Arial" w:cs="Arial" w:eastAsia="Arial" w:hAnsi="Arial"/>
                <w:sz w:val="20"/>
                <w:szCs w:val="20"/>
                <w:color w:val="auto"/>
              </w:rPr>
              <w:t>$</w:t>
            </w:r>
          </w:p>
        </w:tc>
        <w:tc>
          <w:tcPr>
            <w:tcW w:w="3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600,002</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20"/>
                <w:szCs w:val="20"/>
                <w:color w:val="auto"/>
              </w:rPr>
              <w:t>Amounts included in:</w:t>
            </w: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51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Cash and cash equivalents</w:t>
            </w:r>
          </w:p>
        </w:tc>
        <w:tc>
          <w:tcPr>
            <w:tcW w:w="30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21"/>
              <w:spacing w:after="0"/>
              <w:rPr>
                <w:sz w:val="20"/>
                <w:szCs w:val="20"/>
                <w:color w:val="auto"/>
              </w:rPr>
            </w:pPr>
            <w:r>
              <w:rPr>
                <w:rFonts w:ascii="Arial" w:cs="Arial" w:eastAsia="Arial" w:hAnsi="Arial"/>
                <w:sz w:val="20"/>
                <w:szCs w:val="20"/>
                <w:color w:val="auto"/>
              </w:rPr>
              <w:t>355,084</w:t>
            </w:r>
          </w:p>
        </w:tc>
        <w:tc>
          <w:tcPr>
            <w:tcW w:w="3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280" w:type="dxa"/>
            <w:vAlign w:val="bottom"/>
          </w:tcPr>
          <w:p>
            <w:pPr>
              <w:jc w:val="right"/>
              <w:ind w:right="61"/>
              <w:spacing w:after="0"/>
              <w:rPr>
                <w:sz w:val="20"/>
                <w:szCs w:val="20"/>
                <w:color w:val="auto"/>
              </w:rPr>
            </w:pPr>
            <w:r>
              <w:rPr>
                <w:rFonts w:ascii="Arial" w:cs="Arial" w:eastAsia="Arial" w:hAnsi="Arial"/>
                <w:sz w:val="20"/>
                <w:szCs w:val="20"/>
                <w:color w:val="auto"/>
              </w:rPr>
              <w:t>22,498</w:t>
            </w:r>
          </w:p>
        </w:tc>
        <w:tc>
          <w:tcPr>
            <w:tcW w:w="1200" w:type="dxa"/>
            <w:vAlign w:val="bottom"/>
          </w:tcPr>
          <w:p>
            <w:pPr>
              <w:jc w:val="right"/>
              <w:ind w:right="921"/>
              <w:spacing w:after="0"/>
              <w:rPr>
                <w:sz w:val="20"/>
                <w:szCs w:val="20"/>
                <w:color w:val="auto"/>
              </w:rPr>
            </w:pPr>
            <w:r>
              <w:rPr>
                <w:rFonts w:ascii="Arial" w:cs="Arial" w:eastAsia="Arial" w:hAnsi="Arial"/>
                <w:sz w:val="20"/>
                <w:szCs w:val="20"/>
                <w:color w:val="auto"/>
              </w:rPr>
              <w:t>$</w:t>
            </w: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377,582</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Short-term investments</w:t>
            </w:r>
          </w:p>
        </w:tc>
        <w:tc>
          <w:tcPr>
            <w:tcW w:w="30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61"/>
              <w:spacing w:after="0"/>
              <w:rPr>
                <w:sz w:val="20"/>
                <w:szCs w:val="20"/>
                <w:color w:val="auto"/>
              </w:rPr>
            </w:pPr>
            <w:r>
              <w:rPr>
                <w:rFonts w:ascii="Arial" w:cs="Arial" w:eastAsia="Arial" w:hAnsi="Arial"/>
                <w:sz w:val="20"/>
                <w:szCs w:val="20"/>
                <w:color w:val="auto"/>
              </w:rPr>
              <w:t>220,554</w:t>
            </w:r>
          </w:p>
        </w:tc>
        <w:tc>
          <w:tcPr>
            <w:tcW w:w="120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220,554</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Accounts receivable, net</w:t>
            </w:r>
          </w:p>
        </w:tc>
        <w:tc>
          <w:tcPr>
            <w:tcW w:w="30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61"/>
              <w:spacing w:after="0"/>
              <w:rPr>
                <w:sz w:val="20"/>
                <w:szCs w:val="20"/>
                <w:color w:val="auto"/>
              </w:rPr>
            </w:pPr>
            <w:r>
              <w:rPr>
                <w:rFonts w:ascii="Arial" w:cs="Arial" w:eastAsia="Arial" w:hAnsi="Arial"/>
                <w:sz w:val="20"/>
                <w:szCs w:val="20"/>
                <w:color w:val="auto"/>
              </w:rPr>
              <w:t>236</w:t>
            </w:r>
          </w:p>
        </w:tc>
        <w:tc>
          <w:tcPr>
            <w:tcW w:w="120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236</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Investments</w:t>
            </w:r>
          </w:p>
        </w:tc>
        <w:tc>
          <w:tcPr>
            <w:tcW w:w="30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61"/>
              <w:spacing w:after="0"/>
              <w:rPr>
                <w:sz w:val="20"/>
                <w:szCs w:val="20"/>
                <w:color w:val="auto"/>
              </w:rPr>
            </w:pPr>
            <w:r>
              <w:rPr>
                <w:rFonts w:ascii="Arial" w:cs="Arial" w:eastAsia="Arial" w:hAnsi="Arial"/>
                <w:sz w:val="20"/>
                <w:szCs w:val="20"/>
                <w:color w:val="auto"/>
              </w:rPr>
              <w:t>2,394</w:t>
            </w:r>
          </w:p>
        </w:tc>
        <w:tc>
          <w:tcPr>
            <w:tcW w:w="120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2,394</w:t>
            </w:r>
          </w:p>
        </w:tc>
        <w:tc>
          <w:tcPr>
            <w:tcW w:w="0" w:type="dxa"/>
            <w:vAlign w:val="bottom"/>
          </w:tcPr>
          <w:p>
            <w:pPr>
              <w:spacing w:after="0"/>
              <w:rPr>
                <w:sz w:val="1"/>
                <w:szCs w:val="1"/>
                <w:color w:val="auto"/>
              </w:rPr>
            </w:pPr>
          </w:p>
        </w:tc>
      </w:tr>
      <w:tr>
        <w:trPr>
          <w:trHeight w:val="240"/>
        </w:trPr>
        <w:tc>
          <w:tcPr>
            <w:tcW w:w="5160" w:type="dxa"/>
            <w:vAlign w:val="bottom"/>
          </w:tcPr>
          <w:p>
            <w:pPr>
              <w:spacing w:after="0"/>
              <w:rPr>
                <w:sz w:val="20"/>
                <w:szCs w:val="20"/>
                <w:color w:val="auto"/>
              </w:rPr>
            </w:pPr>
            <w:r>
              <w:rPr>
                <w:rFonts w:ascii="Arial" w:cs="Arial" w:eastAsia="Arial" w:hAnsi="Arial"/>
                <w:sz w:val="20"/>
                <w:szCs w:val="20"/>
                <w:color w:val="auto"/>
              </w:rPr>
              <w:t>Accrued liabilities</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(764)</w:t>
            </w:r>
          </w:p>
        </w:tc>
        <w:tc>
          <w:tcPr>
            <w:tcW w:w="12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(764)</w:t>
            </w:r>
          </w:p>
        </w:tc>
        <w:tc>
          <w:tcPr>
            <w:tcW w:w="0" w:type="dxa"/>
            <w:vAlign w:val="bottom"/>
          </w:tcPr>
          <w:p>
            <w:pPr>
              <w:spacing w:after="0"/>
              <w:rPr>
                <w:sz w:val="1"/>
                <w:szCs w:val="1"/>
                <w:color w:val="auto"/>
              </w:rPr>
            </w:pPr>
          </w:p>
        </w:tc>
      </w:tr>
      <w:tr>
        <w:trPr>
          <w:trHeight w:val="230"/>
        </w:trPr>
        <w:tc>
          <w:tcPr>
            <w:tcW w:w="5160" w:type="dxa"/>
            <w:vAlign w:val="bottom"/>
          </w:tcPr>
          <w:p>
            <w:pPr>
              <w:ind w:left="180"/>
              <w:spacing w:after="0" w:line="220" w:lineRule="exact"/>
              <w:rPr>
                <w:sz w:val="20"/>
                <w:szCs w:val="20"/>
                <w:color w:val="auto"/>
              </w:rPr>
            </w:pPr>
            <w:r>
              <w:rPr>
                <w:rFonts w:ascii="Arial" w:cs="Arial" w:eastAsia="Arial" w:hAnsi="Arial"/>
                <w:sz w:val="20"/>
                <w:szCs w:val="20"/>
                <w:color w:val="auto"/>
              </w:rPr>
              <w:t>Total</w:t>
            </w:r>
          </w:p>
        </w:tc>
        <w:tc>
          <w:tcPr>
            <w:tcW w:w="3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12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355,084</w:t>
            </w:r>
          </w:p>
        </w:tc>
        <w:tc>
          <w:tcPr>
            <w:tcW w:w="3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244,918</w:t>
            </w:r>
          </w:p>
        </w:tc>
        <w:tc>
          <w:tcPr>
            <w:tcW w:w="1200" w:type="dxa"/>
            <w:vAlign w:val="bottom"/>
            <w:tcBorders>
              <w:bottom w:val="single" w:sz="8" w:color="auto"/>
            </w:tcBorders>
          </w:tcPr>
          <w:p>
            <w:pPr>
              <w:jc w:val="right"/>
              <w:ind w:right="921"/>
              <w:spacing w:after="0"/>
              <w:rPr>
                <w:sz w:val="20"/>
                <w:szCs w:val="20"/>
                <w:color w:val="auto"/>
              </w:rPr>
            </w:pPr>
            <w:r>
              <w:rPr>
                <w:rFonts w:ascii="Arial" w:cs="Arial" w:eastAsia="Arial" w:hAnsi="Arial"/>
                <w:sz w:val="20"/>
                <w:szCs w:val="20"/>
                <w:color w:val="auto"/>
              </w:rPr>
              <w:t>$</w:t>
            </w:r>
          </w:p>
        </w:tc>
        <w:tc>
          <w:tcPr>
            <w:tcW w:w="3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600,002</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352" w:right="239" w:bottom="0" w:gutter="0" w:footer="0" w:header="0"/>
        </w:sectPr>
      </w:pPr>
    </w:p>
    <w:bookmarkStart w:id="8" w:name="page9"/>
    <w:bookmarkEnd w:id="8"/>
    <w:p>
      <w:pPr>
        <w:spacing w:after="0" w:line="59" w:lineRule="exact"/>
        <w:rPr>
          <w:sz w:val="20"/>
          <w:szCs w:val="20"/>
          <w:color w:val="auto"/>
        </w:rPr>
      </w:pPr>
    </w:p>
    <w:p>
      <w:pPr>
        <w:jc w:val="both"/>
        <w:ind w:right="40" w:firstLine="648"/>
        <w:spacing w:after="0" w:line="273" w:lineRule="auto"/>
        <w:rPr>
          <w:sz w:val="20"/>
          <w:szCs w:val="20"/>
          <w:color w:val="auto"/>
        </w:rPr>
      </w:pPr>
      <w:r>
        <w:rPr>
          <w:rFonts w:ascii="Arial" w:cs="Arial" w:eastAsia="Arial" w:hAnsi="Arial"/>
          <w:sz w:val="18"/>
          <w:szCs w:val="18"/>
          <w:color w:val="auto"/>
        </w:rPr>
        <w:t>All of the Company’s short-term investments are classified within Level 1 or Level 2 of the fair value hierarchy. The Company’s valuation of its Level 1 investments, which include money market funds, is based on quoted market prices in active markets for identical securities. The Company’s valuation of its Level 2 investments, which include municipal securities, commercial paper, certificates of deposit, VRDNs, U.S. Treasuries and U.S. government agency securities, is based on other observable inputs, specifically a market approach which utilizes valuation models, pricing systems, mathematical tools and other relevant information for the same or similar securities. The Company’s valuation of its Level 2 foreign currency exchange contracts is based on quoted market prices of the same or similar instruments, adjusted for counterparty risk. There were no transfers between Level 1 and Level 2 measurements during the nine-months ended September 30, 2017 or the year ended December 31, 2016, and there were no changes in the Company’s valuation techniques.</w:t>
      </w:r>
    </w:p>
    <w:p>
      <w:pPr>
        <w:spacing w:after="0" w:line="1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8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left="640" w:hanging="632"/>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DERIVATIVE INSTRUMENTS AND HEDGING ACTIVITIES</w:t>
      </w:r>
    </w:p>
    <w:p>
      <w:pPr>
        <w:spacing w:after="0" w:line="229"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9"/>
          <w:szCs w:val="19"/>
          <w:color w:val="auto"/>
        </w:rPr>
        <w:t>The Company is exposed to foreign currency exchange rate risks related primarily to its foreign business operations. During the nine-months ended September 30, 2017 and the year ended December 31, 2016, the Company entered into forward currency exchange contracts with financial institutions to create an economic hedge to specifically manage a portion of the foreign exchange risk exposure associated with certain consolidated subsidiaries’ non-functional currency denominated assets and liabilities. All foreign currency exchange contracts of the Company that were outstanding as of September 30, 2017 have terms of one month or less. The Company does not enter into forward currency exchange contracts for speculation or trading purposes.</w:t>
      </w:r>
    </w:p>
    <w:p>
      <w:pPr>
        <w:spacing w:after="0" w:line="192" w:lineRule="exact"/>
        <w:rPr>
          <w:sz w:val="20"/>
          <w:szCs w:val="20"/>
          <w:color w:val="auto"/>
        </w:rPr>
      </w:pPr>
    </w:p>
    <w:p>
      <w:pPr>
        <w:jc w:val="both"/>
        <w:ind w:right="40" w:firstLine="648"/>
        <w:spacing w:after="0" w:line="291" w:lineRule="auto"/>
        <w:rPr>
          <w:sz w:val="20"/>
          <w:szCs w:val="20"/>
          <w:color w:val="auto"/>
        </w:rPr>
      </w:pPr>
      <w:r>
        <w:rPr>
          <w:rFonts w:ascii="Arial" w:cs="Arial" w:eastAsia="Arial" w:hAnsi="Arial"/>
          <w:sz w:val="18"/>
          <w:szCs w:val="18"/>
          <w:color w:val="auto"/>
        </w:rPr>
        <w:t>The Company has not designated its foreign currency exchange contracts as hedge transactions under ASC 815. Therefore, gains and losses on the Company’s foreign currency exchange contracts are recognized in interest and other income (expense), net, in the condensed consolidated statements of income, and are largely offset by the changes in the fair value of the underlying economically hedged item.</w:t>
      </w:r>
    </w:p>
    <w:p>
      <w:pPr>
        <w:spacing w:after="0" w:line="165" w:lineRule="exact"/>
        <w:rPr>
          <w:sz w:val="20"/>
          <w:szCs w:val="20"/>
          <w:color w:val="auto"/>
        </w:rPr>
      </w:pPr>
    </w:p>
    <w:p>
      <w:pPr>
        <w:jc w:val="both"/>
        <w:ind w:right="60" w:firstLine="648"/>
        <w:spacing w:after="0" w:line="260" w:lineRule="auto"/>
        <w:rPr>
          <w:sz w:val="20"/>
          <w:szCs w:val="20"/>
          <w:color w:val="auto"/>
        </w:rPr>
      </w:pPr>
      <w:r>
        <w:rPr>
          <w:rFonts w:ascii="Arial" w:cs="Arial" w:eastAsia="Arial" w:hAnsi="Arial"/>
          <w:sz w:val="20"/>
          <w:szCs w:val="20"/>
          <w:color w:val="auto"/>
        </w:rPr>
        <w:t>The notional amount and fair value of all outstanding foreign currency derivative instruments in the condensed consolidated balance sheets consist of the following at:</w:t>
      </w:r>
    </w:p>
    <w:p>
      <w:pPr>
        <w:spacing w:after="0" w:line="190"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September 30, 2017</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260" w:type="dxa"/>
            <w:vAlign w:val="bottom"/>
            <w:tcBorders>
              <w:top w:val="single" w:sz="8" w:color="auto"/>
            </w:tcBorders>
            <w:gridSpan w:val="2"/>
          </w:tcPr>
          <w:p>
            <w:pPr>
              <w:jc w:val="center"/>
              <w:ind w:right="300"/>
              <w:spacing w:after="0" w:line="207" w:lineRule="exact"/>
              <w:rPr>
                <w:sz w:val="20"/>
                <w:szCs w:val="20"/>
                <w:color w:val="auto"/>
              </w:rPr>
            </w:pPr>
            <w:r>
              <w:rPr>
                <w:rFonts w:ascii="Arial" w:cs="Arial" w:eastAsia="Arial" w:hAnsi="Arial"/>
                <w:sz w:val="20"/>
                <w:szCs w:val="20"/>
                <w:color w:val="auto"/>
                <w:w w:val="88"/>
              </w:rPr>
              <w:t>Derivatives not designated as</w:t>
            </w:r>
          </w:p>
        </w:tc>
        <w:tc>
          <w:tcPr>
            <w:tcW w:w="2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5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5260" w:type="dxa"/>
            <w:vAlign w:val="bottom"/>
            <w:gridSpan w:val="2"/>
          </w:tcPr>
          <w:p>
            <w:pPr>
              <w:jc w:val="center"/>
              <w:ind w:right="280"/>
              <w:spacing w:after="0"/>
              <w:rPr>
                <w:sz w:val="20"/>
                <w:szCs w:val="20"/>
                <w:color w:val="auto"/>
              </w:rPr>
            </w:pPr>
            <w:r>
              <w:rPr>
                <w:rFonts w:ascii="Arial" w:cs="Arial" w:eastAsia="Arial" w:hAnsi="Arial"/>
                <w:sz w:val="20"/>
                <w:szCs w:val="20"/>
                <w:color w:val="auto"/>
                <w:w w:val="88"/>
              </w:rPr>
              <w:t>hedging instruments under</w:t>
            </w:r>
          </w:p>
        </w:tc>
        <w:tc>
          <w:tcPr>
            <w:tcW w:w="280" w:type="dxa"/>
            <w:vAlign w:val="bottom"/>
          </w:tcPr>
          <w:p>
            <w:pPr>
              <w:spacing w:after="0"/>
              <w:rPr>
                <w:sz w:val="19"/>
                <w:szCs w:val="19"/>
                <w:color w:val="auto"/>
              </w:rPr>
            </w:pPr>
          </w:p>
        </w:tc>
        <w:tc>
          <w:tcPr>
            <w:tcW w:w="1540" w:type="dxa"/>
            <w:vAlign w:val="bottom"/>
            <w:gridSpan w:val="2"/>
          </w:tcPr>
          <w:p>
            <w:pPr>
              <w:ind w:left="140"/>
              <w:spacing w:after="0"/>
              <w:rPr>
                <w:sz w:val="20"/>
                <w:szCs w:val="20"/>
                <w:color w:val="auto"/>
              </w:rPr>
            </w:pPr>
            <w:r>
              <w:rPr>
                <w:rFonts w:ascii="Arial" w:cs="Arial" w:eastAsia="Arial" w:hAnsi="Arial"/>
                <w:sz w:val="20"/>
                <w:szCs w:val="20"/>
                <w:color w:val="auto"/>
              </w:rPr>
              <w:t>Notional</w:t>
            </w:r>
          </w:p>
        </w:tc>
        <w:tc>
          <w:tcPr>
            <w:tcW w:w="320" w:type="dxa"/>
            <w:vAlign w:val="bottom"/>
          </w:tcPr>
          <w:p>
            <w:pPr>
              <w:spacing w:after="0"/>
              <w:rPr>
                <w:sz w:val="19"/>
                <w:szCs w:val="19"/>
                <w:color w:val="auto"/>
              </w:rPr>
            </w:pPr>
          </w:p>
        </w:tc>
        <w:tc>
          <w:tcPr>
            <w:tcW w:w="1080" w:type="dxa"/>
            <w:vAlign w:val="bottom"/>
          </w:tcPr>
          <w:p>
            <w:pPr>
              <w:jc w:val="right"/>
              <w:ind w:right="441"/>
              <w:spacing w:after="0"/>
              <w:rPr>
                <w:sz w:val="20"/>
                <w:szCs w:val="20"/>
                <w:color w:val="auto"/>
              </w:rPr>
            </w:pPr>
            <w:r>
              <w:rPr>
                <w:rFonts w:ascii="Arial" w:cs="Arial" w:eastAsia="Arial" w:hAnsi="Arial"/>
                <w:sz w:val="20"/>
                <w:szCs w:val="20"/>
                <w:color w:val="auto"/>
              </w:rPr>
              <w:t>Fair</w:t>
            </w: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6"/>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1"/>
              </w:rPr>
              <w:t>FASB ASC 815-20</w:t>
            </w:r>
          </w:p>
        </w:tc>
        <w:tc>
          <w:tcPr>
            <w:tcW w:w="3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42"/>
              <w:spacing w:after="0"/>
              <w:rPr>
                <w:sz w:val="20"/>
                <w:szCs w:val="20"/>
                <w:color w:val="auto"/>
              </w:rPr>
            </w:pPr>
            <w:r>
              <w:rPr>
                <w:rFonts w:ascii="Arial" w:cs="Arial" w:eastAsia="Arial" w:hAnsi="Arial"/>
                <w:sz w:val="20"/>
                <w:szCs w:val="20"/>
                <w:color w:val="auto"/>
              </w:rPr>
              <w:t>Amount</w:t>
            </w:r>
          </w:p>
        </w:tc>
        <w:tc>
          <w:tcPr>
            <w:tcW w:w="3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Value</w:t>
            </w:r>
          </w:p>
        </w:tc>
        <w:tc>
          <w:tcPr>
            <w:tcW w:w="280" w:type="dxa"/>
            <w:vAlign w:val="bottom"/>
          </w:tcPr>
          <w:p>
            <w:pPr>
              <w:spacing w:after="0"/>
              <w:rPr>
                <w:sz w:val="21"/>
                <w:szCs w:val="21"/>
                <w:color w:val="auto"/>
              </w:rPr>
            </w:pPr>
          </w:p>
        </w:tc>
        <w:tc>
          <w:tcPr>
            <w:tcW w:w="2560" w:type="dxa"/>
            <w:vAlign w:val="bottom"/>
            <w:tcBorders>
              <w:bottom w:val="single" w:sz="8" w:color="auto"/>
            </w:tcBorders>
          </w:tcPr>
          <w:p>
            <w:pPr>
              <w:ind w:left="340"/>
              <w:spacing w:after="0"/>
              <w:rPr>
                <w:sz w:val="20"/>
                <w:szCs w:val="20"/>
                <w:color w:val="auto"/>
              </w:rPr>
            </w:pPr>
            <w:r>
              <w:rPr>
                <w:rFonts w:ascii="Arial" w:cs="Arial" w:eastAsia="Arial" w:hAnsi="Arial"/>
                <w:sz w:val="20"/>
                <w:szCs w:val="20"/>
                <w:color w:val="auto"/>
              </w:rPr>
              <w:t>Balance Sheet Location</w:t>
            </w:r>
          </w:p>
        </w:tc>
        <w:tc>
          <w:tcPr>
            <w:tcW w:w="140" w:type="dxa"/>
            <w:vAlign w:val="bottom"/>
          </w:tcPr>
          <w:p>
            <w:pPr>
              <w:spacing w:after="0"/>
              <w:rPr>
                <w:sz w:val="21"/>
                <w:szCs w:val="21"/>
                <w:color w:val="auto"/>
              </w:rPr>
            </w:pPr>
          </w:p>
        </w:tc>
      </w:tr>
      <w:tr>
        <w:trPr>
          <w:trHeight w:val="287"/>
        </w:trPr>
        <w:tc>
          <w:tcPr>
            <w:tcW w:w="5260" w:type="dxa"/>
            <w:vAlign w:val="bottom"/>
            <w:gridSpan w:val="2"/>
          </w:tcPr>
          <w:p>
            <w:pPr>
              <w:spacing w:after="0"/>
              <w:rPr>
                <w:sz w:val="20"/>
                <w:szCs w:val="20"/>
                <w:color w:val="auto"/>
              </w:rPr>
            </w:pPr>
            <w:r>
              <w:rPr>
                <w:rFonts w:ascii="Arial" w:cs="Arial" w:eastAsia="Arial" w:hAnsi="Arial"/>
                <w:sz w:val="20"/>
                <w:szCs w:val="20"/>
                <w:color w:val="auto"/>
              </w:rPr>
              <w:t>Assets:</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0"/>
        </w:trPr>
        <w:tc>
          <w:tcPr>
            <w:tcW w:w="5260" w:type="dxa"/>
            <w:vAlign w:val="bottom"/>
            <w:gridSpan w:val="2"/>
          </w:tcPr>
          <w:p>
            <w:pPr>
              <w:ind w:left="320"/>
              <w:spacing w:after="0"/>
              <w:rPr>
                <w:sz w:val="20"/>
                <w:szCs w:val="20"/>
                <w:color w:val="auto"/>
              </w:rPr>
            </w:pPr>
            <w:r>
              <w:rPr>
                <w:rFonts w:ascii="Arial" w:cs="Arial" w:eastAsia="Arial" w:hAnsi="Arial"/>
                <w:sz w:val="20"/>
                <w:szCs w:val="20"/>
                <w:color w:val="auto"/>
              </w:rPr>
              <w:t>Foreign currency exchange contracts:</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5260" w:type="dxa"/>
            <w:vAlign w:val="bottom"/>
            <w:gridSpan w:val="2"/>
          </w:tcPr>
          <w:p>
            <w:pPr>
              <w:ind w:left="900"/>
              <w:spacing w:after="0"/>
              <w:rPr>
                <w:sz w:val="20"/>
                <w:szCs w:val="20"/>
                <w:color w:val="auto"/>
              </w:rPr>
            </w:pPr>
            <w:r>
              <w:rPr>
                <w:rFonts w:ascii="Arial" w:cs="Arial" w:eastAsia="Arial" w:hAnsi="Arial"/>
                <w:sz w:val="20"/>
                <w:szCs w:val="20"/>
                <w:color w:val="auto"/>
              </w:rPr>
              <w:t>Receive USD/pay GBP</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1240" w:type="dxa"/>
            <w:vAlign w:val="bottom"/>
          </w:tcPr>
          <w:p>
            <w:pPr>
              <w:jc w:val="right"/>
              <w:ind w:right="2"/>
              <w:spacing w:after="0"/>
              <w:rPr>
                <w:sz w:val="20"/>
                <w:szCs w:val="20"/>
                <w:color w:val="auto"/>
              </w:rPr>
            </w:pPr>
            <w:r>
              <w:rPr>
                <w:rFonts w:ascii="Arial" w:cs="Arial" w:eastAsia="Arial" w:hAnsi="Arial"/>
                <w:sz w:val="20"/>
                <w:szCs w:val="20"/>
                <w:color w:val="auto"/>
              </w:rPr>
              <w:t>31,067</w:t>
            </w:r>
          </w:p>
        </w:tc>
        <w:tc>
          <w:tcPr>
            <w:tcW w:w="300" w:type="dxa"/>
            <w:vAlign w:val="bottom"/>
          </w:tcPr>
          <w:p>
            <w:pPr>
              <w:spacing w:after="0"/>
              <w:rPr>
                <w:sz w:val="19"/>
                <w:szCs w:val="19"/>
                <w:color w:val="auto"/>
              </w:rPr>
            </w:pPr>
          </w:p>
        </w:tc>
        <w:tc>
          <w:tcPr>
            <w:tcW w:w="32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1"/>
              <w:spacing w:after="0"/>
              <w:rPr>
                <w:sz w:val="20"/>
                <w:szCs w:val="20"/>
                <w:color w:val="auto"/>
              </w:rPr>
            </w:pPr>
            <w:r>
              <w:rPr>
                <w:rFonts w:ascii="Arial" w:cs="Arial" w:eastAsia="Arial" w:hAnsi="Arial"/>
                <w:sz w:val="20"/>
                <w:szCs w:val="20"/>
                <w:color w:val="auto"/>
              </w:rPr>
              <w:t>74</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Accounts receivable, net</w:t>
            </w:r>
          </w:p>
        </w:tc>
        <w:tc>
          <w:tcPr>
            <w:tcW w:w="140" w:type="dxa"/>
            <w:vAlign w:val="bottom"/>
          </w:tcPr>
          <w:p>
            <w:pPr>
              <w:spacing w:after="0"/>
              <w:rPr>
                <w:sz w:val="19"/>
                <w:szCs w:val="19"/>
                <w:color w:val="auto"/>
              </w:rPr>
            </w:pPr>
          </w:p>
        </w:tc>
      </w:tr>
      <w:tr>
        <w:trPr>
          <w:trHeight w:val="230"/>
        </w:trPr>
        <w:tc>
          <w:tcPr>
            <w:tcW w:w="5260" w:type="dxa"/>
            <w:vAlign w:val="bottom"/>
            <w:gridSpan w:val="2"/>
          </w:tcPr>
          <w:p>
            <w:pPr>
              <w:ind w:left="900"/>
              <w:spacing w:after="0"/>
              <w:rPr>
                <w:sz w:val="20"/>
                <w:szCs w:val="20"/>
                <w:color w:val="auto"/>
              </w:rPr>
            </w:pPr>
            <w:r>
              <w:rPr>
                <w:rFonts w:ascii="Arial" w:cs="Arial" w:eastAsia="Arial" w:hAnsi="Arial"/>
                <w:sz w:val="20"/>
                <w:szCs w:val="20"/>
                <w:color w:val="auto"/>
              </w:rPr>
              <w:t>Receive USD/pay ZAR</w:t>
            </w:r>
          </w:p>
        </w:tc>
        <w:tc>
          <w:tcPr>
            <w:tcW w:w="280" w:type="dxa"/>
            <w:vAlign w:val="bottom"/>
          </w:tcPr>
          <w:p>
            <w:pPr>
              <w:spacing w:after="0"/>
              <w:rPr>
                <w:sz w:val="19"/>
                <w:szCs w:val="19"/>
                <w:color w:val="auto"/>
              </w:rPr>
            </w:pPr>
          </w:p>
        </w:tc>
        <w:tc>
          <w:tcPr>
            <w:tcW w:w="1240" w:type="dxa"/>
            <w:vAlign w:val="bottom"/>
          </w:tcPr>
          <w:p>
            <w:pPr>
              <w:jc w:val="right"/>
              <w:ind w:right="2"/>
              <w:spacing w:after="0"/>
              <w:rPr>
                <w:sz w:val="20"/>
                <w:szCs w:val="20"/>
                <w:color w:val="auto"/>
              </w:rPr>
            </w:pPr>
            <w:r>
              <w:rPr>
                <w:rFonts w:ascii="Arial" w:cs="Arial" w:eastAsia="Arial" w:hAnsi="Arial"/>
                <w:sz w:val="20"/>
                <w:szCs w:val="20"/>
                <w:color w:val="auto"/>
              </w:rPr>
              <w:t>20,121</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20"/>
                <w:szCs w:val="20"/>
                <w:color w:val="auto"/>
              </w:rPr>
              <w:t>27</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Accounts receivable, net</w:t>
            </w:r>
          </w:p>
        </w:tc>
        <w:tc>
          <w:tcPr>
            <w:tcW w:w="140" w:type="dxa"/>
            <w:vAlign w:val="bottom"/>
          </w:tcPr>
          <w:p>
            <w:pPr>
              <w:spacing w:after="0"/>
              <w:rPr>
                <w:sz w:val="19"/>
                <w:szCs w:val="19"/>
                <w:color w:val="auto"/>
              </w:rPr>
            </w:pPr>
          </w:p>
        </w:tc>
      </w:tr>
      <w:tr>
        <w:trPr>
          <w:trHeight w:val="230"/>
        </w:trPr>
        <w:tc>
          <w:tcPr>
            <w:tcW w:w="5260" w:type="dxa"/>
            <w:vAlign w:val="bottom"/>
            <w:gridSpan w:val="2"/>
          </w:tcPr>
          <w:p>
            <w:pPr>
              <w:ind w:left="900"/>
              <w:spacing w:after="0"/>
              <w:rPr>
                <w:sz w:val="20"/>
                <w:szCs w:val="20"/>
                <w:color w:val="auto"/>
              </w:rPr>
            </w:pPr>
            <w:r>
              <w:rPr>
                <w:rFonts w:ascii="Arial" w:cs="Arial" w:eastAsia="Arial" w:hAnsi="Arial"/>
                <w:sz w:val="20"/>
                <w:szCs w:val="20"/>
                <w:color w:val="auto"/>
              </w:rPr>
              <w:t>Receive USD/pay MXN</w:t>
            </w:r>
          </w:p>
        </w:tc>
        <w:tc>
          <w:tcPr>
            <w:tcW w:w="280" w:type="dxa"/>
            <w:vAlign w:val="bottom"/>
          </w:tcPr>
          <w:p>
            <w:pPr>
              <w:spacing w:after="0"/>
              <w:rPr>
                <w:sz w:val="19"/>
                <w:szCs w:val="19"/>
                <w:color w:val="auto"/>
              </w:rPr>
            </w:pPr>
          </w:p>
        </w:tc>
        <w:tc>
          <w:tcPr>
            <w:tcW w:w="1240" w:type="dxa"/>
            <w:vAlign w:val="bottom"/>
          </w:tcPr>
          <w:p>
            <w:pPr>
              <w:jc w:val="right"/>
              <w:ind w:right="2"/>
              <w:spacing w:after="0"/>
              <w:rPr>
                <w:sz w:val="20"/>
                <w:szCs w:val="20"/>
                <w:color w:val="auto"/>
              </w:rPr>
            </w:pPr>
            <w:r>
              <w:rPr>
                <w:rFonts w:ascii="Arial" w:cs="Arial" w:eastAsia="Arial" w:hAnsi="Arial"/>
                <w:sz w:val="20"/>
                <w:szCs w:val="20"/>
                <w:color w:val="auto"/>
              </w:rPr>
              <w:t>12,673</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20"/>
                <w:szCs w:val="20"/>
                <w:color w:val="auto"/>
              </w:rPr>
              <w:t>52</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Accounts receivable, net</w:t>
            </w:r>
          </w:p>
        </w:tc>
        <w:tc>
          <w:tcPr>
            <w:tcW w:w="140" w:type="dxa"/>
            <w:vAlign w:val="bottom"/>
          </w:tcPr>
          <w:p>
            <w:pPr>
              <w:spacing w:after="0"/>
              <w:rPr>
                <w:sz w:val="19"/>
                <w:szCs w:val="19"/>
                <w:color w:val="auto"/>
              </w:rPr>
            </w:pPr>
          </w:p>
        </w:tc>
      </w:tr>
      <w:tr>
        <w:trPr>
          <w:trHeight w:val="230"/>
        </w:trPr>
        <w:tc>
          <w:tcPr>
            <w:tcW w:w="5260" w:type="dxa"/>
            <w:vAlign w:val="bottom"/>
            <w:gridSpan w:val="2"/>
          </w:tcPr>
          <w:p>
            <w:pPr>
              <w:ind w:left="900"/>
              <w:spacing w:after="0"/>
              <w:rPr>
                <w:sz w:val="20"/>
                <w:szCs w:val="20"/>
                <w:color w:val="auto"/>
              </w:rPr>
            </w:pPr>
            <w:r>
              <w:rPr>
                <w:rFonts w:ascii="Arial" w:cs="Arial" w:eastAsia="Arial" w:hAnsi="Arial"/>
                <w:sz w:val="20"/>
                <w:szCs w:val="20"/>
                <w:color w:val="auto"/>
              </w:rPr>
              <w:t>Receive USD/pay NZD</w:t>
            </w:r>
          </w:p>
        </w:tc>
        <w:tc>
          <w:tcPr>
            <w:tcW w:w="280" w:type="dxa"/>
            <w:vAlign w:val="bottom"/>
          </w:tcPr>
          <w:p>
            <w:pPr>
              <w:spacing w:after="0"/>
              <w:rPr>
                <w:sz w:val="19"/>
                <w:szCs w:val="19"/>
                <w:color w:val="auto"/>
              </w:rPr>
            </w:pPr>
          </w:p>
        </w:tc>
        <w:tc>
          <w:tcPr>
            <w:tcW w:w="1240" w:type="dxa"/>
            <w:vAlign w:val="bottom"/>
          </w:tcPr>
          <w:p>
            <w:pPr>
              <w:jc w:val="right"/>
              <w:ind w:right="2"/>
              <w:spacing w:after="0"/>
              <w:rPr>
                <w:sz w:val="20"/>
                <w:szCs w:val="20"/>
                <w:color w:val="auto"/>
              </w:rPr>
            </w:pPr>
            <w:r>
              <w:rPr>
                <w:rFonts w:ascii="Arial" w:cs="Arial" w:eastAsia="Arial" w:hAnsi="Arial"/>
                <w:sz w:val="20"/>
                <w:szCs w:val="20"/>
                <w:color w:val="auto"/>
              </w:rPr>
              <w:t>1,665</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20"/>
                <w:szCs w:val="20"/>
                <w:color w:val="auto"/>
              </w:rPr>
              <w:t>5</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Accounts receivable, net</w:t>
            </w:r>
          </w:p>
        </w:tc>
        <w:tc>
          <w:tcPr>
            <w:tcW w:w="140" w:type="dxa"/>
            <w:vAlign w:val="bottom"/>
          </w:tcPr>
          <w:p>
            <w:pPr>
              <w:spacing w:after="0"/>
              <w:rPr>
                <w:sz w:val="19"/>
                <w:szCs w:val="19"/>
                <w:color w:val="auto"/>
              </w:rPr>
            </w:pPr>
          </w:p>
        </w:tc>
      </w:tr>
      <w:tr>
        <w:trPr>
          <w:trHeight w:val="230"/>
        </w:trPr>
        <w:tc>
          <w:tcPr>
            <w:tcW w:w="5260" w:type="dxa"/>
            <w:vAlign w:val="bottom"/>
            <w:gridSpan w:val="2"/>
          </w:tcPr>
          <w:p>
            <w:pPr>
              <w:ind w:left="900"/>
              <w:spacing w:after="0"/>
              <w:rPr>
                <w:sz w:val="20"/>
                <w:szCs w:val="20"/>
                <w:color w:val="auto"/>
              </w:rPr>
            </w:pPr>
            <w:r>
              <w:rPr>
                <w:rFonts w:ascii="Arial" w:cs="Arial" w:eastAsia="Arial" w:hAnsi="Arial"/>
                <w:sz w:val="20"/>
                <w:szCs w:val="20"/>
                <w:color w:val="auto"/>
              </w:rPr>
              <w:t>Receive USD/pay SEK</w:t>
            </w:r>
          </w:p>
        </w:tc>
        <w:tc>
          <w:tcPr>
            <w:tcW w:w="280" w:type="dxa"/>
            <w:vAlign w:val="bottom"/>
          </w:tcPr>
          <w:p>
            <w:pPr>
              <w:spacing w:after="0"/>
              <w:rPr>
                <w:sz w:val="19"/>
                <w:szCs w:val="19"/>
                <w:color w:val="auto"/>
              </w:rPr>
            </w:pPr>
          </w:p>
        </w:tc>
        <w:tc>
          <w:tcPr>
            <w:tcW w:w="1240" w:type="dxa"/>
            <w:vAlign w:val="bottom"/>
          </w:tcPr>
          <w:p>
            <w:pPr>
              <w:jc w:val="right"/>
              <w:ind w:right="2"/>
              <w:spacing w:after="0"/>
              <w:rPr>
                <w:sz w:val="20"/>
                <w:szCs w:val="20"/>
                <w:color w:val="auto"/>
              </w:rPr>
            </w:pPr>
            <w:r>
              <w:rPr>
                <w:rFonts w:ascii="Arial" w:cs="Arial" w:eastAsia="Arial" w:hAnsi="Arial"/>
                <w:sz w:val="20"/>
                <w:szCs w:val="20"/>
                <w:color w:val="auto"/>
              </w:rPr>
              <w:t>1,405</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20"/>
                <w:szCs w:val="20"/>
                <w:color w:val="auto"/>
              </w:rPr>
              <w:t>4</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Accounts receivable, net</w:t>
            </w:r>
          </w:p>
        </w:tc>
        <w:tc>
          <w:tcPr>
            <w:tcW w:w="140" w:type="dxa"/>
            <w:vAlign w:val="bottom"/>
          </w:tcPr>
          <w:p>
            <w:pPr>
              <w:spacing w:after="0"/>
              <w:rPr>
                <w:sz w:val="19"/>
                <w:szCs w:val="19"/>
                <w:color w:val="auto"/>
              </w:rPr>
            </w:pPr>
          </w:p>
        </w:tc>
      </w:tr>
      <w:tr>
        <w:trPr>
          <w:trHeight w:val="250"/>
        </w:trPr>
        <w:tc>
          <w:tcPr>
            <w:tcW w:w="5260" w:type="dxa"/>
            <w:vAlign w:val="bottom"/>
            <w:gridSpan w:val="2"/>
          </w:tcPr>
          <w:p>
            <w:pPr>
              <w:ind w:left="900"/>
              <w:spacing w:after="0"/>
              <w:rPr>
                <w:sz w:val="20"/>
                <w:szCs w:val="20"/>
                <w:color w:val="auto"/>
              </w:rPr>
            </w:pPr>
            <w:r>
              <w:rPr>
                <w:rFonts w:ascii="Arial" w:cs="Arial" w:eastAsia="Arial" w:hAnsi="Arial"/>
                <w:sz w:val="20"/>
                <w:szCs w:val="20"/>
                <w:color w:val="auto"/>
              </w:rPr>
              <w:t>Receive USD/pay CLP</w:t>
            </w:r>
          </w:p>
        </w:tc>
        <w:tc>
          <w:tcPr>
            <w:tcW w:w="280" w:type="dxa"/>
            <w:vAlign w:val="bottom"/>
          </w:tcPr>
          <w:p>
            <w:pPr>
              <w:spacing w:after="0"/>
              <w:rPr>
                <w:sz w:val="21"/>
                <w:szCs w:val="21"/>
                <w:color w:val="auto"/>
              </w:rPr>
            </w:pPr>
          </w:p>
        </w:tc>
        <w:tc>
          <w:tcPr>
            <w:tcW w:w="1240" w:type="dxa"/>
            <w:vAlign w:val="bottom"/>
          </w:tcPr>
          <w:p>
            <w:pPr>
              <w:jc w:val="right"/>
              <w:ind w:right="2"/>
              <w:spacing w:after="0"/>
              <w:rPr>
                <w:sz w:val="20"/>
                <w:szCs w:val="20"/>
                <w:color w:val="auto"/>
              </w:rPr>
            </w:pPr>
            <w:r>
              <w:rPr>
                <w:rFonts w:ascii="Arial" w:cs="Arial" w:eastAsia="Arial" w:hAnsi="Arial"/>
                <w:sz w:val="20"/>
                <w:szCs w:val="20"/>
                <w:color w:val="auto"/>
              </w:rPr>
              <w:t>4,316</w:t>
            </w: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
              <w:spacing w:after="0"/>
              <w:rPr>
                <w:sz w:val="20"/>
                <w:szCs w:val="20"/>
                <w:color w:val="auto"/>
              </w:rPr>
            </w:pPr>
            <w:r>
              <w:rPr>
                <w:rFonts w:ascii="Arial" w:cs="Arial" w:eastAsia="Arial" w:hAnsi="Arial"/>
                <w:sz w:val="20"/>
                <w:szCs w:val="20"/>
                <w:color w:val="auto"/>
              </w:rPr>
              <w:t>12</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Accounts receivable, net</w:t>
            </w:r>
          </w:p>
        </w:tc>
        <w:tc>
          <w:tcPr>
            <w:tcW w:w="140" w:type="dxa"/>
            <w:vAlign w:val="bottom"/>
          </w:tcPr>
          <w:p>
            <w:pPr>
              <w:spacing w:after="0"/>
              <w:rPr>
                <w:sz w:val="21"/>
                <w:szCs w:val="21"/>
                <w:color w:val="auto"/>
              </w:rPr>
            </w:pPr>
          </w:p>
        </w:tc>
      </w:tr>
      <w:tr>
        <w:trPr>
          <w:trHeight w:val="668"/>
        </w:trPr>
        <w:tc>
          <w:tcPr>
            <w:tcW w:w="5260" w:type="dxa"/>
            <w:vAlign w:val="bottom"/>
            <w:gridSpan w:val="2"/>
          </w:tcPr>
          <w:p>
            <w:pPr>
              <w:ind w:left="20"/>
              <w:spacing w:after="0"/>
              <w:rPr>
                <w:sz w:val="20"/>
                <w:szCs w:val="20"/>
                <w:color w:val="auto"/>
              </w:rPr>
            </w:pPr>
            <w:r>
              <w:rPr>
                <w:rFonts w:ascii="Arial" w:cs="Arial" w:eastAsia="Arial" w:hAnsi="Arial"/>
                <w:sz w:val="20"/>
                <w:szCs w:val="20"/>
                <w:color w:val="auto"/>
              </w:rPr>
              <w:t>Liabilities:</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0"/>
        </w:trPr>
        <w:tc>
          <w:tcPr>
            <w:tcW w:w="5260" w:type="dxa"/>
            <w:vAlign w:val="bottom"/>
            <w:gridSpan w:val="2"/>
          </w:tcPr>
          <w:p>
            <w:pPr>
              <w:ind w:left="320"/>
              <w:spacing w:after="0"/>
              <w:rPr>
                <w:sz w:val="20"/>
                <w:szCs w:val="20"/>
                <w:color w:val="auto"/>
              </w:rPr>
            </w:pPr>
            <w:r>
              <w:rPr>
                <w:rFonts w:ascii="Arial" w:cs="Arial" w:eastAsia="Arial" w:hAnsi="Arial"/>
                <w:sz w:val="20"/>
                <w:szCs w:val="20"/>
                <w:color w:val="auto"/>
              </w:rPr>
              <w:t>Foreign currency exchange contracts:</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5260" w:type="dxa"/>
            <w:vAlign w:val="bottom"/>
            <w:gridSpan w:val="2"/>
          </w:tcPr>
          <w:p>
            <w:pPr>
              <w:ind w:left="900"/>
              <w:spacing w:after="0"/>
              <w:rPr>
                <w:sz w:val="20"/>
                <w:szCs w:val="20"/>
                <w:color w:val="auto"/>
              </w:rPr>
            </w:pPr>
            <w:r>
              <w:rPr>
                <w:rFonts w:ascii="Arial" w:cs="Arial" w:eastAsia="Arial" w:hAnsi="Arial"/>
                <w:sz w:val="20"/>
                <w:szCs w:val="20"/>
                <w:color w:val="auto"/>
              </w:rPr>
              <w:t>Receive USD/pay EUR</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1240" w:type="dxa"/>
            <w:vAlign w:val="bottom"/>
          </w:tcPr>
          <w:p>
            <w:pPr>
              <w:jc w:val="right"/>
              <w:ind w:right="2"/>
              <w:spacing w:after="0"/>
              <w:rPr>
                <w:sz w:val="20"/>
                <w:szCs w:val="20"/>
                <w:color w:val="auto"/>
              </w:rPr>
            </w:pPr>
            <w:r>
              <w:rPr>
                <w:rFonts w:ascii="Arial" w:cs="Arial" w:eastAsia="Arial" w:hAnsi="Arial"/>
                <w:sz w:val="20"/>
                <w:szCs w:val="20"/>
                <w:color w:val="auto"/>
              </w:rPr>
              <w:t>112,406</w:t>
            </w:r>
          </w:p>
        </w:tc>
        <w:tc>
          <w:tcPr>
            <w:tcW w:w="300" w:type="dxa"/>
            <w:vAlign w:val="bottom"/>
          </w:tcPr>
          <w:p>
            <w:pPr>
              <w:spacing w:after="0"/>
              <w:rPr>
                <w:sz w:val="19"/>
                <w:szCs w:val="19"/>
                <w:color w:val="auto"/>
              </w:rPr>
            </w:pPr>
          </w:p>
        </w:tc>
        <w:tc>
          <w:tcPr>
            <w:tcW w:w="32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(434)</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Accrued liabilities</w:t>
            </w:r>
          </w:p>
        </w:tc>
        <w:tc>
          <w:tcPr>
            <w:tcW w:w="140" w:type="dxa"/>
            <w:vAlign w:val="bottom"/>
          </w:tcPr>
          <w:p>
            <w:pPr>
              <w:spacing w:after="0"/>
              <w:rPr>
                <w:sz w:val="19"/>
                <w:szCs w:val="19"/>
                <w:color w:val="auto"/>
              </w:rPr>
            </w:pPr>
          </w:p>
        </w:tc>
      </w:tr>
      <w:tr>
        <w:trPr>
          <w:trHeight w:val="230"/>
        </w:trPr>
        <w:tc>
          <w:tcPr>
            <w:tcW w:w="5260" w:type="dxa"/>
            <w:vAlign w:val="bottom"/>
            <w:gridSpan w:val="2"/>
          </w:tcPr>
          <w:p>
            <w:pPr>
              <w:ind w:left="900"/>
              <w:spacing w:after="0"/>
              <w:rPr>
                <w:sz w:val="20"/>
                <w:szCs w:val="20"/>
                <w:color w:val="auto"/>
              </w:rPr>
            </w:pPr>
            <w:r>
              <w:rPr>
                <w:rFonts w:ascii="Arial" w:cs="Arial" w:eastAsia="Arial" w:hAnsi="Arial"/>
                <w:sz w:val="20"/>
                <w:szCs w:val="20"/>
                <w:color w:val="auto"/>
              </w:rPr>
              <w:t>Receive USD/pay AUD</w:t>
            </w:r>
          </w:p>
        </w:tc>
        <w:tc>
          <w:tcPr>
            <w:tcW w:w="280" w:type="dxa"/>
            <w:vAlign w:val="bottom"/>
          </w:tcPr>
          <w:p>
            <w:pPr>
              <w:spacing w:after="0"/>
              <w:rPr>
                <w:sz w:val="19"/>
                <w:szCs w:val="19"/>
                <w:color w:val="auto"/>
              </w:rPr>
            </w:pPr>
          </w:p>
        </w:tc>
        <w:tc>
          <w:tcPr>
            <w:tcW w:w="1240" w:type="dxa"/>
            <w:vAlign w:val="bottom"/>
          </w:tcPr>
          <w:p>
            <w:pPr>
              <w:jc w:val="right"/>
              <w:ind w:right="2"/>
              <w:spacing w:after="0"/>
              <w:rPr>
                <w:sz w:val="20"/>
                <w:szCs w:val="20"/>
                <w:color w:val="auto"/>
              </w:rPr>
            </w:pPr>
            <w:r>
              <w:rPr>
                <w:rFonts w:ascii="Arial" w:cs="Arial" w:eastAsia="Arial" w:hAnsi="Arial"/>
                <w:sz w:val="20"/>
                <w:szCs w:val="20"/>
                <w:color w:val="auto"/>
              </w:rPr>
              <w:t>21,644</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Accrued liabilities</w:t>
            </w:r>
          </w:p>
        </w:tc>
        <w:tc>
          <w:tcPr>
            <w:tcW w:w="140" w:type="dxa"/>
            <w:vAlign w:val="bottom"/>
          </w:tcPr>
          <w:p>
            <w:pPr>
              <w:spacing w:after="0"/>
              <w:rPr>
                <w:sz w:val="19"/>
                <w:szCs w:val="19"/>
                <w:color w:val="auto"/>
              </w:rPr>
            </w:pPr>
          </w:p>
        </w:tc>
      </w:tr>
      <w:tr>
        <w:trPr>
          <w:trHeight w:val="230"/>
        </w:trPr>
        <w:tc>
          <w:tcPr>
            <w:tcW w:w="5260" w:type="dxa"/>
            <w:vAlign w:val="bottom"/>
            <w:gridSpan w:val="2"/>
          </w:tcPr>
          <w:p>
            <w:pPr>
              <w:ind w:left="900"/>
              <w:spacing w:after="0"/>
              <w:rPr>
                <w:sz w:val="20"/>
                <w:szCs w:val="20"/>
                <w:color w:val="auto"/>
              </w:rPr>
            </w:pPr>
            <w:r>
              <w:rPr>
                <w:rFonts w:ascii="Arial" w:cs="Arial" w:eastAsia="Arial" w:hAnsi="Arial"/>
                <w:sz w:val="20"/>
                <w:szCs w:val="20"/>
                <w:color w:val="auto"/>
              </w:rPr>
              <w:t>Receive CAD/pay USD</w:t>
            </w:r>
          </w:p>
        </w:tc>
        <w:tc>
          <w:tcPr>
            <w:tcW w:w="280" w:type="dxa"/>
            <w:vAlign w:val="bottom"/>
          </w:tcPr>
          <w:p>
            <w:pPr>
              <w:spacing w:after="0"/>
              <w:rPr>
                <w:sz w:val="19"/>
                <w:szCs w:val="19"/>
                <w:color w:val="auto"/>
              </w:rPr>
            </w:pPr>
          </w:p>
        </w:tc>
        <w:tc>
          <w:tcPr>
            <w:tcW w:w="1240" w:type="dxa"/>
            <w:vAlign w:val="bottom"/>
          </w:tcPr>
          <w:p>
            <w:pPr>
              <w:jc w:val="right"/>
              <w:ind w:right="2"/>
              <w:spacing w:after="0"/>
              <w:rPr>
                <w:sz w:val="20"/>
                <w:szCs w:val="20"/>
                <w:color w:val="auto"/>
              </w:rPr>
            </w:pPr>
            <w:r>
              <w:rPr>
                <w:rFonts w:ascii="Arial" w:cs="Arial" w:eastAsia="Arial" w:hAnsi="Arial"/>
                <w:sz w:val="20"/>
                <w:szCs w:val="20"/>
                <w:color w:val="auto"/>
              </w:rPr>
              <w:t>11,269</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(38)</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Accrued liabilities</w:t>
            </w:r>
          </w:p>
        </w:tc>
        <w:tc>
          <w:tcPr>
            <w:tcW w:w="140" w:type="dxa"/>
            <w:vAlign w:val="bottom"/>
          </w:tcPr>
          <w:p>
            <w:pPr>
              <w:spacing w:after="0"/>
              <w:rPr>
                <w:sz w:val="19"/>
                <w:szCs w:val="19"/>
                <w:color w:val="auto"/>
              </w:rPr>
            </w:pPr>
          </w:p>
        </w:tc>
      </w:tr>
      <w:tr>
        <w:trPr>
          <w:trHeight w:val="230"/>
        </w:trPr>
        <w:tc>
          <w:tcPr>
            <w:tcW w:w="5260" w:type="dxa"/>
            <w:vAlign w:val="bottom"/>
            <w:gridSpan w:val="2"/>
          </w:tcPr>
          <w:p>
            <w:pPr>
              <w:ind w:left="900"/>
              <w:spacing w:after="0"/>
              <w:rPr>
                <w:sz w:val="20"/>
                <w:szCs w:val="20"/>
                <w:color w:val="auto"/>
              </w:rPr>
            </w:pPr>
            <w:r>
              <w:rPr>
                <w:rFonts w:ascii="Arial" w:cs="Arial" w:eastAsia="Arial" w:hAnsi="Arial"/>
                <w:sz w:val="20"/>
                <w:szCs w:val="20"/>
                <w:color w:val="auto"/>
              </w:rPr>
              <w:t>Receive SGD/pay USD</w:t>
            </w:r>
          </w:p>
        </w:tc>
        <w:tc>
          <w:tcPr>
            <w:tcW w:w="280" w:type="dxa"/>
            <w:vAlign w:val="bottom"/>
          </w:tcPr>
          <w:p>
            <w:pPr>
              <w:spacing w:after="0"/>
              <w:rPr>
                <w:sz w:val="19"/>
                <w:szCs w:val="19"/>
                <w:color w:val="auto"/>
              </w:rPr>
            </w:pPr>
          </w:p>
        </w:tc>
        <w:tc>
          <w:tcPr>
            <w:tcW w:w="1240" w:type="dxa"/>
            <w:vAlign w:val="bottom"/>
          </w:tcPr>
          <w:p>
            <w:pPr>
              <w:jc w:val="right"/>
              <w:ind w:right="2"/>
              <w:spacing w:after="0"/>
              <w:rPr>
                <w:sz w:val="20"/>
                <w:szCs w:val="20"/>
                <w:color w:val="auto"/>
              </w:rPr>
            </w:pPr>
            <w:r>
              <w:rPr>
                <w:rFonts w:ascii="Arial" w:cs="Arial" w:eastAsia="Arial" w:hAnsi="Arial"/>
                <w:sz w:val="20"/>
                <w:szCs w:val="20"/>
                <w:color w:val="auto"/>
              </w:rPr>
              <w:t>3,770</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(8)</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Accrued liabilities</w:t>
            </w:r>
          </w:p>
        </w:tc>
        <w:tc>
          <w:tcPr>
            <w:tcW w:w="140" w:type="dxa"/>
            <w:vAlign w:val="bottom"/>
          </w:tcPr>
          <w:p>
            <w:pPr>
              <w:spacing w:after="0"/>
              <w:rPr>
                <w:sz w:val="19"/>
                <w:szCs w:val="19"/>
                <w:color w:val="auto"/>
              </w:rPr>
            </w:pPr>
          </w:p>
        </w:tc>
      </w:tr>
      <w:tr>
        <w:trPr>
          <w:trHeight w:val="230"/>
        </w:trPr>
        <w:tc>
          <w:tcPr>
            <w:tcW w:w="5260" w:type="dxa"/>
            <w:vAlign w:val="bottom"/>
            <w:gridSpan w:val="2"/>
          </w:tcPr>
          <w:p>
            <w:pPr>
              <w:ind w:left="900"/>
              <w:spacing w:after="0"/>
              <w:rPr>
                <w:sz w:val="20"/>
                <w:szCs w:val="20"/>
                <w:color w:val="auto"/>
              </w:rPr>
            </w:pPr>
            <w:r>
              <w:rPr>
                <w:rFonts w:ascii="Arial" w:cs="Arial" w:eastAsia="Arial" w:hAnsi="Arial"/>
                <w:sz w:val="20"/>
                <w:szCs w:val="20"/>
                <w:color w:val="auto"/>
              </w:rPr>
              <w:t>Receive USD/pay TRY</w:t>
            </w:r>
          </w:p>
        </w:tc>
        <w:tc>
          <w:tcPr>
            <w:tcW w:w="280" w:type="dxa"/>
            <w:vAlign w:val="bottom"/>
          </w:tcPr>
          <w:p>
            <w:pPr>
              <w:spacing w:after="0"/>
              <w:rPr>
                <w:sz w:val="19"/>
                <w:szCs w:val="19"/>
                <w:color w:val="auto"/>
              </w:rPr>
            </w:pPr>
          </w:p>
        </w:tc>
        <w:tc>
          <w:tcPr>
            <w:tcW w:w="1240" w:type="dxa"/>
            <w:vAlign w:val="bottom"/>
          </w:tcPr>
          <w:p>
            <w:pPr>
              <w:jc w:val="right"/>
              <w:ind w:right="2"/>
              <w:spacing w:after="0"/>
              <w:rPr>
                <w:sz w:val="20"/>
                <w:szCs w:val="20"/>
                <w:color w:val="auto"/>
              </w:rPr>
            </w:pPr>
            <w:r>
              <w:rPr>
                <w:rFonts w:ascii="Arial" w:cs="Arial" w:eastAsia="Arial" w:hAnsi="Arial"/>
                <w:sz w:val="20"/>
                <w:szCs w:val="20"/>
                <w:color w:val="auto"/>
              </w:rPr>
              <w:t>5,394</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(7)</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Accrued liabilities</w:t>
            </w:r>
          </w:p>
        </w:tc>
        <w:tc>
          <w:tcPr>
            <w:tcW w:w="140" w:type="dxa"/>
            <w:vAlign w:val="bottom"/>
          </w:tcPr>
          <w:p>
            <w:pPr>
              <w:spacing w:after="0"/>
              <w:rPr>
                <w:sz w:val="19"/>
                <w:szCs w:val="19"/>
                <w:color w:val="auto"/>
              </w:rPr>
            </w:pPr>
          </w:p>
        </w:tc>
      </w:tr>
      <w:tr>
        <w:trPr>
          <w:trHeight w:val="230"/>
        </w:trPr>
        <w:tc>
          <w:tcPr>
            <w:tcW w:w="5260" w:type="dxa"/>
            <w:vAlign w:val="bottom"/>
            <w:gridSpan w:val="2"/>
          </w:tcPr>
          <w:p>
            <w:pPr>
              <w:ind w:left="900"/>
              <w:spacing w:after="0"/>
              <w:rPr>
                <w:sz w:val="20"/>
                <w:szCs w:val="20"/>
                <w:color w:val="auto"/>
              </w:rPr>
            </w:pPr>
            <w:r>
              <w:rPr>
                <w:rFonts w:ascii="Arial" w:cs="Arial" w:eastAsia="Arial" w:hAnsi="Arial"/>
                <w:sz w:val="20"/>
                <w:szCs w:val="20"/>
                <w:color w:val="auto"/>
              </w:rPr>
              <w:t>Receive USD/pay BRL</w:t>
            </w:r>
          </w:p>
        </w:tc>
        <w:tc>
          <w:tcPr>
            <w:tcW w:w="280" w:type="dxa"/>
            <w:vAlign w:val="bottom"/>
          </w:tcPr>
          <w:p>
            <w:pPr>
              <w:spacing w:after="0"/>
              <w:rPr>
                <w:sz w:val="19"/>
                <w:szCs w:val="19"/>
                <w:color w:val="auto"/>
              </w:rPr>
            </w:pPr>
          </w:p>
        </w:tc>
        <w:tc>
          <w:tcPr>
            <w:tcW w:w="1240" w:type="dxa"/>
            <w:vAlign w:val="bottom"/>
          </w:tcPr>
          <w:p>
            <w:pPr>
              <w:jc w:val="right"/>
              <w:ind w:right="2"/>
              <w:spacing w:after="0"/>
              <w:rPr>
                <w:sz w:val="20"/>
                <w:szCs w:val="20"/>
                <w:color w:val="auto"/>
              </w:rPr>
            </w:pPr>
            <w:r>
              <w:rPr>
                <w:rFonts w:ascii="Arial" w:cs="Arial" w:eastAsia="Arial" w:hAnsi="Arial"/>
                <w:sz w:val="20"/>
                <w:szCs w:val="20"/>
                <w:color w:val="auto"/>
              </w:rPr>
              <w:t>3,722</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(19)</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Accrued liabilities</w:t>
            </w:r>
          </w:p>
        </w:tc>
        <w:tc>
          <w:tcPr>
            <w:tcW w:w="140" w:type="dxa"/>
            <w:vAlign w:val="bottom"/>
          </w:tcPr>
          <w:p>
            <w:pPr>
              <w:spacing w:after="0"/>
              <w:rPr>
                <w:sz w:val="19"/>
                <w:szCs w:val="19"/>
                <w:color w:val="auto"/>
              </w:rPr>
            </w:pPr>
          </w:p>
        </w:tc>
      </w:tr>
      <w:tr>
        <w:trPr>
          <w:trHeight w:val="250"/>
        </w:trPr>
        <w:tc>
          <w:tcPr>
            <w:tcW w:w="5260" w:type="dxa"/>
            <w:vAlign w:val="bottom"/>
            <w:gridSpan w:val="2"/>
          </w:tcPr>
          <w:p>
            <w:pPr>
              <w:ind w:left="900"/>
              <w:spacing w:after="0"/>
              <w:rPr>
                <w:sz w:val="20"/>
                <w:szCs w:val="20"/>
                <w:color w:val="auto"/>
              </w:rPr>
            </w:pPr>
            <w:r>
              <w:rPr>
                <w:rFonts w:ascii="Arial" w:cs="Arial" w:eastAsia="Arial" w:hAnsi="Arial"/>
                <w:sz w:val="20"/>
                <w:szCs w:val="20"/>
                <w:color w:val="auto"/>
              </w:rPr>
              <w:t>Receive USD/pay COP</w:t>
            </w:r>
          </w:p>
        </w:tc>
        <w:tc>
          <w:tcPr>
            <w:tcW w:w="280" w:type="dxa"/>
            <w:vAlign w:val="bottom"/>
          </w:tcPr>
          <w:p>
            <w:pPr>
              <w:spacing w:after="0"/>
              <w:rPr>
                <w:sz w:val="21"/>
                <w:szCs w:val="21"/>
                <w:color w:val="auto"/>
              </w:rPr>
            </w:pPr>
          </w:p>
        </w:tc>
        <w:tc>
          <w:tcPr>
            <w:tcW w:w="1240" w:type="dxa"/>
            <w:vAlign w:val="bottom"/>
          </w:tcPr>
          <w:p>
            <w:pPr>
              <w:jc w:val="right"/>
              <w:ind w:right="2"/>
              <w:spacing w:after="0"/>
              <w:rPr>
                <w:sz w:val="20"/>
                <w:szCs w:val="20"/>
                <w:color w:val="auto"/>
              </w:rPr>
            </w:pPr>
            <w:r>
              <w:rPr>
                <w:rFonts w:ascii="Arial" w:cs="Arial" w:eastAsia="Arial" w:hAnsi="Arial"/>
                <w:sz w:val="20"/>
                <w:szCs w:val="20"/>
                <w:color w:val="auto"/>
              </w:rPr>
              <w:t>2,327</w:t>
            </w: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(6)</w:t>
            </w:r>
          </w:p>
        </w:tc>
        <w:tc>
          <w:tcPr>
            <w:tcW w:w="2840" w:type="dxa"/>
            <w:vAlign w:val="bottom"/>
            <w:gridSpan w:val="2"/>
          </w:tcPr>
          <w:p>
            <w:pPr>
              <w:ind w:left="280"/>
              <w:spacing w:after="0"/>
              <w:rPr>
                <w:sz w:val="20"/>
                <w:szCs w:val="20"/>
                <w:color w:val="auto"/>
              </w:rPr>
            </w:pPr>
            <w:r>
              <w:rPr>
                <w:rFonts w:ascii="Arial" w:cs="Arial" w:eastAsia="Arial" w:hAnsi="Arial"/>
                <w:sz w:val="20"/>
                <w:szCs w:val="20"/>
                <w:color w:val="auto"/>
              </w:rPr>
              <w:t>Accrued liabilities</w:t>
            </w:r>
          </w:p>
        </w:tc>
        <w:tc>
          <w:tcPr>
            <w:tcW w:w="140" w:type="dxa"/>
            <w:vAlign w:val="bottom"/>
          </w:tcPr>
          <w:p>
            <w:pPr>
              <w:spacing w:after="0"/>
              <w:rPr>
                <w:sz w:val="21"/>
                <w:szCs w:val="21"/>
                <w:color w:val="auto"/>
              </w:rPr>
            </w:pPr>
          </w:p>
        </w:tc>
      </w:tr>
      <w:tr>
        <w:trPr>
          <w:trHeight w:val="442"/>
        </w:trPr>
        <w:tc>
          <w:tcPr>
            <w:tcW w:w="4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jc w:val="right"/>
              <w:ind w:right="882"/>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32"/>
        </w:trPr>
        <w:tc>
          <w:tcPr>
            <w:tcW w:w="49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5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8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7"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December 31, 2016</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260" w:type="dxa"/>
            <w:vAlign w:val="bottom"/>
            <w:tcBorders>
              <w:top w:val="single" w:sz="8" w:color="auto"/>
            </w:tcBorders>
            <w:gridSpan w:val="2"/>
          </w:tcPr>
          <w:p>
            <w:pPr>
              <w:jc w:val="center"/>
              <w:ind w:right="300"/>
              <w:spacing w:after="0" w:line="207" w:lineRule="exact"/>
              <w:rPr>
                <w:sz w:val="20"/>
                <w:szCs w:val="20"/>
                <w:color w:val="auto"/>
              </w:rPr>
            </w:pPr>
            <w:r>
              <w:rPr>
                <w:rFonts w:ascii="Arial" w:cs="Arial" w:eastAsia="Arial" w:hAnsi="Arial"/>
                <w:sz w:val="20"/>
                <w:szCs w:val="20"/>
                <w:color w:val="auto"/>
                <w:w w:val="88"/>
              </w:rPr>
              <w:t>Derivatives not designated as</w:t>
            </w:r>
          </w:p>
        </w:tc>
        <w:tc>
          <w:tcPr>
            <w:tcW w:w="15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560" w:type="dxa"/>
            <w:vAlign w:val="bottom"/>
            <w:tcBorders>
              <w:top w:val="single" w:sz="8" w:color="auto"/>
            </w:tcBorders>
          </w:tcPr>
          <w:p>
            <w:pPr>
              <w:spacing w:after="0"/>
              <w:rPr>
                <w:sz w:val="17"/>
                <w:szCs w:val="17"/>
                <w:color w:val="auto"/>
              </w:rPr>
            </w:pPr>
          </w:p>
        </w:tc>
      </w:tr>
      <w:tr>
        <w:trPr>
          <w:trHeight w:val="230"/>
        </w:trPr>
        <w:tc>
          <w:tcPr>
            <w:tcW w:w="5260" w:type="dxa"/>
            <w:vAlign w:val="bottom"/>
            <w:gridSpan w:val="2"/>
          </w:tcPr>
          <w:p>
            <w:pPr>
              <w:jc w:val="center"/>
              <w:ind w:right="280"/>
              <w:spacing w:after="0"/>
              <w:rPr>
                <w:sz w:val="20"/>
                <w:szCs w:val="20"/>
                <w:color w:val="auto"/>
              </w:rPr>
            </w:pPr>
            <w:r>
              <w:rPr>
                <w:rFonts w:ascii="Arial" w:cs="Arial" w:eastAsia="Arial" w:hAnsi="Arial"/>
                <w:sz w:val="20"/>
                <w:szCs w:val="20"/>
                <w:color w:val="auto"/>
                <w:w w:val="88"/>
              </w:rPr>
              <w:t>hedging instruments under</w:t>
            </w:r>
          </w:p>
        </w:tc>
        <w:tc>
          <w:tcPr>
            <w:tcW w:w="1820" w:type="dxa"/>
            <w:vAlign w:val="bottom"/>
            <w:gridSpan w:val="2"/>
          </w:tcPr>
          <w:p>
            <w:pPr>
              <w:ind w:left="420"/>
              <w:spacing w:after="0"/>
              <w:rPr>
                <w:sz w:val="20"/>
                <w:szCs w:val="20"/>
                <w:color w:val="auto"/>
              </w:rPr>
            </w:pPr>
            <w:r>
              <w:rPr>
                <w:rFonts w:ascii="Arial" w:cs="Arial" w:eastAsia="Arial" w:hAnsi="Arial"/>
                <w:sz w:val="20"/>
                <w:szCs w:val="20"/>
                <w:color w:val="auto"/>
              </w:rPr>
              <w:t>Notional</w:t>
            </w:r>
          </w:p>
        </w:tc>
        <w:tc>
          <w:tcPr>
            <w:tcW w:w="1680" w:type="dxa"/>
            <w:vAlign w:val="bottom"/>
            <w:gridSpan w:val="2"/>
          </w:tcPr>
          <w:p>
            <w:pPr>
              <w:jc w:val="center"/>
              <w:ind w:right="280"/>
              <w:spacing w:after="0"/>
              <w:rPr>
                <w:sz w:val="20"/>
                <w:szCs w:val="20"/>
                <w:color w:val="auto"/>
              </w:rPr>
            </w:pPr>
            <w:r>
              <w:rPr>
                <w:rFonts w:ascii="Arial" w:cs="Arial" w:eastAsia="Arial" w:hAnsi="Arial"/>
                <w:sz w:val="20"/>
                <w:szCs w:val="20"/>
                <w:color w:val="auto"/>
                <w:w w:val="92"/>
              </w:rPr>
              <w:t>Fair</w:t>
            </w:r>
          </w:p>
        </w:tc>
        <w:tc>
          <w:tcPr>
            <w:tcW w:w="2560" w:type="dxa"/>
            <w:vAlign w:val="bottom"/>
          </w:tcPr>
          <w:p>
            <w:pPr>
              <w:spacing w:after="0"/>
              <w:rPr>
                <w:sz w:val="19"/>
                <w:szCs w:val="19"/>
                <w:color w:val="auto"/>
              </w:rPr>
            </w:pPr>
          </w:p>
        </w:tc>
      </w:tr>
      <w:tr>
        <w:trPr>
          <w:trHeight w:val="246"/>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1"/>
              </w:rPr>
              <w:t>FASB ASC 815-20</w:t>
            </w:r>
          </w:p>
        </w:tc>
        <w:tc>
          <w:tcPr>
            <w:tcW w:w="300" w:type="dxa"/>
            <w:vAlign w:val="bottom"/>
          </w:tcPr>
          <w:p>
            <w:pPr>
              <w:spacing w:after="0"/>
              <w:rPr>
                <w:sz w:val="21"/>
                <w:szCs w:val="21"/>
                <w:color w:val="auto"/>
              </w:rPr>
            </w:pPr>
          </w:p>
        </w:tc>
        <w:tc>
          <w:tcPr>
            <w:tcW w:w="1540" w:type="dxa"/>
            <w:vAlign w:val="bottom"/>
            <w:tcBorders>
              <w:bottom w:val="single" w:sz="8" w:color="auto"/>
            </w:tcBorders>
          </w:tcPr>
          <w:p>
            <w:pPr>
              <w:ind w:left="440"/>
              <w:spacing w:after="0"/>
              <w:rPr>
                <w:sz w:val="20"/>
                <w:szCs w:val="20"/>
                <w:color w:val="auto"/>
              </w:rPr>
            </w:pPr>
            <w:r>
              <w:rPr>
                <w:rFonts w:ascii="Arial" w:cs="Arial" w:eastAsia="Arial" w:hAnsi="Arial"/>
                <w:sz w:val="20"/>
                <w:szCs w:val="20"/>
                <w:color w:val="auto"/>
              </w:rPr>
              <w:t>Amount</w:t>
            </w:r>
          </w:p>
        </w:tc>
        <w:tc>
          <w:tcPr>
            <w:tcW w:w="280" w:type="dxa"/>
            <w:vAlign w:val="bottom"/>
          </w:tcPr>
          <w:p>
            <w:pPr>
              <w:spacing w:after="0"/>
              <w:rPr>
                <w:sz w:val="21"/>
                <w:szCs w:val="21"/>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5"/>
              </w:rPr>
              <w:t>Value</w:t>
            </w:r>
          </w:p>
        </w:tc>
        <w:tc>
          <w:tcPr>
            <w:tcW w:w="280" w:type="dxa"/>
            <w:vAlign w:val="bottom"/>
          </w:tcPr>
          <w:p>
            <w:pPr>
              <w:spacing w:after="0"/>
              <w:rPr>
                <w:sz w:val="21"/>
                <w:szCs w:val="21"/>
                <w:color w:val="auto"/>
              </w:rPr>
            </w:pPr>
          </w:p>
        </w:tc>
        <w:tc>
          <w:tcPr>
            <w:tcW w:w="2560" w:type="dxa"/>
            <w:vAlign w:val="bottom"/>
            <w:tcBorders>
              <w:bottom w:val="single" w:sz="8" w:color="auto"/>
            </w:tcBorders>
          </w:tcPr>
          <w:p>
            <w:pPr>
              <w:ind w:left="340"/>
              <w:spacing w:after="0"/>
              <w:rPr>
                <w:sz w:val="20"/>
                <w:szCs w:val="20"/>
                <w:color w:val="auto"/>
              </w:rPr>
            </w:pPr>
            <w:r>
              <w:rPr>
                <w:rFonts w:ascii="Arial" w:cs="Arial" w:eastAsia="Arial" w:hAnsi="Arial"/>
                <w:sz w:val="20"/>
                <w:szCs w:val="20"/>
                <w:color w:val="auto"/>
              </w:rPr>
              <w:t>Balance Sheet Location</w:t>
            </w:r>
          </w:p>
        </w:tc>
      </w:tr>
    </w:tbl>
    <w:p>
      <w:pPr>
        <w:sectPr>
          <w:pgSz w:w="11900" w:h="16897" w:orient="portrait"/>
          <w:cols w:equalWidth="0" w:num="1">
            <w:col w:w="11460"/>
          </w:cols>
          <w:pgMar w:left="240" w:top="121" w:right="199" w:bottom="0" w:gutter="0" w:footer="0" w:header="0"/>
        </w:sectPr>
      </w:pPr>
    </w:p>
    <w:bookmarkStart w:id="9" w:name="page10"/>
    <w:bookmarkEnd w:id="9"/>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300" w:type="dxa"/>
            <w:vAlign w:val="bottom"/>
          </w:tcPr>
          <w:p>
            <w:pPr>
              <w:spacing w:after="0"/>
              <w:rPr>
                <w:sz w:val="20"/>
                <w:szCs w:val="20"/>
                <w:color w:val="auto"/>
              </w:rPr>
            </w:pPr>
            <w:r>
              <w:rPr>
                <w:rFonts w:ascii="Arial" w:cs="Arial" w:eastAsia="Arial" w:hAnsi="Arial"/>
                <w:sz w:val="20"/>
                <w:szCs w:val="20"/>
                <w:color w:val="auto"/>
              </w:rPr>
              <w:t>Assets:</w:t>
            </w:r>
          </w:p>
        </w:tc>
        <w:tc>
          <w:tcPr>
            <w:tcW w:w="14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30"/>
        </w:trPr>
        <w:tc>
          <w:tcPr>
            <w:tcW w:w="4300" w:type="dxa"/>
            <w:vAlign w:val="bottom"/>
          </w:tcPr>
          <w:p>
            <w:pPr>
              <w:ind w:left="300"/>
              <w:spacing w:after="0"/>
              <w:rPr>
                <w:sz w:val="20"/>
                <w:szCs w:val="20"/>
                <w:color w:val="auto"/>
              </w:rPr>
            </w:pPr>
            <w:r>
              <w:rPr>
                <w:rFonts w:ascii="Arial" w:cs="Arial" w:eastAsia="Arial" w:hAnsi="Arial"/>
                <w:sz w:val="20"/>
                <w:szCs w:val="20"/>
                <w:color w:val="auto"/>
              </w:rPr>
              <w:t>Foreign currency exchange contracts:</w:t>
            </w:r>
          </w:p>
        </w:tc>
        <w:tc>
          <w:tcPr>
            <w:tcW w:w="14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30"/>
        </w:trPr>
        <w:tc>
          <w:tcPr>
            <w:tcW w:w="4300" w:type="dxa"/>
            <w:vAlign w:val="bottom"/>
          </w:tcPr>
          <w:p>
            <w:pPr>
              <w:ind w:left="880"/>
              <w:spacing w:after="0"/>
              <w:rPr>
                <w:sz w:val="20"/>
                <w:szCs w:val="20"/>
                <w:color w:val="auto"/>
              </w:rPr>
            </w:pPr>
            <w:r>
              <w:rPr>
                <w:rFonts w:ascii="Arial" w:cs="Arial" w:eastAsia="Arial" w:hAnsi="Arial"/>
                <w:sz w:val="20"/>
                <w:szCs w:val="20"/>
                <w:color w:val="auto"/>
              </w:rPr>
              <w:t>Receive CAD/pay USD</w:t>
            </w:r>
          </w:p>
        </w:tc>
        <w:tc>
          <w:tcPr>
            <w:tcW w:w="1480" w:type="dxa"/>
            <w:vAlign w:val="bottom"/>
          </w:tcPr>
          <w:p>
            <w:pPr>
              <w:jc w:val="right"/>
              <w:ind w:right="241"/>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141"/>
              <w:spacing w:after="0"/>
              <w:rPr>
                <w:sz w:val="20"/>
                <w:szCs w:val="20"/>
                <w:color w:val="auto"/>
              </w:rPr>
            </w:pPr>
            <w:r>
              <w:rPr>
                <w:rFonts w:ascii="Arial" w:cs="Arial" w:eastAsia="Arial" w:hAnsi="Arial"/>
                <w:sz w:val="20"/>
                <w:szCs w:val="20"/>
                <w:color w:val="auto"/>
              </w:rPr>
              <w:t>22,314</w:t>
            </w:r>
          </w:p>
        </w:tc>
        <w:tc>
          <w:tcPr>
            <w:tcW w:w="700" w:type="dxa"/>
            <w:vAlign w:val="bottom"/>
          </w:tcPr>
          <w:p>
            <w:pPr>
              <w:jc w:val="right"/>
              <w:ind w:right="281"/>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121"/>
              <w:spacing w:after="0"/>
              <w:rPr>
                <w:sz w:val="20"/>
                <w:szCs w:val="20"/>
                <w:color w:val="auto"/>
              </w:rPr>
            </w:pPr>
            <w:r>
              <w:rPr>
                <w:rFonts w:ascii="Arial" w:cs="Arial" w:eastAsia="Arial" w:hAnsi="Arial"/>
                <w:sz w:val="20"/>
                <w:szCs w:val="20"/>
                <w:color w:val="auto"/>
              </w:rPr>
              <w:t>173</w:t>
            </w:r>
          </w:p>
        </w:tc>
        <w:tc>
          <w:tcPr>
            <w:tcW w:w="2120" w:type="dxa"/>
            <w:vAlign w:val="bottom"/>
          </w:tcPr>
          <w:p>
            <w:pPr>
              <w:ind w:left="160"/>
              <w:spacing w:after="0"/>
              <w:rPr>
                <w:sz w:val="20"/>
                <w:szCs w:val="20"/>
                <w:color w:val="auto"/>
              </w:rPr>
            </w:pPr>
            <w:r>
              <w:rPr>
                <w:rFonts w:ascii="Arial" w:cs="Arial" w:eastAsia="Arial" w:hAnsi="Arial"/>
                <w:sz w:val="20"/>
                <w:szCs w:val="20"/>
                <w:color w:val="auto"/>
                <w:w w:val="89"/>
              </w:rPr>
              <w:t>Accounts receivable, net</w:t>
            </w:r>
          </w:p>
        </w:tc>
      </w:tr>
      <w:tr>
        <w:trPr>
          <w:trHeight w:val="230"/>
        </w:trPr>
        <w:tc>
          <w:tcPr>
            <w:tcW w:w="4300" w:type="dxa"/>
            <w:vAlign w:val="bottom"/>
          </w:tcPr>
          <w:p>
            <w:pPr>
              <w:ind w:left="880"/>
              <w:spacing w:after="0"/>
              <w:rPr>
                <w:sz w:val="20"/>
                <w:szCs w:val="20"/>
                <w:color w:val="auto"/>
              </w:rPr>
            </w:pPr>
            <w:r>
              <w:rPr>
                <w:rFonts w:ascii="Arial" w:cs="Arial" w:eastAsia="Arial" w:hAnsi="Arial"/>
                <w:sz w:val="20"/>
                <w:szCs w:val="20"/>
                <w:color w:val="auto"/>
              </w:rPr>
              <w:t>Receive SGD/pay USD</w:t>
            </w:r>
          </w:p>
        </w:tc>
        <w:tc>
          <w:tcPr>
            <w:tcW w:w="1480" w:type="dxa"/>
            <w:vAlign w:val="bottom"/>
          </w:tcPr>
          <w:p>
            <w:pPr>
              <w:spacing w:after="0"/>
              <w:rPr>
                <w:sz w:val="19"/>
                <w:szCs w:val="19"/>
                <w:color w:val="auto"/>
              </w:rPr>
            </w:pPr>
          </w:p>
        </w:tc>
        <w:tc>
          <w:tcPr>
            <w:tcW w:w="1140" w:type="dxa"/>
            <w:vAlign w:val="bottom"/>
          </w:tcPr>
          <w:p>
            <w:pPr>
              <w:jc w:val="right"/>
              <w:ind w:right="141"/>
              <w:spacing w:after="0"/>
              <w:rPr>
                <w:sz w:val="20"/>
                <w:szCs w:val="20"/>
                <w:color w:val="auto"/>
              </w:rPr>
            </w:pPr>
            <w:r>
              <w:rPr>
                <w:rFonts w:ascii="Arial" w:cs="Arial" w:eastAsia="Arial" w:hAnsi="Arial"/>
                <w:sz w:val="20"/>
                <w:szCs w:val="20"/>
                <w:color w:val="auto"/>
              </w:rPr>
              <w:t>7,915</w:t>
            </w:r>
          </w:p>
        </w:tc>
        <w:tc>
          <w:tcPr>
            <w:tcW w:w="700" w:type="dxa"/>
            <w:vAlign w:val="bottom"/>
          </w:tcPr>
          <w:p>
            <w:pPr>
              <w:spacing w:after="0"/>
              <w:rPr>
                <w:sz w:val="19"/>
                <w:szCs w:val="19"/>
                <w:color w:val="auto"/>
              </w:rPr>
            </w:pPr>
          </w:p>
        </w:tc>
        <w:tc>
          <w:tcPr>
            <w:tcW w:w="960" w:type="dxa"/>
            <w:vAlign w:val="bottom"/>
          </w:tcPr>
          <w:p>
            <w:pPr>
              <w:jc w:val="right"/>
              <w:ind w:right="121"/>
              <w:spacing w:after="0"/>
              <w:rPr>
                <w:sz w:val="20"/>
                <w:szCs w:val="20"/>
                <w:color w:val="auto"/>
              </w:rPr>
            </w:pPr>
            <w:r>
              <w:rPr>
                <w:rFonts w:ascii="Arial" w:cs="Arial" w:eastAsia="Arial" w:hAnsi="Arial"/>
                <w:sz w:val="20"/>
                <w:szCs w:val="20"/>
                <w:color w:val="auto"/>
              </w:rPr>
              <w:t>24</w:t>
            </w:r>
          </w:p>
        </w:tc>
        <w:tc>
          <w:tcPr>
            <w:tcW w:w="2120" w:type="dxa"/>
            <w:vAlign w:val="bottom"/>
          </w:tcPr>
          <w:p>
            <w:pPr>
              <w:ind w:left="160"/>
              <w:spacing w:after="0"/>
              <w:rPr>
                <w:sz w:val="20"/>
                <w:szCs w:val="20"/>
                <w:color w:val="auto"/>
              </w:rPr>
            </w:pPr>
            <w:r>
              <w:rPr>
                <w:rFonts w:ascii="Arial" w:cs="Arial" w:eastAsia="Arial" w:hAnsi="Arial"/>
                <w:sz w:val="20"/>
                <w:szCs w:val="20"/>
                <w:color w:val="auto"/>
                <w:w w:val="89"/>
              </w:rPr>
              <w:t>Accounts receivable, net</w:t>
            </w:r>
          </w:p>
        </w:tc>
      </w:tr>
      <w:tr>
        <w:trPr>
          <w:trHeight w:val="230"/>
        </w:trPr>
        <w:tc>
          <w:tcPr>
            <w:tcW w:w="4300" w:type="dxa"/>
            <w:vAlign w:val="bottom"/>
          </w:tcPr>
          <w:p>
            <w:pPr>
              <w:ind w:left="880"/>
              <w:spacing w:after="0"/>
              <w:rPr>
                <w:sz w:val="20"/>
                <w:szCs w:val="20"/>
                <w:color w:val="auto"/>
              </w:rPr>
            </w:pPr>
            <w:r>
              <w:rPr>
                <w:rFonts w:ascii="Arial" w:cs="Arial" w:eastAsia="Arial" w:hAnsi="Arial"/>
                <w:sz w:val="20"/>
                <w:szCs w:val="20"/>
                <w:color w:val="auto"/>
              </w:rPr>
              <w:t>Receive NOK/pay USD</w:t>
            </w:r>
          </w:p>
        </w:tc>
        <w:tc>
          <w:tcPr>
            <w:tcW w:w="1480" w:type="dxa"/>
            <w:vAlign w:val="bottom"/>
          </w:tcPr>
          <w:p>
            <w:pPr>
              <w:spacing w:after="0"/>
              <w:rPr>
                <w:sz w:val="19"/>
                <w:szCs w:val="19"/>
                <w:color w:val="auto"/>
              </w:rPr>
            </w:pPr>
          </w:p>
        </w:tc>
        <w:tc>
          <w:tcPr>
            <w:tcW w:w="1140" w:type="dxa"/>
            <w:vAlign w:val="bottom"/>
          </w:tcPr>
          <w:p>
            <w:pPr>
              <w:jc w:val="right"/>
              <w:ind w:right="141"/>
              <w:spacing w:after="0"/>
              <w:rPr>
                <w:sz w:val="20"/>
                <w:szCs w:val="20"/>
                <w:color w:val="auto"/>
              </w:rPr>
            </w:pPr>
            <w:r>
              <w:rPr>
                <w:rFonts w:ascii="Arial" w:cs="Arial" w:eastAsia="Arial" w:hAnsi="Arial"/>
                <w:sz w:val="20"/>
                <w:szCs w:val="20"/>
                <w:color w:val="auto"/>
              </w:rPr>
              <w:t>2,138</w:t>
            </w:r>
          </w:p>
        </w:tc>
        <w:tc>
          <w:tcPr>
            <w:tcW w:w="700" w:type="dxa"/>
            <w:vAlign w:val="bottom"/>
          </w:tcPr>
          <w:p>
            <w:pPr>
              <w:spacing w:after="0"/>
              <w:rPr>
                <w:sz w:val="19"/>
                <w:szCs w:val="19"/>
                <w:color w:val="auto"/>
              </w:rPr>
            </w:pPr>
          </w:p>
        </w:tc>
        <w:tc>
          <w:tcPr>
            <w:tcW w:w="960" w:type="dxa"/>
            <w:vAlign w:val="bottom"/>
          </w:tcPr>
          <w:p>
            <w:pPr>
              <w:jc w:val="right"/>
              <w:ind w:right="121"/>
              <w:spacing w:after="0"/>
              <w:rPr>
                <w:sz w:val="20"/>
                <w:szCs w:val="20"/>
                <w:color w:val="auto"/>
              </w:rPr>
            </w:pPr>
            <w:r>
              <w:rPr>
                <w:rFonts w:ascii="Arial" w:cs="Arial" w:eastAsia="Arial" w:hAnsi="Arial"/>
                <w:sz w:val="20"/>
                <w:szCs w:val="20"/>
                <w:color w:val="auto"/>
              </w:rPr>
              <w:t>28</w:t>
            </w:r>
          </w:p>
        </w:tc>
        <w:tc>
          <w:tcPr>
            <w:tcW w:w="2120" w:type="dxa"/>
            <w:vAlign w:val="bottom"/>
          </w:tcPr>
          <w:p>
            <w:pPr>
              <w:ind w:left="160"/>
              <w:spacing w:after="0"/>
              <w:rPr>
                <w:sz w:val="20"/>
                <w:szCs w:val="20"/>
                <w:color w:val="auto"/>
              </w:rPr>
            </w:pPr>
            <w:r>
              <w:rPr>
                <w:rFonts w:ascii="Arial" w:cs="Arial" w:eastAsia="Arial" w:hAnsi="Arial"/>
                <w:sz w:val="20"/>
                <w:szCs w:val="20"/>
                <w:color w:val="auto"/>
                <w:w w:val="89"/>
              </w:rPr>
              <w:t>Accounts receivable, net</w:t>
            </w:r>
          </w:p>
        </w:tc>
      </w:tr>
      <w:tr>
        <w:trPr>
          <w:trHeight w:val="230"/>
        </w:trPr>
        <w:tc>
          <w:tcPr>
            <w:tcW w:w="4300" w:type="dxa"/>
            <w:vAlign w:val="bottom"/>
          </w:tcPr>
          <w:p>
            <w:pPr>
              <w:ind w:left="880"/>
              <w:spacing w:after="0"/>
              <w:rPr>
                <w:sz w:val="20"/>
                <w:szCs w:val="20"/>
                <w:color w:val="auto"/>
              </w:rPr>
            </w:pPr>
            <w:r>
              <w:rPr>
                <w:rFonts w:ascii="Arial" w:cs="Arial" w:eastAsia="Arial" w:hAnsi="Arial"/>
                <w:sz w:val="20"/>
                <w:szCs w:val="20"/>
                <w:color w:val="auto"/>
              </w:rPr>
              <w:t>Receive USD/pay CLP</w:t>
            </w:r>
          </w:p>
        </w:tc>
        <w:tc>
          <w:tcPr>
            <w:tcW w:w="1480" w:type="dxa"/>
            <w:vAlign w:val="bottom"/>
          </w:tcPr>
          <w:p>
            <w:pPr>
              <w:spacing w:after="0"/>
              <w:rPr>
                <w:sz w:val="19"/>
                <w:szCs w:val="19"/>
                <w:color w:val="auto"/>
              </w:rPr>
            </w:pPr>
          </w:p>
        </w:tc>
        <w:tc>
          <w:tcPr>
            <w:tcW w:w="1140" w:type="dxa"/>
            <w:vAlign w:val="bottom"/>
          </w:tcPr>
          <w:p>
            <w:pPr>
              <w:jc w:val="right"/>
              <w:ind w:right="141"/>
              <w:spacing w:after="0"/>
              <w:rPr>
                <w:sz w:val="20"/>
                <w:szCs w:val="20"/>
                <w:color w:val="auto"/>
              </w:rPr>
            </w:pPr>
            <w:r>
              <w:rPr>
                <w:rFonts w:ascii="Arial" w:cs="Arial" w:eastAsia="Arial" w:hAnsi="Arial"/>
                <w:sz w:val="20"/>
                <w:szCs w:val="20"/>
                <w:color w:val="auto"/>
              </w:rPr>
              <w:t>4,094</w:t>
            </w:r>
          </w:p>
        </w:tc>
        <w:tc>
          <w:tcPr>
            <w:tcW w:w="700" w:type="dxa"/>
            <w:vAlign w:val="bottom"/>
          </w:tcPr>
          <w:p>
            <w:pPr>
              <w:spacing w:after="0"/>
              <w:rPr>
                <w:sz w:val="19"/>
                <w:szCs w:val="19"/>
                <w:color w:val="auto"/>
              </w:rPr>
            </w:pPr>
          </w:p>
        </w:tc>
        <w:tc>
          <w:tcPr>
            <w:tcW w:w="960" w:type="dxa"/>
            <w:vAlign w:val="bottom"/>
          </w:tcPr>
          <w:p>
            <w:pPr>
              <w:jc w:val="right"/>
              <w:ind w:right="121"/>
              <w:spacing w:after="0"/>
              <w:rPr>
                <w:sz w:val="20"/>
                <w:szCs w:val="20"/>
                <w:color w:val="auto"/>
              </w:rPr>
            </w:pPr>
            <w:r>
              <w:rPr>
                <w:rFonts w:ascii="Arial" w:cs="Arial" w:eastAsia="Arial" w:hAnsi="Arial"/>
                <w:sz w:val="20"/>
                <w:szCs w:val="20"/>
                <w:color w:val="auto"/>
              </w:rPr>
              <w:t>9</w:t>
            </w:r>
          </w:p>
        </w:tc>
        <w:tc>
          <w:tcPr>
            <w:tcW w:w="2120" w:type="dxa"/>
            <w:vAlign w:val="bottom"/>
          </w:tcPr>
          <w:p>
            <w:pPr>
              <w:ind w:left="160"/>
              <w:spacing w:after="0"/>
              <w:rPr>
                <w:sz w:val="20"/>
                <w:szCs w:val="20"/>
                <w:color w:val="auto"/>
              </w:rPr>
            </w:pPr>
            <w:r>
              <w:rPr>
                <w:rFonts w:ascii="Arial" w:cs="Arial" w:eastAsia="Arial" w:hAnsi="Arial"/>
                <w:sz w:val="20"/>
                <w:szCs w:val="20"/>
                <w:color w:val="auto"/>
                <w:w w:val="89"/>
              </w:rPr>
              <w:t>Accounts receivable, net</w:t>
            </w:r>
          </w:p>
        </w:tc>
      </w:tr>
      <w:tr>
        <w:trPr>
          <w:trHeight w:val="250"/>
        </w:trPr>
        <w:tc>
          <w:tcPr>
            <w:tcW w:w="4300" w:type="dxa"/>
            <w:vAlign w:val="bottom"/>
          </w:tcPr>
          <w:p>
            <w:pPr>
              <w:ind w:left="880"/>
              <w:spacing w:after="0"/>
              <w:rPr>
                <w:sz w:val="20"/>
                <w:szCs w:val="20"/>
                <w:color w:val="auto"/>
              </w:rPr>
            </w:pPr>
            <w:r>
              <w:rPr>
                <w:rFonts w:ascii="Arial" w:cs="Arial" w:eastAsia="Arial" w:hAnsi="Arial"/>
                <w:sz w:val="20"/>
                <w:szCs w:val="20"/>
                <w:color w:val="auto"/>
              </w:rPr>
              <w:t>Receive USD/pay COP</w:t>
            </w:r>
          </w:p>
        </w:tc>
        <w:tc>
          <w:tcPr>
            <w:tcW w:w="1480" w:type="dxa"/>
            <w:vAlign w:val="bottom"/>
          </w:tcPr>
          <w:p>
            <w:pPr>
              <w:spacing w:after="0"/>
              <w:rPr>
                <w:sz w:val="21"/>
                <w:szCs w:val="21"/>
                <w:color w:val="auto"/>
              </w:rPr>
            </w:pPr>
          </w:p>
        </w:tc>
        <w:tc>
          <w:tcPr>
            <w:tcW w:w="1140" w:type="dxa"/>
            <w:vAlign w:val="bottom"/>
          </w:tcPr>
          <w:p>
            <w:pPr>
              <w:jc w:val="right"/>
              <w:ind w:right="141"/>
              <w:spacing w:after="0"/>
              <w:rPr>
                <w:sz w:val="20"/>
                <w:szCs w:val="20"/>
                <w:color w:val="auto"/>
              </w:rPr>
            </w:pPr>
            <w:r>
              <w:rPr>
                <w:rFonts w:ascii="Arial" w:cs="Arial" w:eastAsia="Arial" w:hAnsi="Arial"/>
                <w:sz w:val="20"/>
                <w:szCs w:val="20"/>
                <w:color w:val="auto"/>
              </w:rPr>
              <w:t>2,330</w:t>
            </w:r>
          </w:p>
        </w:tc>
        <w:tc>
          <w:tcPr>
            <w:tcW w:w="700" w:type="dxa"/>
            <w:vAlign w:val="bottom"/>
          </w:tcPr>
          <w:p>
            <w:pPr>
              <w:spacing w:after="0"/>
              <w:rPr>
                <w:sz w:val="21"/>
                <w:szCs w:val="21"/>
                <w:color w:val="auto"/>
              </w:rPr>
            </w:pPr>
          </w:p>
        </w:tc>
        <w:tc>
          <w:tcPr>
            <w:tcW w:w="960" w:type="dxa"/>
            <w:vAlign w:val="bottom"/>
          </w:tcPr>
          <w:p>
            <w:pPr>
              <w:jc w:val="right"/>
              <w:ind w:right="121"/>
              <w:spacing w:after="0"/>
              <w:rPr>
                <w:sz w:val="20"/>
                <w:szCs w:val="20"/>
                <w:color w:val="auto"/>
              </w:rPr>
            </w:pPr>
            <w:r>
              <w:rPr>
                <w:rFonts w:ascii="Arial" w:cs="Arial" w:eastAsia="Arial" w:hAnsi="Arial"/>
                <w:sz w:val="20"/>
                <w:szCs w:val="20"/>
                <w:color w:val="auto"/>
              </w:rPr>
              <w:t>2</w:t>
            </w:r>
          </w:p>
        </w:tc>
        <w:tc>
          <w:tcPr>
            <w:tcW w:w="2120" w:type="dxa"/>
            <w:vAlign w:val="bottom"/>
          </w:tcPr>
          <w:p>
            <w:pPr>
              <w:ind w:left="160"/>
              <w:spacing w:after="0"/>
              <w:rPr>
                <w:sz w:val="20"/>
                <w:szCs w:val="20"/>
                <w:color w:val="auto"/>
              </w:rPr>
            </w:pPr>
            <w:r>
              <w:rPr>
                <w:rFonts w:ascii="Arial" w:cs="Arial" w:eastAsia="Arial" w:hAnsi="Arial"/>
                <w:sz w:val="20"/>
                <w:szCs w:val="20"/>
                <w:color w:val="auto"/>
                <w:w w:val="89"/>
              </w:rPr>
              <w:t>Accounts receivable, net</w:t>
            </w:r>
          </w:p>
        </w:tc>
      </w:tr>
      <w:tr>
        <w:trPr>
          <w:trHeight w:val="668"/>
        </w:trPr>
        <w:tc>
          <w:tcPr>
            <w:tcW w:w="4300" w:type="dxa"/>
            <w:vAlign w:val="bottom"/>
          </w:tcPr>
          <w:p>
            <w:pPr>
              <w:spacing w:after="0"/>
              <w:rPr>
                <w:sz w:val="20"/>
                <w:szCs w:val="20"/>
                <w:color w:val="auto"/>
              </w:rPr>
            </w:pPr>
            <w:r>
              <w:rPr>
                <w:rFonts w:ascii="Arial" w:cs="Arial" w:eastAsia="Arial" w:hAnsi="Arial"/>
                <w:sz w:val="20"/>
                <w:szCs w:val="20"/>
                <w:color w:val="auto"/>
              </w:rPr>
              <w:t>Liabilities:</w:t>
            </w:r>
          </w:p>
        </w:tc>
        <w:tc>
          <w:tcPr>
            <w:tcW w:w="1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30"/>
        </w:trPr>
        <w:tc>
          <w:tcPr>
            <w:tcW w:w="4300" w:type="dxa"/>
            <w:vAlign w:val="bottom"/>
          </w:tcPr>
          <w:p>
            <w:pPr>
              <w:ind w:left="300"/>
              <w:spacing w:after="0"/>
              <w:rPr>
                <w:sz w:val="20"/>
                <w:szCs w:val="20"/>
                <w:color w:val="auto"/>
              </w:rPr>
            </w:pPr>
            <w:r>
              <w:rPr>
                <w:rFonts w:ascii="Arial" w:cs="Arial" w:eastAsia="Arial" w:hAnsi="Arial"/>
                <w:sz w:val="20"/>
                <w:szCs w:val="20"/>
                <w:color w:val="auto"/>
              </w:rPr>
              <w:t>Foreign currency exchange contracts:</w:t>
            </w:r>
          </w:p>
        </w:tc>
        <w:tc>
          <w:tcPr>
            <w:tcW w:w="14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30"/>
        </w:trPr>
        <w:tc>
          <w:tcPr>
            <w:tcW w:w="4300" w:type="dxa"/>
            <w:vAlign w:val="bottom"/>
          </w:tcPr>
          <w:p>
            <w:pPr>
              <w:ind w:left="880"/>
              <w:spacing w:after="0"/>
              <w:rPr>
                <w:sz w:val="20"/>
                <w:szCs w:val="20"/>
                <w:color w:val="auto"/>
              </w:rPr>
            </w:pPr>
            <w:r>
              <w:rPr>
                <w:rFonts w:ascii="Arial" w:cs="Arial" w:eastAsia="Arial" w:hAnsi="Arial"/>
                <w:sz w:val="20"/>
                <w:szCs w:val="20"/>
                <w:color w:val="auto"/>
              </w:rPr>
              <w:t>Receive USD/pay GBP</w:t>
            </w:r>
          </w:p>
        </w:tc>
        <w:tc>
          <w:tcPr>
            <w:tcW w:w="1480" w:type="dxa"/>
            <w:vAlign w:val="bottom"/>
          </w:tcPr>
          <w:p>
            <w:pPr>
              <w:jc w:val="right"/>
              <w:ind w:right="241"/>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141"/>
              <w:spacing w:after="0"/>
              <w:rPr>
                <w:sz w:val="20"/>
                <w:szCs w:val="20"/>
                <w:color w:val="auto"/>
              </w:rPr>
            </w:pPr>
            <w:r>
              <w:rPr>
                <w:rFonts w:ascii="Arial" w:cs="Arial" w:eastAsia="Arial" w:hAnsi="Arial"/>
                <w:sz w:val="20"/>
                <w:szCs w:val="20"/>
                <w:color w:val="auto"/>
              </w:rPr>
              <w:t>7,718</w:t>
            </w:r>
          </w:p>
        </w:tc>
        <w:tc>
          <w:tcPr>
            <w:tcW w:w="700" w:type="dxa"/>
            <w:vAlign w:val="bottom"/>
          </w:tcPr>
          <w:p>
            <w:pPr>
              <w:jc w:val="right"/>
              <w:ind w:right="281"/>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41"/>
              <w:spacing w:after="0"/>
              <w:rPr>
                <w:sz w:val="20"/>
                <w:szCs w:val="20"/>
                <w:color w:val="auto"/>
              </w:rPr>
            </w:pPr>
            <w:r>
              <w:rPr>
                <w:rFonts w:ascii="Arial" w:cs="Arial" w:eastAsia="Arial" w:hAnsi="Arial"/>
                <w:sz w:val="20"/>
                <w:szCs w:val="20"/>
                <w:color w:val="auto"/>
              </w:rPr>
              <w:t>(57)</w:t>
            </w:r>
          </w:p>
        </w:tc>
        <w:tc>
          <w:tcPr>
            <w:tcW w:w="2120" w:type="dxa"/>
            <w:vAlign w:val="bottom"/>
          </w:tcPr>
          <w:p>
            <w:pPr>
              <w:ind w:left="160"/>
              <w:spacing w:after="0"/>
              <w:rPr>
                <w:sz w:val="20"/>
                <w:szCs w:val="20"/>
                <w:color w:val="auto"/>
              </w:rPr>
            </w:pPr>
            <w:r>
              <w:rPr>
                <w:rFonts w:ascii="Arial" w:cs="Arial" w:eastAsia="Arial" w:hAnsi="Arial"/>
                <w:sz w:val="20"/>
                <w:szCs w:val="20"/>
                <w:color w:val="auto"/>
              </w:rPr>
              <w:t>Accrued liabilities</w:t>
            </w:r>
          </w:p>
        </w:tc>
      </w:tr>
      <w:tr>
        <w:trPr>
          <w:trHeight w:val="230"/>
        </w:trPr>
        <w:tc>
          <w:tcPr>
            <w:tcW w:w="4300" w:type="dxa"/>
            <w:vAlign w:val="bottom"/>
          </w:tcPr>
          <w:p>
            <w:pPr>
              <w:ind w:left="880"/>
              <w:spacing w:after="0"/>
              <w:rPr>
                <w:sz w:val="20"/>
                <w:szCs w:val="20"/>
                <w:color w:val="auto"/>
              </w:rPr>
            </w:pPr>
            <w:r>
              <w:rPr>
                <w:rFonts w:ascii="Arial" w:cs="Arial" w:eastAsia="Arial" w:hAnsi="Arial"/>
                <w:sz w:val="20"/>
                <w:szCs w:val="20"/>
                <w:color w:val="auto"/>
              </w:rPr>
              <w:t>Receive USD/pay EUR</w:t>
            </w:r>
          </w:p>
        </w:tc>
        <w:tc>
          <w:tcPr>
            <w:tcW w:w="1480" w:type="dxa"/>
            <w:vAlign w:val="bottom"/>
          </w:tcPr>
          <w:p>
            <w:pPr>
              <w:spacing w:after="0"/>
              <w:rPr>
                <w:sz w:val="19"/>
                <w:szCs w:val="19"/>
                <w:color w:val="auto"/>
              </w:rPr>
            </w:pPr>
          </w:p>
        </w:tc>
        <w:tc>
          <w:tcPr>
            <w:tcW w:w="1140" w:type="dxa"/>
            <w:vAlign w:val="bottom"/>
          </w:tcPr>
          <w:p>
            <w:pPr>
              <w:jc w:val="right"/>
              <w:ind w:right="141"/>
              <w:spacing w:after="0"/>
              <w:rPr>
                <w:sz w:val="20"/>
                <w:szCs w:val="20"/>
                <w:color w:val="auto"/>
              </w:rPr>
            </w:pPr>
            <w:r>
              <w:rPr>
                <w:rFonts w:ascii="Arial" w:cs="Arial" w:eastAsia="Arial" w:hAnsi="Arial"/>
                <w:sz w:val="20"/>
                <w:szCs w:val="20"/>
                <w:color w:val="auto"/>
              </w:rPr>
              <w:t>29,621</w:t>
            </w:r>
          </w:p>
        </w:tc>
        <w:tc>
          <w:tcPr>
            <w:tcW w:w="70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20"/>
                <w:szCs w:val="20"/>
                <w:color w:val="auto"/>
              </w:rPr>
              <w:t>(325)</w:t>
            </w:r>
          </w:p>
        </w:tc>
        <w:tc>
          <w:tcPr>
            <w:tcW w:w="2120" w:type="dxa"/>
            <w:vAlign w:val="bottom"/>
          </w:tcPr>
          <w:p>
            <w:pPr>
              <w:ind w:left="160"/>
              <w:spacing w:after="0"/>
              <w:rPr>
                <w:sz w:val="20"/>
                <w:szCs w:val="20"/>
                <w:color w:val="auto"/>
              </w:rPr>
            </w:pPr>
            <w:r>
              <w:rPr>
                <w:rFonts w:ascii="Arial" w:cs="Arial" w:eastAsia="Arial" w:hAnsi="Arial"/>
                <w:sz w:val="20"/>
                <w:szCs w:val="20"/>
                <w:color w:val="auto"/>
              </w:rPr>
              <w:t>Accrued liabilities</w:t>
            </w:r>
          </w:p>
        </w:tc>
      </w:tr>
      <w:tr>
        <w:trPr>
          <w:trHeight w:val="230"/>
        </w:trPr>
        <w:tc>
          <w:tcPr>
            <w:tcW w:w="4300" w:type="dxa"/>
            <w:vAlign w:val="bottom"/>
          </w:tcPr>
          <w:p>
            <w:pPr>
              <w:ind w:left="880"/>
              <w:spacing w:after="0"/>
              <w:rPr>
                <w:sz w:val="20"/>
                <w:szCs w:val="20"/>
                <w:color w:val="auto"/>
              </w:rPr>
            </w:pPr>
            <w:r>
              <w:rPr>
                <w:rFonts w:ascii="Arial" w:cs="Arial" w:eastAsia="Arial" w:hAnsi="Arial"/>
                <w:sz w:val="20"/>
                <w:szCs w:val="20"/>
                <w:color w:val="auto"/>
              </w:rPr>
              <w:t>Receive USD/pay AUD</w:t>
            </w:r>
          </w:p>
        </w:tc>
        <w:tc>
          <w:tcPr>
            <w:tcW w:w="1480" w:type="dxa"/>
            <w:vAlign w:val="bottom"/>
          </w:tcPr>
          <w:p>
            <w:pPr>
              <w:spacing w:after="0"/>
              <w:rPr>
                <w:sz w:val="19"/>
                <w:szCs w:val="19"/>
                <w:color w:val="auto"/>
              </w:rPr>
            </w:pPr>
          </w:p>
        </w:tc>
        <w:tc>
          <w:tcPr>
            <w:tcW w:w="1140" w:type="dxa"/>
            <w:vAlign w:val="bottom"/>
          </w:tcPr>
          <w:p>
            <w:pPr>
              <w:jc w:val="right"/>
              <w:ind w:right="141"/>
              <w:spacing w:after="0"/>
              <w:rPr>
                <w:sz w:val="20"/>
                <w:szCs w:val="20"/>
                <w:color w:val="auto"/>
              </w:rPr>
            </w:pPr>
            <w:r>
              <w:rPr>
                <w:rFonts w:ascii="Arial" w:cs="Arial" w:eastAsia="Arial" w:hAnsi="Arial"/>
                <w:sz w:val="20"/>
                <w:szCs w:val="20"/>
                <w:color w:val="auto"/>
              </w:rPr>
              <w:t>15,135</w:t>
            </w:r>
          </w:p>
        </w:tc>
        <w:tc>
          <w:tcPr>
            <w:tcW w:w="70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20"/>
                <w:szCs w:val="20"/>
                <w:color w:val="auto"/>
              </w:rPr>
              <w:t>(74)</w:t>
            </w:r>
          </w:p>
        </w:tc>
        <w:tc>
          <w:tcPr>
            <w:tcW w:w="2120" w:type="dxa"/>
            <w:vAlign w:val="bottom"/>
          </w:tcPr>
          <w:p>
            <w:pPr>
              <w:ind w:left="160"/>
              <w:spacing w:after="0"/>
              <w:rPr>
                <w:sz w:val="20"/>
                <w:szCs w:val="20"/>
                <w:color w:val="auto"/>
              </w:rPr>
            </w:pPr>
            <w:r>
              <w:rPr>
                <w:rFonts w:ascii="Arial" w:cs="Arial" w:eastAsia="Arial" w:hAnsi="Arial"/>
                <w:sz w:val="20"/>
                <w:szCs w:val="20"/>
                <w:color w:val="auto"/>
              </w:rPr>
              <w:t>Accrued liabilities</w:t>
            </w:r>
          </w:p>
        </w:tc>
      </w:tr>
      <w:tr>
        <w:trPr>
          <w:trHeight w:val="230"/>
        </w:trPr>
        <w:tc>
          <w:tcPr>
            <w:tcW w:w="4300" w:type="dxa"/>
            <w:vAlign w:val="bottom"/>
          </w:tcPr>
          <w:p>
            <w:pPr>
              <w:ind w:left="880"/>
              <w:spacing w:after="0"/>
              <w:rPr>
                <w:sz w:val="20"/>
                <w:szCs w:val="20"/>
                <w:color w:val="auto"/>
              </w:rPr>
            </w:pPr>
            <w:r>
              <w:rPr>
                <w:rFonts w:ascii="Arial" w:cs="Arial" w:eastAsia="Arial" w:hAnsi="Arial"/>
                <w:sz w:val="20"/>
                <w:szCs w:val="20"/>
                <w:color w:val="auto"/>
              </w:rPr>
              <w:t>Receive USD/pay ZAR</w:t>
            </w:r>
          </w:p>
        </w:tc>
        <w:tc>
          <w:tcPr>
            <w:tcW w:w="1480" w:type="dxa"/>
            <w:vAlign w:val="bottom"/>
          </w:tcPr>
          <w:p>
            <w:pPr>
              <w:spacing w:after="0"/>
              <w:rPr>
                <w:sz w:val="19"/>
                <w:szCs w:val="19"/>
                <w:color w:val="auto"/>
              </w:rPr>
            </w:pPr>
          </w:p>
        </w:tc>
        <w:tc>
          <w:tcPr>
            <w:tcW w:w="1140" w:type="dxa"/>
            <w:vAlign w:val="bottom"/>
          </w:tcPr>
          <w:p>
            <w:pPr>
              <w:jc w:val="right"/>
              <w:ind w:right="141"/>
              <w:spacing w:after="0"/>
              <w:rPr>
                <w:sz w:val="20"/>
                <w:szCs w:val="20"/>
                <w:color w:val="auto"/>
              </w:rPr>
            </w:pPr>
            <w:r>
              <w:rPr>
                <w:rFonts w:ascii="Arial" w:cs="Arial" w:eastAsia="Arial" w:hAnsi="Arial"/>
                <w:sz w:val="20"/>
                <w:szCs w:val="20"/>
                <w:color w:val="auto"/>
              </w:rPr>
              <w:t>20,405</w:t>
            </w:r>
          </w:p>
        </w:tc>
        <w:tc>
          <w:tcPr>
            <w:tcW w:w="70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20"/>
                <w:szCs w:val="20"/>
                <w:color w:val="auto"/>
              </w:rPr>
              <w:t>(296)</w:t>
            </w:r>
          </w:p>
        </w:tc>
        <w:tc>
          <w:tcPr>
            <w:tcW w:w="2120" w:type="dxa"/>
            <w:vAlign w:val="bottom"/>
          </w:tcPr>
          <w:p>
            <w:pPr>
              <w:ind w:left="160"/>
              <w:spacing w:after="0"/>
              <w:rPr>
                <w:sz w:val="20"/>
                <w:szCs w:val="20"/>
                <w:color w:val="auto"/>
              </w:rPr>
            </w:pPr>
            <w:r>
              <w:rPr>
                <w:rFonts w:ascii="Arial" w:cs="Arial" w:eastAsia="Arial" w:hAnsi="Arial"/>
                <w:sz w:val="20"/>
                <w:szCs w:val="20"/>
                <w:color w:val="auto"/>
              </w:rPr>
              <w:t>Accrued liabilities</w:t>
            </w:r>
          </w:p>
        </w:tc>
      </w:tr>
      <w:tr>
        <w:trPr>
          <w:trHeight w:val="230"/>
        </w:trPr>
        <w:tc>
          <w:tcPr>
            <w:tcW w:w="4300" w:type="dxa"/>
            <w:vAlign w:val="bottom"/>
          </w:tcPr>
          <w:p>
            <w:pPr>
              <w:ind w:left="880"/>
              <w:spacing w:after="0"/>
              <w:rPr>
                <w:sz w:val="20"/>
                <w:szCs w:val="20"/>
                <w:color w:val="auto"/>
              </w:rPr>
            </w:pPr>
            <w:r>
              <w:rPr>
                <w:rFonts w:ascii="Arial" w:cs="Arial" w:eastAsia="Arial" w:hAnsi="Arial"/>
                <w:sz w:val="20"/>
                <w:szCs w:val="20"/>
                <w:color w:val="auto"/>
              </w:rPr>
              <w:t>Receive USD/pay MXN</w:t>
            </w:r>
          </w:p>
        </w:tc>
        <w:tc>
          <w:tcPr>
            <w:tcW w:w="1480" w:type="dxa"/>
            <w:vAlign w:val="bottom"/>
          </w:tcPr>
          <w:p>
            <w:pPr>
              <w:spacing w:after="0"/>
              <w:rPr>
                <w:sz w:val="19"/>
                <w:szCs w:val="19"/>
                <w:color w:val="auto"/>
              </w:rPr>
            </w:pPr>
          </w:p>
        </w:tc>
        <w:tc>
          <w:tcPr>
            <w:tcW w:w="1140" w:type="dxa"/>
            <w:vAlign w:val="bottom"/>
          </w:tcPr>
          <w:p>
            <w:pPr>
              <w:jc w:val="right"/>
              <w:ind w:right="141"/>
              <w:spacing w:after="0"/>
              <w:rPr>
                <w:sz w:val="20"/>
                <w:szCs w:val="20"/>
                <w:color w:val="auto"/>
              </w:rPr>
            </w:pPr>
            <w:r>
              <w:rPr>
                <w:rFonts w:ascii="Arial" w:cs="Arial" w:eastAsia="Arial" w:hAnsi="Arial"/>
                <w:sz w:val="20"/>
                <w:szCs w:val="20"/>
                <w:color w:val="auto"/>
              </w:rPr>
              <w:t>25,864</w:t>
            </w:r>
          </w:p>
        </w:tc>
        <w:tc>
          <w:tcPr>
            <w:tcW w:w="70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20"/>
                <w:szCs w:val="20"/>
                <w:color w:val="auto"/>
              </w:rPr>
              <w:t>(4)</w:t>
            </w:r>
          </w:p>
        </w:tc>
        <w:tc>
          <w:tcPr>
            <w:tcW w:w="2120" w:type="dxa"/>
            <w:vAlign w:val="bottom"/>
          </w:tcPr>
          <w:p>
            <w:pPr>
              <w:ind w:left="160"/>
              <w:spacing w:after="0"/>
              <w:rPr>
                <w:sz w:val="20"/>
                <w:szCs w:val="20"/>
                <w:color w:val="auto"/>
              </w:rPr>
            </w:pPr>
            <w:r>
              <w:rPr>
                <w:rFonts w:ascii="Arial" w:cs="Arial" w:eastAsia="Arial" w:hAnsi="Arial"/>
                <w:sz w:val="20"/>
                <w:szCs w:val="20"/>
                <w:color w:val="auto"/>
              </w:rPr>
              <w:t>Accrued liabilities</w:t>
            </w:r>
          </w:p>
        </w:tc>
      </w:tr>
      <w:tr>
        <w:trPr>
          <w:trHeight w:val="230"/>
        </w:trPr>
        <w:tc>
          <w:tcPr>
            <w:tcW w:w="4300" w:type="dxa"/>
            <w:vAlign w:val="bottom"/>
          </w:tcPr>
          <w:p>
            <w:pPr>
              <w:ind w:left="880"/>
              <w:spacing w:after="0"/>
              <w:rPr>
                <w:sz w:val="20"/>
                <w:szCs w:val="20"/>
                <w:color w:val="auto"/>
              </w:rPr>
            </w:pPr>
            <w:r>
              <w:rPr>
                <w:rFonts w:ascii="Arial" w:cs="Arial" w:eastAsia="Arial" w:hAnsi="Arial"/>
                <w:sz w:val="20"/>
                <w:szCs w:val="20"/>
                <w:color w:val="auto"/>
              </w:rPr>
              <w:t>Receive USD/pay BRL</w:t>
            </w:r>
          </w:p>
        </w:tc>
        <w:tc>
          <w:tcPr>
            <w:tcW w:w="1480" w:type="dxa"/>
            <w:vAlign w:val="bottom"/>
          </w:tcPr>
          <w:p>
            <w:pPr>
              <w:spacing w:after="0"/>
              <w:rPr>
                <w:sz w:val="19"/>
                <w:szCs w:val="19"/>
                <w:color w:val="auto"/>
              </w:rPr>
            </w:pPr>
          </w:p>
        </w:tc>
        <w:tc>
          <w:tcPr>
            <w:tcW w:w="1140" w:type="dxa"/>
            <w:vAlign w:val="bottom"/>
          </w:tcPr>
          <w:p>
            <w:pPr>
              <w:jc w:val="right"/>
              <w:ind w:right="141"/>
              <w:spacing w:after="0"/>
              <w:rPr>
                <w:sz w:val="20"/>
                <w:szCs w:val="20"/>
                <w:color w:val="auto"/>
              </w:rPr>
            </w:pPr>
            <w:r>
              <w:rPr>
                <w:rFonts w:ascii="Arial" w:cs="Arial" w:eastAsia="Arial" w:hAnsi="Arial"/>
                <w:sz w:val="20"/>
                <w:szCs w:val="20"/>
                <w:color w:val="auto"/>
              </w:rPr>
              <w:t>3,138</w:t>
            </w:r>
          </w:p>
        </w:tc>
        <w:tc>
          <w:tcPr>
            <w:tcW w:w="70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20"/>
                <w:szCs w:val="20"/>
                <w:color w:val="auto"/>
              </w:rPr>
              <w:t>(3)</w:t>
            </w:r>
          </w:p>
        </w:tc>
        <w:tc>
          <w:tcPr>
            <w:tcW w:w="2120" w:type="dxa"/>
            <w:vAlign w:val="bottom"/>
          </w:tcPr>
          <w:p>
            <w:pPr>
              <w:ind w:left="160"/>
              <w:spacing w:after="0"/>
              <w:rPr>
                <w:sz w:val="20"/>
                <w:szCs w:val="20"/>
                <w:color w:val="auto"/>
              </w:rPr>
            </w:pPr>
            <w:r>
              <w:rPr>
                <w:rFonts w:ascii="Arial" w:cs="Arial" w:eastAsia="Arial" w:hAnsi="Arial"/>
                <w:sz w:val="20"/>
                <w:szCs w:val="20"/>
                <w:color w:val="auto"/>
              </w:rPr>
              <w:t>Accrued liabilities</w:t>
            </w:r>
          </w:p>
        </w:tc>
      </w:tr>
      <w:tr>
        <w:trPr>
          <w:trHeight w:val="250"/>
        </w:trPr>
        <w:tc>
          <w:tcPr>
            <w:tcW w:w="4300" w:type="dxa"/>
            <w:vAlign w:val="bottom"/>
          </w:tcPr>
          <w:p>
            <w:pPr>
              <w:ind w:left="880"/>
              <w:spacing w:after="0"/>
              <w:rPr>
                <w:sz w:val="20"/>
                <w:szCs w:val="20"/>
                <w:color w:val="auto"/>
              </w:rPr>
            </w:pPr>
            <w:r>
              <w:rPr>
                <w:rFonts w:ascii="Arial" w:cs="Arial" w:eastAsia="Arial" w:hAnsi="Arial"/>
                <w:sz w:val="20"/>
                <w:szCs w:val="20"/>
                <w:color w:val="auto"/>
              </w:rPr>
              <w:t>Receive USD/pay NZD</w:t>
            </w:r>
          </w:p>
        </w:tc>
        <w:tc>
          <w:tcPr>
            <w:tcW w:w="1480" w:type="dxa"/>
            <w:vAlign w:val="bottom"/>
          </w:tcPr>
          <w:p>
            <w:pPr>
              <w:spacing w:after="0"/>
              <w:rPr>
                <w:sz w:val="21"/>
                <w:szCs w:val="21"/>
                <w:color w:val="auto"/>
              </w:rPr>
            </w:pPr>
          </w:p>
        </w:tc>
        <w:tc>
          <w:tcPr>
            <w:tcW w:w="1140" w:type="dxa"/>
            <w:vAlign w:val="bottom"/>
          </w:tcPr>
          <w:p>
            <w:pPr>
              <w:jc w:val="right"/>
              <w:ind w:right="141"/>
              <w:spacing w:after="0"/>
              <w:rPr>
                <w:sz w:val="20"/>
                <w:szCs w:val="20"/>
                <w:color w:val="auto"/>
              </w:rPr>
            </w:pPr>
            <w:r>
              <w:rPr>
                <w:rFonts w:ascii="Arial" w:cs="Arial" w:eastAsia="Arial" w:hAnsi="Arial"/>
                <w:sz w:val="20"/>
                <w:szCs w:val="20"/>
                <w:color w:val="auto"/>
              </w:rPr>
              <w:t>2,076</w:t>
            </w:r>
          </w:p>
        </w:tc>
        <w:tc>
          <w:tcPr>
            <w:tcW w:w="700" w:type="dxa"/>
            <w:vAlign w:val="bottom"/>
          </w:tcPr>
          <w:p>
            <w:pPr>
              <w:spacing w:after="0"/>
              <w:rPr>
                <w:sz w:val="21"/>
                <w:szCs w:val="21"/>
                <w:color w:val="auto"/>
              </w:rPr>
            </w:pPr>
          </w:p>
        </w:tc>
        <w:tc>
          <w:tcPr>
            <w:tcW w:w="960" w:type="dxa"/>
            <w:vAlign w:val="bottom"/>
          </w:tcPr>
          <w:p>
            <w:pPr>
              <w:jc w:val="right"/>
              <w:ind w:right="41"/>
              <w:spacing w:after="0"/>
              <w:rPr>
                <w:sz w:val="20"/>
                <w:szCs w:val="20"/>
                <w:color w:val="auto"/>
              </w:rPr>
            </w:pPr>
            <w:r>
              <w:rPr>
                <w:rFonts w:ascii="Arial" w:cs="Arial" w:eastAsia="Arial" w:hAnsi="Arial"/>
                <w:sz w:val="20"/>
                <w:szCs w:val="20"/>
                <w:color w:val="auto"/>
              </w:rPr>
              <w:t>(5)</w:t>
            </w:r>
          </w:p>
        </w:tc>
        <w:tc>
          <w:tcPr>
            <w:tcW w:w="2120" w:type="dxa"/>
            <w:vAlign w:val="bottom"/>
          </w:tcPr>
          <w:p>
            <w:pPr>
              <w:ind w:left="160"/>
              <w:spacing w:after="0"/>
              <w:rPr>
                <w:sz w:val="20"/>
                <w:szCs w:val="20"/>
                <w:color w:val="auto"/>
              </w:rPr>
            </w:pPr>
            <w:r>
              <w:rPr>
                <w:rFonts w:ascii="Arial" w:cs="Arial" w:eastAsia="Arial" w:hAnsi="Arial"/>
                <w:sz w:val="20"/>
                <w:szCs w:val="20"/>
                <w:color w:val="auto"/>
              </w:rPr>
              <w:t>Accrued liabilities</w:t>
            </w:r>
          </w:p>
        </w:tc>
      </w:tr>
    </w:tbl>
    <w:p>
      <w:pPr>
        <w:spacing w:after="0" w:line="20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net (losses) gains on derivative instruments in the condensed consolidated statements of income were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80" w:type="dxa"/>
            <w:vAlign w:val="bottom"/>
            <w:gridSpan w:val="3"/>
          </w:tcPr>
          <w:p>
            <w:pPr>
              <w:jc w:val="center"/>
              <w:ind w:left="21"/>
              <w:spacing w:after="0"/>
              <w:rPr>
                <w:sz w:val="20"/>
                <w:szCs w:val="20"/>
                <w:color w:val="auto"/>
              </w:rPr>
            </w:pPr>
            <w:r>
              <w:rPr>
                <w:rFonts w:ascii="Arial" w:cs="Arial" w:eastAsia="Arial" w:hAnsi="Arial"/>
                <w:sz w:val="20"/>
                <w:szCs w:val="20"/>
                <w:color w:val="auto"/>
                <w:w w:val="93"/>
              </w:rPr>
              <w:t>Amount of (loss) gain</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80" w:type="dxa"/>
            <w:vAlign w:val="bottom"/>
            <w:gridSpan w:val="3"/>
          </w:tcPr>
          <w:p>
            <w:pPr>
              <w:jc w:val="center"/>
              <w:ind w:left="21"/>
              <w:spacing w:after="0"/>
              <w:rPr>
                <w:sz w:val="20"/>
                <w:szCs w:val="20"/>
                <w:color w:val="auto"/>
              </w:rPr>
            </w:pPr>
            <w:r>
              <w:rPr>
                <w:rFonts w:ascii="Arial" w:cs="Arial" w:eastAsia="Arial" w:hAnsi="Arial"/>
                <w:sz w:val="20"/>
                <w:szCs w:val="20"/>
                <w:color w:val="auto"/>
                <w:w w:val="90"/>
              </w:rPr>
              <w:t>recognized in income on</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gridSpan w:val="3"/>
          </w:tcPr>
          <w:p>
            <w:pPr>
              <w:jc w:val="center"/>
              <w:ind w:left="21"/>
              <w:spacing w:after="0"/>
              <w:rPr>
                <w:sz w:val="20"/>
                <w:szCs w:val="20"/>
                <w:color w:val="auto"/>
              </w:rPr>
            </w:pPr>
            <w:r>
              <w:rPr>
                <w:rFonts w:ascii="Arial" w:cs="Arial" w:eastAsia="Arial" w:hAnsi="Arial"/>
                <w:sz w:val="20"/>
                <w:szCs w:val="20"/>
                <w:color w:val="auto"/>
                <w:w w:val="92"/>
              </w:rPr>
              <w:t>derivatives</w:t>
            </w:r>
          </w:p>
        </w:tc>
        <w:tc>
          <w:tcPr>
            <w:tcW w:w="48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20" w:type="dxa"/>
            <w:vAlign w:val="bottom"/>
            <w:gridSpan w:val="2"/>
            <w:vMerge w:val="restart"/>
          </w:tcPr>
          <w:p>
            <w:pPr>
              <w:jc w:val="center"/>
              <w:ind w:right="300"/>
              <w:spacing w:after="0"/>
              <w:rPr>
                <w:sz w:val="20"/>
                <w:szCs w:val="20"/>
                <w:color w:val="auto"/>
              </w:rPr>
            </w:pPr>
            <w:r>
              <w:rPr>
                <w:rFonts w:ascii="Arial" w:cs="Arial" w:eastAsia="Arial" w:hAnsi="Arial"/>
                <w:sz w:val="20"/>
                <w:szCs w:val="20"/>
                <w:color w:val="auto"/>
                <w:w w:val="88"/>
              </w:rPr>
              <w:t>Derivatives not designated as</w:t>
            </w:r>
          </w:p>
        </w:tc>
        <w:tc>
          <w:tcPr>
            <w:tcW w:w="4280" w:type="dxa"/>
            <w:vAlign w:val="bottom"/>
            <w:gridSpan w:val="2"/>
            <w:vMerge w:val="restart"/>
          </w:tcPr>
          <w:p>
            <w:pPr>
              <w:jc w:val="center"/>
              <w:ind w:right="280"/>
              <w:spacing w:after="0"/>
              <w:rPr>
                <w:sz w:val="20"/>
                <w:szCs w:val="20"/>
                <w:color w:val="auto"/>
              </w:rPr>
            </w:pPr>
            <w:r>
              <w:rPr>
                <w:rFonts w:ascii="Arial" w:cs="Arial" w:eastAsia="Arial" w:hAnsi="Arial"/>
                <w:sz w:val="20"/>
                <w:szCs w:val="20"/>
                <w:color w:val="auto"/>
                <w:w w:val="91"/>
              </w:rPr>
              <w:t>Location of (loss) gain</w:t>
            </w:r>
          </w:p>
        </w:tc>
        <w:tc>
          <w:tcPr>
            <w:tcW w:w="3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3"/>
          </w:tcPr>
          <w:p>
            <w:pPr>
              <w:jc w:val="center"/>
              <w:ind w:left="21"/>
              <w:spacing w:after="0" w:line="223" w:lineRule="exact"/>
              <w:rPr>
                <w:sz w:val="20"/>
                <w:szCs w:val="20"/>
                <w:color w:val="auto"/>
              </w:rPr>
            </w:pPr>
            <w:r>
              <w:rPr>
                <w:rFonts w:ascii="Arial" w:cs="Arial" w:eastAsia="Arial" w:hAnsi="Arial"/>
                <w:sz w:val="20"/>
                <w:szCs w:val="20"/>
                <w:color w:val="auto"/>
                <w:w w:val="88"/>
              </w:rPr>
              <w:t>Three-months ended</w:t>
            </w:r>
          </w:p>
        </w:tc>
        <w:tc>
          <w:tcPr>
            <w:tcW w:w="4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4020" w:type="dxa"/>
            <w:vAlign w:val="bottom"/>
            <w:gridSpan w:val="2"/>
            <w:vMerge w:val="continue"/>
          </w:tcPr>
          <w:p>
            <w:pPr>
              <w:spacing w:after="0"/>
              <w:rPr>
                <w:sz w:val="16"/>
                <w:szCs w:val="16"/>
                <w:color w:val="auto"/>
              </w:rPr>
            </w:pPr>
          </w:p>
        </w:tc>
        <w:tc>
          <w:tcPr>
            <w:tcW w:w="428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20" w:type="dxa"/>
            <w:vAlign w:val="bottom"/>
            <w:gridSpan w:val="2"/>
          </w:tcPr>
          <w:p>
            <w:pPr>
              <w:jc w:val="center"/>
              <w:ind w:right="300"/>
              <w:spacing w:after="0"/>
              <w:rPr>
                <w:sz w:val="20"/>
                <w:szCs w:val="20"/>
                <w:color w:val="auto"/>
              </w:rPr>
            </w:pPr>
            <w:r>
              <w:rPr>
                <w:rFonts w:ascii="Arial" w:cs="Arial" w:eastAsia="Arial" w:hAnsi="Arial"/>
                <w:sz w:val="20"/>
                <w:szCs w:val="20"/>
                <w:color w:val="auto"/>
                <w:w w:val="89"/>
              </w:rPr>
              <w:t>hedging instruments under</w:t>
            </w:r>
          </w:p>
        </w:tc>
        <w:tc>
          <w:tcPr>
            <w:tcW w:w="4280" w:type="dxa"/>
            <w:vAlign w:val="bottom"/>
            <w:gridSpan w:val="2"/>
          </w:tcPr>
          <w:p>
            <w:pPr>
              <w:jc w:val="center"/>
              <w:ind w:right="280"/>
              <w:spacing w:after="0"/>
              <w:rPr>
                <w:sz w:val="20"/>
                <w:szCs w:val="20"/>
                <w:color w:val="auto"/>
              </w:rPr>
            </w:pPr>
            <w:r>
              <w:rPr>
                <w:rFonts w:ascii="Arial" w:cs="Arial" w:eastAsia="Arial" w:hAnsi="Arial"/>
                <w:sz w:val="20"/>
                <w:szCs w:val="20"/>
                <w:color w:val="auto"/>
                <w:w w:val="90"/>
              </w:rPr>
              <w:t>recognized in income on</w:t>
            </w:r>
          </w:p>
        </w:tc>
        <w:tc>
          <w:tcPr>
            <w:tcW w:w="1700" w:type="dxa"/>
            <w:vAlign w:val="bottom"/>
            <w:gridSpan w:val="3"/>
          </w:tcPr>
          <w:p>
            <w:pPr>
              <w:jc w:val="center"/>
              <w:ind w:right="280"/>
              <w:spacing w:after="0"/>
              <w:rPr>
                <w:sz w:val="20"/>
                <w:szCs w:val="20"/>
                <w:color w:val="auto"/>
              </w:rPr>
            </w:pPr>
            <w:r>
              <w:rPr>
                <w:rFonts w:ascii="Arial" w:cs="Arial" w:eastAsia="Arial" w:hAnsi="Arial"/>
                <w:sz w:val="20"/>
                <w:szCs w:val="20"/>
                <w:color w:val="auto"/>
                <w:w w:val="86"/>
              </w:rPr>
              <w:t>September 30,</w:t>
            </w:r>
          </w:p>
        </w:tc>
        <w:tc>
          <w:tcPr>
            <w:tcW w:w="1420" w:type="dxa"/>
            <w:vAlign w:val="bottom"/>
            <w:gridSpan w:val="2"/>
          </w:tcPr>
          <w:p>
            <w:pPr>
              <w:jc w:val="center"/>
              <w:spacing w:after="0"/>
              <w:rPr>
                <w:sz w:val="20"/>
                <w:szCs w:val="20"/>
                <w:color w:val="auto"/>
              </w:rPr>
            </w:pPr>
            <w:r>
              <w:rPr>
                <w:rFonts w:ascii="Arial" w:cs="Arial" w:eastAsia="Arial" w:hAnsi="Arial"/>
                <w:sz w:val="20"/>
                <w:szCs w:val="20"/>
                <w:color w:val="auto"/>
                <w:w w:val="86"/>
              </w:rPr>
              <w:t>September 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1"/>
              </w:rPr>
              <w:t>FASB ASC 815-20</w:t>
            </w:r>
          </w:p>
        </w:tc>
        <w:tc>
          <w:tcPr>
            <w:tcW w:w="300" w:type="dxa"/>
            <w:vAlign w:val="bottom"/>
          </w:tcPr>
          <w:p>
            <w:pPr>
              <w:spacing w:after="0"/>
              <w:rPr>
                <w:sz w:val="21"/>
                <w:szCs w:val="21"/>
                <w:color w:val="auto"/>
              </w:rPr>
            </w:pPr>
          </w:p>
        </w:tc>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2"/>
              </w:rPr>
              <w:t>derivatives</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261"/>
              <w:spacing w:after="0"/>
              <w:rPr>
                <w:sz w:val="20"/>
                <w:szCs w:val="20"/>
                <w:color w:val="auto"/>
              </w:rPr>
            </w:pPr>
            <w:r>
              <w:rPr>
                <w:rFonts w:ascii="Arial" w:cs="Arial" w:eastAsia="Arial" w:hAnsi="Arial"/>
                <w:sz w:val="20"/>
                <w:szCs w:val="20"/>
                <w:color w:val="auto"/>
                <w:w w:val="85"/>
              </w:rPr>
              <w:t>2017</w:t>
            </w:r>
          </w:p>
        </w:tc>
        <w:tc>
          <w:tcPr>
            <w:tcW w:w="280" w:type="dxa"/>
            <w:vAlign w:val="bottom"/>
          </w:tcPr>
          <w:p>
            <w:pPr>
              <w:spacing w:after="0"/>
              <w:rPr>
                <w:sz w:val="21"/>
                <w:szCs w:val="21"/>
                <w:color w:val="auto"/>
              </w:rPr>
            </w:pPr>
          </w:p>
        </w:tc>
        <w:tc>
          <w:tcPr>
            <w:tcW w:w="940" w:type="dxa"/>
            <w:vAlign w:val="bottom"/>
            <w:tcBorders>
              <w:bottom w:val="single" w:sz="8" w:color="auto"/>
            </w:tcBorders>
          </w:tcPr>
          <w:p>
            <w:pPr>
              <w:jc w:val="center"/>
              <w:ind w:left="381"/>
              <w:spacing w:after="0"/>
              <w:rPr>
                <w:sz w:val="20"/>
                <w:szCs w:val="20"/>
                <w:color w:val="auto"/>
              </w:rPr>
            </w:pPr>
            <w:r>
              <w:rPr>
                <w:rFonts w:ascii="Arial" w:cs="Arial" w:eastAsia="Arial" w:hAnsi="Arial"/>
                <w:sz w:val="20"/>
                <w:szCs w:val="20"/>
                <w:color w:val="auto"/>
                <w:w w:val="85"/>
              </w:rPr>
              <w:t>2016</w:t>
            </w:r>
          </w:p>
        </w:tc>
        <w:tc>
          <w:tcPr>
            <w:tcW w:w="48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8"/>
        </w:trPr>
        <w:tc>
          <w:tcPr>
            <w:tcW w:w="4020" w:type="dxa"/>
            <w:vAlign w:val="bottom"/>
            <w:gridSpan w:val="2"/>
          </w:tcPr>
          <w:p>
            <w:pPr>
              <w:spacing w:after="0"/>
              <w:rPr>
                <w:sz w:val="20"/>
                <w:szCs w:val="20"/>
                <w:color w:val="auto"/>
              </w:rPr>
            </w:pPr>
            <w:r>
              <w:rPr>
                <w:rFonts w:ascii="Arial" w:cs="Arial" w:eastAsia="Arial" w:hAnsi="Arial"/>
                <w:sz w:val="20"/>
                <w:szCs w:val="20"/>
                <w:color w:val="auto"/>
              </w:rPr>
              <w:t>Foreign currency exchange contracts</w:t>
            </w:r>
          </w:p>
        </w:tc>
        <w:tc>
          <w:tcPr>
            <w:tcW w:w="4280" w:type="dxa"/>
            <w:vAlign w:val="bottom"/>
            <w:gridSpan w:val="2"/>
          </w:tcPr>
          <w:p>
            <w:pPr>
              <w:jc w:val="center"/>
              <w:ind w:right="300"/>
              <w:spacing w:after="0"/>
              <w:rPr>
                <w:sz w:val="20"/>
                <w:szCs w:val="20"/>
                <w:color w:val="auto"/>
              </w:rPr>
            </w:pPr>
            <w:r>
              <w:rPr>
                <w:rFonts w:ascii="Arial" w:cs="Arial" w:eastAsia="Arial" w:hAnsi="Arial"/>
                <w:sz w:val="20"/>
                <w:szCs w:val="20"/>
                <w:color w:val="auto"/>
                <w:w w:val="88"/>
              </w:rPr>
              <w:t>Interest and other income (expense), net</w:t>
            </w:r>
          </w:p>
        </w:tc>
        <w:tc>
          <w:tcPr>
            <w:tcW w:w="3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(2,172)</w:t>
            </w:r>
          </w:p>
        </w:tc>
        <w:tc>
          <w:tcPr>
            <w:tcW w:w="280" w:type="dxa"/>
            <w:vAlign w:val="bottom"/>
          </w:tcPr>
          <w:p>
            <w:pPr>
              <w:spacing w:after="0"/>
              <w:rPr>
                <w:sz w:val="24"/>
                <w:szCs w:val="24"/>
                <w:color w:val="auto"/>
              </w:rPr>
            </w:pPr>
          </w:p>
        </w:tc>
        <w:tc>
          <w:tcPr>
            <w:tcW w:w="940" w:type="dxa"/>
            <w:vAlign w:val="bottom"/>
            <w:tcBorders>
              <w:bottom w:val="single" w:sz="8" w:color="auto"/>
            </w:tcBorders>
          </w:tcPr>
          <w:p>
            <w:pPr>
              <w:jc w:val="right"/>
              <w:ind w:right="641"/>
              <w:spacing w:after="0"/>
              <w:rPr>
                <w:sz w:val="20"/>
                <w:szCs w:val="20"/>
                <w:color w:val="auto"/>
              </w:rPr>
            </w:pPr>
            <w:r>
              <w:rPr>
                <w:rFonts w:ascii="Arial" w:cs="Arial" w:eastAsia="Arial" w:hAnsi="Arial"/>
                <w:sz w:val="20"/>
                <w:szCs w:val="20"/>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(882)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3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80" w:type="dxa"/>
            <w:vAlign w:val="bottom"/>
            <w:gridSpan w:val="3"/>
          </w:tcPr>
          <w:p>
            <w:pPr>
              <w:jc w:val="center"/>
              <w:ind w:left="21"/>
              <w:spacing w:after="0"/>
              <w:rPr>
                <w:sz w:val="20"/>
                <w:szCs w:val="20"/>
                <w:color w:val="auto"/>
              </w:rPr>
            </w:pPr>
            <w:r>
              <w:rPr>
                <w:rFonts w:ascii="Arial" w:cs="Arial" w:eastAsia="Arial" w:hAnsi="Arial"/>
                <w:sz w:val="20"/>
                <w:szCs w:val="20"/>
                <w:color w:val="auto"/>
                <w:w w:val="93"/>
              </w:rPr>
              <w:t>Amount of (loss) gain</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80" w:type="dxa"/>
            <w:vAlign w:val="bottom"/>
            <w:gridSpan w:val="3"/>
          </w:tcPr>
          <w:p>
            <w:pPr>
              <w:jc w:val="center"/>
              <w:ind w:left="21"/>
              <w:spacing w:after="0"/>
              <w:rPr>
                <w:sz w:val="20"/>
                <w:szCs w:val="20"/>
                <w:color w:val="auto"/>
              </w:rPr>
            </w:pPr>
            <w:r>
              <w:rPr>
                <w:rFonts w:ascii="Arial" w:cs="Arial" w:eastAsia="Arial" w:hAnsi="Arial"/>
                <w:sz w:val="20"/>
                <w:szCs w:val="20"/>
                <w:color w:val="auto"/>
                <w:w w:val="90"/>
              </w:rPr>
              <w:t>recognized in income on</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gridSpan w:val="3"/>
          </w:tcPr>
          <w:p>
            <w:pPr>
              <w:jc w:val="center"/>
              <w:ind w:left="21"/>
              <w:spacing w:after="0"/>
              <w:rPr>
                <w:sz w:val="20"/>
                <w:szCs w:val="20"/>
                <w:color w:val="auto"/>
              </w:rPr>
            </w:pPr>
            <w:r>
              <w:rPr>
                <w:rFonts w:ascii="Arial" w:cs="Arial" w:eastAsia="Arial" w:hAnsi="Arial"/>
                <w:sz w:val="20"/>
                <w:szCs w:val="20"/>
                <w:color w:val="auto"/>
                <w:w w:val="92"/>
              </w:rPr>
              <w:t>derivatives</w:t>
            </w:r>
          </w:p>
        </w:tc>
        <w:tc>
          <w:tcPr>
            <w:tcW w:w="48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20" w:type="dxa"/>
            <w:vAlign w:val="bottom"/>
            <w:gridSpan w:val="2"/>
            <w:vMerge w:val="restart"/>
          </w:tcPr>
          <w:p>
            <w:pPr>
              <w:jc w:val="center"/>
              <w:ind w:right="300"/>
              <w:spacing w:after="0"/>
              <w:rPr>
                <w:sz w:val="20"/>
                <w:szCs w:val="20"/>
                <w:color w:val="auto"/>
              </w:rPr>
            </w:pPr>
            <w:r>
              <w:rPr>
                <w:rFonts w:ascii="Arial" w:cs="Arial" w:eastAsia="Arial" w:hAnsi="Arial"/>
                <w:sz w:val="20"/>
                <w:szCs w:val="20"/>
                <w:color w:val="auto"/>
                <w:w w:val="88"/>
              </w:rPr>
              <w:t>Derivatives not designated as</w:t>
            </w:r>
          </w:p>
        </w:tc>
        <w:tc>
          <w:tcPr>
            <w:tcW w:w="4280" w:type="dxa"/>
            <w:vAlign w:val="bottom"/>
            <w:gridSpan w:val="2"/>
            <w:vMerge w:val="restart"/>
          </w:tcPr>
          <w:p>
            <w:pPr>
              <w:jc w:val="center"/>
              <w:ind w:right="280"/>
              <w:spacing w:after="0"/>
              <w:rPr>
                <w:sz w:val="20"/>
                <w:szCs w:val="20"/>
                <w:color w:val="auto"/>
              </w:rPr>
            </w:pPr>
            <w:r>
              <w:rPr>
                <w:rFonts w:ascii="Arial" w:cs="Arial" w:eastAsia="Arial" w:hAnsi="Arial"/>
                <w:sz w:val="20"/>
                <w:szCs w:val="20"/>
                <w:color w:val="auto"/>
                <w:w w:val="91"/>
              </w:rPr>
              <w:t>Location of (loss) gain</w:t>
            </w:r>
          </w:p>
        </w:tc>
        <w:tc>
          <w:tcPr>
            <w:tcW w:w="3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3"/>
          </w:tcPr>
          <w:p>
            <w:pPr>
              <w:jc w:val="center"/>
              <w:ind w:left="21"/>
              <w:spacing w:after="0" w:line="223" w:lineRule="exact"/>
              <w:rPr>
                <w:sz w:val="20"/>
                <w:szCs w:val="20"/>
                <w:color w:val="auto"/>
              </w:rPr>
            </w:pPr>
            <w:r>
              <w:rPr>
                <w:rFonts w:ascii="Arial" w:cs="Arial" w:eastAsia="Arial" w:hAnsi="Arial"/>
                <w:sz w:val="20"/>
                <w:szCs w:val="20"/>
                <w:color w:val="auto"/>
                <w:w w:val="89"/>
              </w:rPr>
              <w:t>Nine-months ended</w:t>
            </w:r>
          </w:p>
        </w:tc>
        <w:tc>
          <w:tcPr>
            <w:tcW w:w="4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4020" w:type="dxa"/>
            <w:vAlign w:val="bottom"/>
            <w:gridSpan w:val="2"/>
            <w:vMerge w:val="continue"/>
          </w:tcPr>
          <w:p>
            <w:pPr>
              <w:spacing w:after="0"/>
              <w:rPr>
                <w:sz w:val="16"/>
                <w:szCs w:val="16"/>
                <w:color w:val="auto"/>
              </w:rPr>
            </w:pPr>
          </w:p>
        </w:tc>
        <w:tc>
          <w:tcPr>
            <w:tcW w:w="428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20" w:type="dxa"/>
            <w:vAlign w:val="bottom"/>
            <w:gridSpan w:val="2"/>
          </w:tcPr>
          <w:p>
            <w:pPr>
              <w:jc w:val="center"/>
              <w:ind w:right="300"/>
              <w:spacing w:after="0"/>
              <w:rPr>
                <w:sz w:val="20"/>
                <w:szCs w:val="20"/>
                <w:color w:val="auto"/>
              </w:rPr>
            </w:pPr>
            <w:r>
              <w:rPr>
                <w:rFonts w:ascii="Arial" w:cs="Arial" w:eastAsia="Arial" w:hAnsi="Arial"/>
                <w:sz w:val="20"/>
                <w:szCs w:val="20"/>
                <w:color w:val="auto"/>
                <w:w w:val="89"/>
              </w:rPr>
              <w:t>hedging instruments under</w:t>
            </w:r>
          </w:p>
        </w:tc>
        <w:tc>
          <w:tcPr>
            <w:tcW w:w="4280" w:type="dxa"/>
            <w:vAlign w:val="bottom"/>
            <w:gridSpan w:val="2"/>
          </w:tcPr>
          <w:p>
            <w:pPr>
              <w:jc w:val="center"/>
              <w:ind w:right="280"/>
              <w:spacing w:after="0"/>
              <w:rPr>
                <w:sz w:val="20"/>
                <w:szCs w:val="20"/>
                <w:color w:val="auto"/>
              </w:rPr>
            </w:pPr>
            <w:r>
              <w:rPr>
                <w:rFonts w:ascii="Arial" w:cs="Arial" w:eastAsia="Arial" w:hAnsi="Arial"/>
                <w:sz w:val="20"/>
                <w:szCs w:val="20"/>
                <w:color w:val="auto"/>
                <w:w w:val="90"/>
              </w:rPr>
              <w:t>recognized in income on</w:t>
            </w:r>
          </w:p>
        </w:tc>
        <w:tc>
          <w:tcPr>
            <w:tcW w:w="1700" w:type="dxa"/>
            <w:vAlign w:val="bottom"/>
            <w:gridSpan w:val="3"/>
          </w:tcPr>
          <w:p>
            <w:pPr>
              <w:jc w:val="center"/>
              <w:ind w:right="280"/>
              <w:spacing w:after="0"/>
              <w:rPr>
                <w:sz w:val="20"/>
                <w:szCs w:val="20"/>
                <w:color w:val="auto"/>
              </w:rPr>
            </w:pPr>
            <w:r>
              <w:rPr>
                <w:rFonts w:ascii="Arial" w:cs="Arial" w:eastAsia="Arial" w:hAnsi="Arial"/>
                <w:sz w:val="20"/>
                <w:szCs w:val="20"/>
                <w:color w:val="auto"/>
                <w:w w:val="86"/>
              </w:rPr>
              <w:t>September 30,</w:t>
            </w:r>
          </w:p>
        </w:tc>
        <w:tc>
          <w:tcPr>
            <w:tcW w:w="1420" w:type="dxa"/>
            <w:vAlign w:val="bottom"/>
            <w:gridSpan w:val="2"/>
          </w:tcPr>
          <w:p>
            <w:pPr>
              <w:jc w:val="center"/>
              <w:spacing w:after="0"/>
              <w:rPr>
                <w:sz w:val="20"/>
                <w:szCs w:val="20"/>
                <w:color w:val="auto"/>
              </w:rPr>
            </w:pPr>
            <w:r>
              <w:rPr>
                <w:rFonts w:ascii="Arial" w:cs="Arial" w:eastAsia="Arial" w:hAnsi="Arial"/>
                <w:sz w:val="20"/>
                <w:szCs w:val="20"/>
                <w:color w:val="auto"/>
                <w:w w:val="86"/>
              </w:rPr>
              <w:t>September 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1"/>
              </w:rPr>
              <w:t>FASB ASC 815-20</w:t>
            </w:r>
          </w:p>
        </w:tc>
        <w:tc>
          <w:tcPr>
            <w:tcW w:w="300" w:type="dxa"/>
            <w:vAlign w:val="bottom"/>
          </w:tcPr>
          <w:p>
            <w:pPr>
              <w:spacing w:after="0"/>
              <w:rPr>
                <w:sz w:val="21"/>
                <w:szCs w:val="21"/>
                <w:color w:val="auto"/>
              </w:rPr>
            </w:pPr>
          </w:p>
        </w:tc>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2"/>
              </w:rPr>
              <w:t>derivatives</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261"/>
              <w:spacing w:after="0"/>
              <w:rPr>
                <w:sz w:val="20"/>
                <w:szCs w:val="20"/>
                <w:color w:val="auto"/>
              </w:rPr>
            </w:pPr>
            <w:r>
              <w:rPr>
                <w:rFonts w:ascii="Arial" w:cs="Arial" w:eastAsia="Arial" w:hAnsi="Arial"/>
                <w:sz w:val="20"/>
                <w:szCs w:val="20"/>
                <w:color w:val="auto"/>
                <w:w w:val="85"/>
              </w:rPr>
              <w:t>2017</w:t>
            </w:r>
          </w:p>
        </w:tc>
        <w:tc>
          <w:tcPr>
            <w:tcW w:w="280" w:type="dxa"/>
            <w:vAlign w:val="bottom"/>
          </w:tcPr>
          <w:p>
            <w:pPr>
              <w:spacing w:after="0"/>
              <w:rPr>
                <w:sz w:val="21"/>
                <w:szCs w:val="21"/>
                <w:color w:val="auto"/>
              </w:rPr>
            </w:pPr>
          </w:p>
        </w:tc>
        <w:tc>
          <w:tcPr>
            <w:tcW w:w="940" w:type="dxa"/>
            <w:vAlign w:val="bottom"/>
            <w:tcBorders>
              <w:bottom w:val="single" w:sz="8" w:color="auto"/>
            </w:tcBorders>
          </w:tcPr>
          <w:p>
            <w:pPr>
              <w:jc w:val="center"/>
              <w:ind w:left="381"/>
              <w:spacing w:after="0"/>
              <w:rPr>
                <w:sz w:val="20"/>
                <w:szCs w:val="20"/>
                <w:color w:val="auto"/>
              </w:rPr>
            </w:pPr>
            <w:r>
              <w:rPr>
                <w:rFonts w:ascii="Arial" w:cs="Arial" w:eastAsia="Arial" w:hAnsi="Arial"/>
                <w:sz w:val="20"/>
                <w:szCs w:val="20"/>
                <w:color w:val="auto"/>
                <w:w w:val="85"/>
              </w:rPr>
              <w:t>2016</w:t>
            </w:r>
          </w:p>
        </w:tc>
        <w:tc>
          <w:tcPr>
            <w:tcW w:w="48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8"/>
        </w:trPr>
        <w:tc>
          <w:tcPr>
            <w:tcW w:w="4020" w:type="dxa"/>
            <w:vAlign w:val="bottom"/>
            <w:gridSpan w:val="2"/>
          </w:tcPr>
          <w:p>
            <w:pPr>
              <w:spacing w:after="0"/>
              <w:rPr>
                <w:sz w:val="20"/>
                <w:szCs w:val="20"/>
                <w:color w:val="auto"/>
              </w:rPr>
            </w:pPr>
            <w:r>
              <w:rPr>
                <w:rFonts w:ascii="Arial" w:cs="Arial" w:eastAsia="Arial" w:hAnsi="Arial"/>
                <w:sz w:val="20"/>
                <w:szCs w:val="20"/>
                <w:color w:val="auto"/>
              </w:rPr>
              <w:t>Foreign currency exchange contracts</w:t>
            </w:r>
          </w:p>
        </w:tc>
        <w:tc>
          <w:tcPr>
            <w:tcW w:w="4280" w:type="dxa"/>
            <w:vAlign w:val="bottom"/>
            <w:gridSpan w:val="2"/>
          </w:tcPr>
          <w:p>
            <w:pPr>
              <w:ind w:left="440"/>
              <w:spacing w:after="0"/>
              <w:rPr>
                <w:sz w:val="20"/>
                <w:szCs w:val="20"/>
                <w:color w:val="auto"/>
              </w:rPr>
            </w:pPr>
            <w:r>
              <w:rPr>
                <w:rFonts w:ascii="Arial" w:cs="Arial" w:eastAsia="Arial" w:hAnsi="Arial"/>
                <w:sz w:val="20"/>
                <w:szCs w:val="20"/>
                <w:color w:val="auto"/>
              </w:rPr>
              <w:t>Interest and other income (expense), net</w:t>
            </w:r>
          </w:p>
        </w:tc>
        <w:tc>
          <w:tcPr>
            <w:tcW w:w="3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(11,639)</w:t>
            </w:r>
          </w:p>
        </w:tc>
        <w:tc>
          <w:tcPr>
            <w:tcW w:w="280" w:type="dxa"/>
            <w:vAlign w:val="bottom"/>
          </w:tcPr>
          <w:p>
            <w:pPr>
              <w:spacing w:after="0"/>
              <w:rPr>
                <w:sz w:val="24"/>
                <w:szCs w:val="24"/>
                <w:color w:val="auto"/>
              </w:rPr>
            </w:pPr>
          </w:p>
        </w:tc>
        <w:tc>
          <w:tcPr>
            <w:tcW w:w="940" w:type="dxa"/>
            <w:vAlign w:val="bottom"/>
            <w:tcBorders>
              <w:bottom w:val="single" w:sz="8" w:color="auto"/>
            </w:tcBorders>
          </w:tcPr>
          <w:p>
            <w:pPr>
              <w:jc w:val="right"/>
              <w:ind w:right="641"/>
              <w:spacing w:after="0"/>
              <w:rPr>
                <w:sz w:val="20"/>
                <w:szCs w:val="20"/>
                <w:color w:val="auto"/>
              </w:rPr>
            </w:pPr>
            <w:r>
              <w:rPr>
                <w:rFonts w:ascii="Arial" w:cs="Arial" w:eastAsia="Arial" w:hAnsi="Arial"/>
                <w:sz w:val="20"/>
                <w:szCs w:val="20"/>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(424)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0" w:type="dxa"/>
            <w:vAlign w:val="bottom"/>
            <w:vMerge w:val="restart"/>
          </w:tcPr>
          <w:p>
            <w:pPr>
              <w:jc w:val="right"/>
              <w:ind w:right="2122"/>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7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40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8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left="640" w:hanging="632"/>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INVENTORIES</w:t>
      </w:r>
    </w:p>
    <w:p>
      <w:pPr>
        <w:spacing w:after="0" w:line="22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Inventories consist of the following at:</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40" w:type="dxa"/>
            <w:vAlign w:val="bottom"/>
            <w:gridSpan w:val="2"/>
          </w:tcPr>
          <w:p>
            <w:pPr>
              <w:ind w:left="60"/>
              <w:spacing w:after="0"/>
              <w:rPr>
                <w:sz w:val="20"/>
                <w:szCs w:val="20"/>
                <w:color w:val="auto"/>
              </w:rPr>
            </w:pPr>
            <w:r>
              <w:rPr>
                <w:rFonts w:ascii="Arial" w:cs="Arial" w:eastAsia="Arial" w:hAnsi="Arial"/>
                <w:sz w:val="20"/>
                <w:szCs w:val="20"/>
                <w:color w:val="auto"/>
              </w:rPr>
              <w:t>September 30,</w:t>
            </w:r>
          </w:p>
        </w:tc>
        <w:tc>
          <w:tcPr>
            <w:tcW w:w="260" w:type="dxa"/>
            <w:vAlign w:val="bottom"/>
          </w:tcPr>
          <w:p>
            <w:pPr>
              <w:spacing w:after="0"/>
              <w:rPr>
                <w:sz w:val="19"/>
                <w:szCs w:val="19"/>
                <w:color w:val="auto"/>
              </w:rPr>
            </w:pPr>
          </w:p>
        </w:tc>
        <w:tc>
          <w:tcPr>
            <w:tcW w:w="1440" w:type="dxa"/>
            <w:vAlign w:val="bottom"/>
          </w:tcPr>
          <w:p>
            <w:pPr>
              <w:jc w:val="right"/>
              <w:ind w:right="181"/>
              <w:spacing w:after="0"/>
              <w:rPr>
                <w:sz w:val="20"/>
                <w:szCs w:val="20"/>
                <w:color w:val="auto"/>
              </w:rPr>
            </w:pPr>
            <w:r>
              <w:rPr>
                <w:rFonts w:ascii="Arial" w:cs="Arial" w:eastAsia="Arial" w:hAnsi="Arial"/>
                <w:sz w:val="20"/>
                <w:szCs w:val="20"/>
                <w:color w:val="auto"/>
                <w:w w:val="90"/>
              </w:rPr>
              <w:t>December 31,</w:t>
            </w:r>
          </w:p>
        </w:tc>
        <w:tc>
          <w:tcPr>
            <w:tcW w:w="0" w:type="dxa"/>
            <w:vAlign w:val="bottom"/>
          </w:tcPr>
          <w:p>
            <w:pPr>
              <w:spacing w:after="0"/>
              <w:rPr>
                <w:sz w:val="1"/>
                <w:szCs w:val="1"/>
                <w:color w:val="auto"/>
              </w:rPr>
            </w:pPr>
          </w:p>
        </w:tc>
      </w:tr>
      <w:tr>
        <w:trPr>
          <w:trHeight w:val="246"/>
        </w:trPr>
        <w:tc>
          <w:tcPr>
            <w:tcW w:w="6420" w:type="dxa"/>
            <w:vAlign w:val="bottom"/>
            <w:vMerge w:val="restart"/>
          </w:tcPr>
          <w:p>
            <w:pPr>
              <w:spacing w:after="0"/>
              <w:rPr>
                <w:sz w:val="20"/>
                <w:szCs w:val="20"/>
                <w:color w:val="auto"/>
              </w:rPr>
            </w:pPr>
            <w:r>
              <w:rPr>
                <w:rFonts w:ascii="Arial" w:cs="Arial" w:eastAsia="Arial" w:hAnsi="Arial"/>
                <w:sz w:val="20"/>
                <w:szCs w:val="20"/>
                <w:color w:val="auto"/>
              </w:rPr>
              <w:t>Raw materials</w:t>
            </w:r>
          </w:p>
        </w:tc>
        <w:tc>
          <w:tcPr>
            <w:tcW w:w="2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color w:val="auto"/>
              </w:rPr>
              <w:t>2017</w:t>
            </w:r>
          </w:p>
        </w:tc>
        <w:tc>
          <w:tcPr>
            <w:tcW w:w="5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41"/>
              <w:spacing w:after="0"/>
              <w:rPr>
                <w:sz w:val="20"/>
                <w:szCs w:val="20"/>
                <w:color w:val="auto"/>
              </w:rPr>
            </w:pPr>
            <w:r>
              <w:rPr>
                <w:rFonts w:ascii="Arial" w:cs="Arial" w:eastAsia="Arial" w:hAnsi="Arial"/>
                <w:sz w:val="20"/>
                <w:szCs w:val="20"/>
                <w:color w:val="auto"/>
              </w:rPr>
              <w:t>2016</w:t>
            </w:r>
          </w:p>
        </w:tc>
        <w:tc>
          <w:tcPr>
            <w:tcW w:w="0" w:type="dxa"/>
            <w:vAlign w:val="bottom"/>
          </w:tcPr>
          <w:p>
            <w:pPr>
              <w:spacing w:after="0"/>
              <w:rPr>
                <w:sz w:val="1"/>
                <w:szCs w:val="1"/>
                <w:color w:val="auto"/>
              </w:rPr>
            </w:pPr>
          </w:p>
        </w:tc>
      </w:tr>
      <w:tr>
        <w:trPr>
          <w:trHeight w:val="206"/>
        </w:trPr>
        <w:tc>
          <w:tcPr>
            <w:tcW w:w="6420" w:type="dxa"/>
            <w:vAlign w:val="bottom"/>
            <w:vMerge w:val="continue"/>
          </w:tcPr>
          <w:p>
            <w:pPr>
              <w:spacing w:after="0"/>
              <w:rPr>
                <w:sz w:val="17"/>
                <w:szCs w:val="17"/>
                <w:color w:val="auto"/>
              </w:rPr>
            </w:pPr>
          </w:p>
        </w:tc>
        <w:tc>
          <w:tcPr>
            <w:tcW w:w="24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1480" w:type="dxa"/>
            <w:vAlign w:val="bottom"/>
          </w:tcPr>
          <w:p>
            <w:pPr>
              <w:jc w:val="right"/>
              <w:ind w:right="1"/>
              <w:spacing w:after="0" w:line="207" w:lineRule="exact"/>
              <w:rPr>
                <w:sz w:val="20"/>
                <w:szCs w:val="20"/>
                <w:color w:val="auto"/>
              </w:rPr>
            </w:pPr>
            <w:r>
              <w:rPr>
                <w:rFonts w:ascii="Arial" w:cs="Arial" w:eastAsia="Arial" w:hAnsi="Arial"/>
                <w:sz w:val="20"/>
                <w:szCs w:val="20"/>
                <w:color w:val="auto"/>
              </w:rPr>
              <w:t>83,190</w:t>
            </w:r>
          </w:p>
        </w:tc>
        <w:tc>
          <w:tcPr>
            <w:tcW w:w="560" w:type="dxa"/>
            <w:vAlign w:val="bottom"/>
          </w:tcPr>
          <w:p>
            <w:pPr>
              <w:spacing w:after="0"/>
              <w:rPr>
                <w:sz w:val="17"/>
                <w:szCs w:val="17"/>
                <w:color w:val="auto"/>
              </w:rPr>
            </w:pPr>
          </w:p>
        </w:tc>
        <w:tc>
          <w:tcPr>
            <w:tcW w:w="26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1440" w:type="dxa"/>
            <w:vAlign w:val="bottom"/>
          </w:tcPr>
          <w:p>
            <w:pPr>
              <w:jc w:val="right"/>
              <w:ind w:right="1"/>
              <w:spacing w:after="0" w:line="207" w:lineRule="exact"/>
              <w:rPr>
                <w:sz w:val="20"/>
                <w:szCs w:val="20"/>
                <w:color w:val="auto"/>
              </w:rPr>
            </w:pPr>
            <w:r>
              <w:rPr>
                <w:rFonts w:ascii="Arial" w:cs="Arial" w:eastAsia="Arial" w:hAnsi="Arial"/>
                <w:sz w:val="20"/>
                <w:szCs w:val="20"/>
                <w:color w:val="auto"/>
              </w:rPr>
              <w:t>58,658</w:t>
            </w:r>
          </w:p>
        </w:tc>
        <w:tc>
          <w:tcPr>
            <w:tcW w:w="0" w:type="dxa"/>
            <w:vAlign w:val="bottom"/>
          </w:tcPr>
          <w:p>
            <w:pPr>
              <w:spacing w:after="0"/>
              <w:rPr>
                <w:sz w:val="1"/>
                <w:szCs w:val="1"/>
                <w:color w:val="auto"/>
              </w:rPr>
            </w:pPr>
          </w:p>
        </w:tc>
      </w:tr>
      <w:tr>
        <w:trPr>
          <w:trHeight w:val="246"/>
        </w:trPr>
        <w:tc>
          <w:tcPr>
            <w:tcW w:w="6420" w:type="dxa"/>
            <w:vAlign w:val="bottom"/>
          </w:tcPr>
          <w:p>
            <w:pPr>
              <w:spacing w:after="0"/>
              <w:rPr>
                <w:sz w:val="20"/>
                <w:szCs w:val="20"/>
                <w:color w:val="auto"/>
              </w:rPr>
            </w:pPr>
            <w:r>
              <w:rPr>
                <w:rFonts w:ascii="Arial" w:cs="Arial" w:eastAsia="Arial" w:hAnsi="Arial"/>
                <w:sz w:val="20"/>
                <w:szCs w:val="20"/>
                <w:color w:val="auto"/>
              </w:rPr>
              <w:t>Finished goods</w:t>
            </w:r>
          </w:p>
        </w:tc>
        <w:tc>
          <w:tcPr>
            <w:tcW w:w="2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130,151</w:t>
            </w:r>
          </w:p>
        </w:tc>
        <w:tc>
          <w:tcPr>
            <w:tcW w:w="5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103,313</w:t>
            </w:r>
          </w:p>
        </w:tc>
        <w:tc>
          <w:tcPr>
            <w:tcW w:w="0" w:type="dxa"/>
            <w:vAlign w:val="bottom"/>
          </w:tcPr>
          <w:p>
            <w:pPr>
              <w:spacing w:after="0"/>
              <w:rPr>
                <w:sz w:val="1"/>
                <w:szCs w:val="1"/>
                <w:color w:val="auto"/>
              </w:rPr>
            </w:pPr>
          </w:p>
        </w:tc>
      </w:tr>
      <w:tr>
        <w:trPr>
          <w:trHeight w:val="223"/>
        </w:trPr>
        <w:tc>
          <w:tcPr>
            <w:tcW w:w="6420" w:type="dxa"/>
            <w:vAlign w:val="bottom"/>
          </w:tcPr>
          <w:p>
            <w:pPr>
              <w:spacing w:after="0"/>
              <w:rPr>
                <w:sz w:val="19"/>
                <w:szCs w:val="19"/>
                <w:color w:val="auto"/>
              </w:rPr>
            </w:pPr>
          </w:p>
        </w:tc>
        <w:tc>
          <w:tcPr>
            <w:tcW w:w="2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48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213,341</w:t>
            </w:r>
          </w:p>
        </w:tc>
        <w:tc>
          <w:tcPr>
            <w:tcW w:w="560" w:type="dxa"/>
            <w:vAlign w:val="bottom"/>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44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161,971</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640" w:hanging="632"/>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PROPERTY AND EQUIPMENT, NET</w:t>
      </w:r>
    </w:p>
    <w:p>
      <w:pPr>
        <w:spacing w:after="0" w:line="22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Property and equipment consist of the following at:</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60" w:type="dxa"/>
            <w:vAlign w:val="bottom"/>
            <w:gridSpan w:val="2"/>
          </w:tcPr>
          <w:p>
            <w:pPr>
              <w:ind w:left="60"/>
              <w:spacing w:after="0"/>
              <w:rPr>
                <w:sz w:val="20"/>
                <w:szCs w:val="20"/>
                <w:color w:val="auto"/>
              </w:rPr>
            </w:pPr>
            <w:r>
              <w:rPr>
                <w:rFonts w:ascii="Arial" w:cs="Arial" w:eastAsia="Arial" w:hAnsi="Arial"/>
                <w:sz w:val="20"/>
                <w:szCs w:val="20"/>
                <w:color w:val="auto"/>
              </w:rPr>
              <w:t>September 30,</w:t>
            </w:r>
          </w:p>
        </w:tc>
        <w:tc>
          <w:tcPr>
            <w:tcW w:w="240" w:type="dxa"/>
            <w:vAlign w:val="bottom"/>
          </w:tcPr>
          <w:p>
            <w:pPr>
              <w:spacing w:after="0"/>
              <w:rPr>
                <w:sz w:val="19"/>
                <w:szCs w:val="19"/>
                <w:color w:val="auto"/>
              </w:rPr>
            </w:pPr>
          </w:p>
        </w:tc>
        <w:tc>
          <w:tcPr>
            <w:tcW w:w="1460" w:type="dxa"/>
            <w:vAlign w:val="bottom"/>
          </w:tcPr>
          <w:p>
            <w:pPr>
              <w:jc w:val="right"/>
              <w:ind w:right="201"/>
              <w:spacing w:after="0"/>
              <w:rPr>
                <w:sz w:val="20"/>
                <w:szCs w:val="20"/>
                <w:color w:val="auto"/>
              </w:rPr>
            </w:pPr>
            <w:r>
              <w:rPr>
                <w:rFonts w:ascii="Arial" w:cs="Arial" w:eastAsia="Arial" w:hAnsi="Arial"/>
                <w:sz w:val="20"/>
                <w:szCs w:val="20"/>
                <w:color w:val="auto"/>
                <w:w w:val="90"/>
              </w:rPr>
              <w:t>December 31,</w:t>
            </w:r>
          </w:p>
        </w:tc>
        <w:tc>
          <w:tcPr>
            <w:tcW w:w="0" w:type="dxa"/>
            <w:vAlign w:val="bottom"/>
          </w:tcPr>
          <w:p>
            <w:pPr>
              <w:spacing w:after="0"/>
              <w:rPr>
                <w:sz w:val="1"/>
                <w:szCs w:val="1"/>
                <w:color w:val="auto"/>
              </w:rPr>
            </w:pPr>
          </w:p>
        </w:tc>
      </w:tr>
      <w:tr>
        <w:trPr>
          <w:trHeight w:val="246"/>
        </w:trPr>
        <w:tc>
          <w:tcPr>
            <w:tcW w:w="6400" w:type="dxa"/>
            <w:vAlign w:val="bottom"/>
            <w:vMerge w:val="restart"/>
          </w:tcPr>
          <w:p>
            <w:pPr>
              <w:spacing w:after="0"/>
              <w:rPr>
                <w:sz w:val="20"/>
                <w:szCs w:val="20"/>
                <w:color w:val="auto"/>
              </w:rPr>
            </w:pPr>
            <w:r>
              <w:rPr>
                <w:rFonts w:ascii="Arial" w:cs="Arial" w:eastAsia="Arial" w:hAnsi="Arial"/>
                <w:sz w:val="20"/>
                <w:szCs w:val="20"/>
                <w:color w:val="auto"/>
              </w:rPr>
              <w:t>Land</w:t>
            </w:r>
          </w:p>
        </w:tc>
        <w:tc>
          <w:tcPr>
            <w:tcW w:w="2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color w:val="auto"/>
              </w:rPr>
              <w:t>2017</w:t>
            </w:r>
          </w:p>
        </w:tc>
        <w:tc>
          <w:tcPr>
            <w:tcW w:w="5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color w:val="auto"/>
              </w:rPr>
              <w:t>2016</w:t>
            </w:r>
          </w:p>
        </w:tc>
        <w:tc>
          <w:tcPr>
            <w:tcW w:w="0" w:type="dxa"/>
            <w:vAlign w:val="bottom"/>
          </w:tcPr>
          <w:p>
            <w:pPr>
              <w:spacing w:after="0"/>
              <w:rPr>
                <w:sz w:val="1"/>
                <w:szCs w:val="1"/>
                <w:color w:val="auto"/>
              </w:rPr>
            </w:pPr>
          </w:p>
        </w:tc>
      </w:tr>
      <w:tr>
        <w:trPr>
          <w:trHeight w:val="206"/>
        </w:trPr>
        <w:tc>
          <w:tcPr>
            <w:tcW w:w="6400" w:type="dxa"/>
            <w:vAlign w:val="bottom"/>
            <w:vMerge w:val="continue"/>
          </w:tcPr>
          <w:p>
            <w:pPr>
              <w:spacing w:after="0"/>
              <w:rPr>
                <w:sz w:val="17"/>
                <w:szCs w:val="17"/>
                <w:color w:val="auto"/>
              </w:rPr>
            </w:pPr>
          </w:p>
        </w:tc>
        <w:tc>
          <w:tcPr>
            <w:tcW w:w="24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1480" w:type="dxa"/>
            <w:vAlign w:val="bottom"/>
          </w:tcPr>
          <w:p>
            <w:pPr>
              <w:jc w:val="right"/>
              <w:ind w:right="1"/>
              <w:spacing w:after="0" w:line="207" w:lineRule="exact"/>
              <w:rPr>
                <w:sz w:val="20"/>
                <w:szCs w:val="20"/>
                <w:color w:val="auto"/>
              </w:rPr>
            </w:pPr>
            <w:r>
              <w:rPr>
                <w:rFonts w:ascii="Arial" w:cs="Arial" w:eastAsia="Arial" w:hAnsi="Arial"/>
                <w:sz w:val="20"/>
                <w:szCs w:val="20"/>
                <w:color w:val="auto"/>
              </w:rPr>
              <w:t>47,373</w:t>
            </w:r>
          </w:p>
        </w:tc>
        <w:tc>
          <w:tcPr>
            <w:tcW w:w="580" w:type="dxa"/>
            <w:vAlign w:val="bottom"/>
          </w:tcPr>
          <w:p>
            <w:pPr>
              <w:spacing w:after="0"/>
              <w:rPr>
                <w:sz w:val="17"/>
                <w:szCs w:val="17"/>
                <w:color w:val="auto"/>
              </w:rPr>
            </w:pPr>
          </w:p>
        </w:tc>
        <w:tc>
          <w:tcPr>
            <w:tcW w:w="24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1460" w:type="dxa"/>
            <w:vAlign w:val="bottom"/>
          </w:tcPr>
          <w:p>
            <w:pPr>
              <w:jc w:val="right"/>
              <w:ind w:right="1"/>
              <w:spacing w:after="0" w:line="207" w:lineRule="exact"/>
              <w:rPr>
                <w:sz w:val="20"/>
                <w:szCs w:val="20"/>
                <w:color w:val="auto"/>
              </w:rPr>
            </w:pPr>
            <w:r>
              <w:rPr>
                <w:rFonts w:ascii="Arial" w:cs="Arial" w:eastAsia="Arial" w:hAnsi="Arial"/>
                <w:sz w:val="20"/>
                <w:szCs w:val="20"/>
                <w:color w:val="auto"/>
              </w:rPr>
              <w:t>46,596</w:t>
            </w: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20"/>
                <w:szCs w:val="20"/>
                <w:color w:val="auto"/>
              </w:rPr>
              <w:t>Leasehold improvements</w:t>
            </w:r>
          </w:p>
        </w:tc>
        <w:tc>
          <w:tcPr>
            <w:tcW w:w="240" w:type="dxa"/>
            <w:vAlign w:val="bottom"/>
          </w:tcPr>
          <w:p>
            <w:pPr>
              <w:spacing w:after="0"/>
              <w:rPr>
                <w:sz w:val="19"/>
                <w:szCs w:val="19"/>
                <w:color w:val="auto"/>
              </w:rPr>
            </w:pPr>
          </w:p>
        </w:tc>
        <w:tc>
          <w:tcPr>
            <w:tcW w:w="1480" w:type="dxa"/>
            <w:vAlign w:val="bottom"/>
          </w:tcPr>
          <w:p>
            <w:pPr>
              <w:jc w:val="right"/>
              <w:ind w:right="1"/>
              <w:spacing w:after="0"/>
              <w:rPr>
                <w:sz w:val="20"/>
                <w:szCs w:val="20"/>
                <w:color w:val="auto"/>
              </w:rPr>
            </w:pPr>
            <w:r>
              <w:rPr>
                <w:rFonts w:ascii="Arial" w:cs="Arial" w:eastAsia="Arial" w:hAnsi="Arial"/>
                <w:sz w:val="20"/>
                <w:szCs w:val="20"/>
                <w:color w:val="auto"/>
              </w:rPr>
              <w:t>4,121</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2,687</w:t>
            </w: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20"/>
                <w:szCs w:val="20"/>
                <w:color w:val="auto"/>
              </w:rPr>
              <w:t>Furniture and fixtures</w:t>
            </w:r>
          </w:p>
        </w:tc>
        <w:tc>
          <w:tcPr>
            <w:tcW w:w="240" w:type="dxa"/>
            <w:vAlign w:val="bottom"/>
          </w:tcPr>
          <w:p>
            <w:pPr>
              <w:spacing w:after="0"/>
              <w:rPr>
                <w:sz w:val="19"/>
                <w:szCs w:val="19"/>
                <w:color w:val="auto"/>
              </w:rPr>
            </w:pPr>
          </w:p>
        </w:tc>
        <w:tc>
          <w:tcPr>
            <w:tcW w:w="1480" w:type="dxa"/>
            <w:vAlign w:val="bottom"/>
          </w:tcPr>
          <w:p>
            <w:pPr>
              <w:jc w:val="right"/>
              <w:ind w:right="1"/>
              <w:spacing w:after="0"/>
              <w:rPr>
                <w:sz w:val="20"/>
                <w:szCs w:val="20"/>
                <w:color w:val="auto"/>
              </w:rPr>
            </w:pPr>
            <w:r>
              <w:rPr>
                <w:rFonts w:ascii="Arial" w:cs="Arial" w:eastAsia="Arial" w:hAnsi="Arial"/>
                <w:sz w:val="20"/>
                <w:szCs w:val="20"/>
                <w:color w:val="auto"/>
              </w:rPr>
              <w:t>4,490</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3,635</w:t>
            </w: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20"/>
                <w:szCs w:val="20"/>
                <w:color w:val="auto"/>
              </w:rPr>
              <w:t>Office and computer equipment</w:t>
            </w:r>
          </w:p>
        </w:tc>
        <w:tc>
          <w:tcPr>
            <w:tcW w:w="240" w:type="dxa"/>
            <w:vAlign w:val="bottom"/>
          </w:tcPr>
          <w:p>
            <w:pPr>
              <w:spacing w:after="0"/>
              <w:rPr>
                <w:sz w:val="19"/>
                <w:szCs w:val="19"/>
                <w:color w:val="auto"/>
              </w:rPr>
            </w:pPr>
          </w:p>
        </w:tc>
        <w:tc>
          <w:tcPr>
            <w:tcW w:w="1480" w:type="dxa"/>
            <w:vAlign w:val="bottom"/>
          </w:tcPr>
          <w:p>
            <w:pPr>
              <w:jc w:val="right"/>
              <w:ind w:right="1"/>
              <w:spacing w:after="0"/>
              <w:rPr>
                <w:sz w:val="20"/>
                <w:szCs w:val="20"/>
                <w:color w:val="auto"/>
              </w:rPr>
            </w:pPr>
            <w:r>
              <w:rPr>
                <w:rFonts w:ascii="Arial" w:cs="Arial" w:eastAsia="Arial" w:hAnsi="Arial"/>
                <w:sz w:val="20"/>
                <w:szCs w:val="20"/>
                <w:color w:val="auto"/>
              </w:rPr>
              <w:t>13,702</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11,701</w:t>
            </w:r>
          </w:p>
        </w:tc>
        <w:tc>
          <w:tcPr>
            <w:tcW w:w="0" w:type="dxa"/>
            <w:vAlign w:val="bottom"/>
          </w:tcPr>
          <w:p>
            <w:pPr>
              <w:spacing w:after="0"/>
              <w:rPr>
                <w:sz w:val="1"/>
                <w:szCs w:val="1"/>
                <w:color w:val="auto"/>
              </w:rPr>
            </w:pPr>
          </w:p>
        </w:tc>
      </w:tr>
      <w:tr>
        <w:trPr>
          <w:trHeight w:val="250"/>
        </w:trPr>
        <w:tc>
          <w:tcPr>
            <w:tcW w:w="6400" w:type="dxa"/>
            <w:vAlign w:val="bottom"/>
          </w:tcPr>
          <w:p>
            <w:pPr>
              <w:spacing w:after="0"/>
              <w:rPr>
                <w:sz w:val="20"/>
                <w:szCs w:val="20"/>
                <w:color w:val="auto"/>
              </w:rPr>
            </w:pPr>
            <w:r>
              <w:rPr>
                <w:rFonts w:ascii="Arial" w:cs="Arial" w:eastAsia="Arial" w:hAnsi="Arial"/>
                <w:sz w:val="20"/>
                <w:szCs w:val="20"/>
                <w:color w:val="auto"/>
              </w:rPr>
              <w:t>Computer software</w:t>
            </w:r>
          </w:p>
        </w:tc>
        <w:tc>
          <w:tcPr>
            <w:tcW w:w="240" w:type="dxa"/>
            <w:vAlign w:val="bottom"/>
          </w:tcPr>
          <w:p>
            <w:pPr>
              <w:spacing w:after="0"/>
              <w:rPr>
                <w:sz w:val="21"/>
                <w:szCs w:val="21"/>
                <w:color w:val="auto"/>
              </w:rPr>
            </w:pPr>
          </w:p>
        </w:tc>
        <w:tc>
          <w:tcPr>
            <w:tcW w:w="1480" w:type="dxa"/>
            <w:vAlign w:val="bottom"/>
          </w:tcPr>
          <w:p>
            <w:pPr>
              <w:jc w:val="right"/>
              <w:ind w:right="1"/>
              <w:spacing w:after="0"/>
              <w:rPr>
                <w:sz w:val="20"/>
                <w:szCs w:val="20"/>
                <w:color w:val="auto"/>
              </w:rPr>
            </w:pPr>
            <w:r>
              <w:rPr>
                <w:rFonts w:ascii="Arial" w:cs="Arial" w:eastAsia="Arial" w:hAnsi="Arial"/>
                <w:sz w:val="20"/>
                <w:szCs w:val="20"/>
                <w:color w:val="auto"/>
              </w:rPr>
              <w:t>3,238</w:t>
            </w: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3,274</w:t>
            </w:r>
          </w:p>
        </w:tc>
        <w:tc>
          <w:tcPr>
            <w:tcW w:w="0" w:type="dxa"/>
            <w:vAlign w:val="bottom"/>
          </w:tcPr>
          <w:p>
            <w:pPr>
              <w:spacing w:after="0"/>
              <w:rPr>
                <w:sz w:val="1"/>
                <w:szCs w:val="1"/>
                <w:color w:val="auto"/>
              </w:rPr>
            </w:pPr>
          </w:p>
        </w:tc>
      </w:tr>
    </w:tbl>
    <w:p>
      <w:pPr>
        <w:sectPr>
          <w:pgSz w:w="11900" w:h="16838" w:orient="portrait"/>
          <w:cols w:equalWidth="0" w:num="1">
            <w:col w:w="11460"/>
          </w:cols>
          <w:pgMar w:left="240" w:top="203" w:right="199" w:bottom="0" w:gutter="0" w:footer="0" w:header="0"/>
        </w:sectPr>
      </w:pPr>
    </w:p>
    <w:bookmarkStart w:id="10" w:name="page11"/>
    <w:bookmarkEnd w:id="10"/>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31"/>
        </w:trPr>
        <w:tc>
          <w:tcPr>
            <w:tcW w:w="6960" w:type="dxa"/>
            <w:vAlign w:val="bottom"/>
            <w:gridSpan w:val="2"/>
          </w:tcPr>
          <w:p>
            <w:pPr>
              <w:spacing w:after="0"/>
              <w:rPr>
                <w:sz w:val="20"/>
                <w:szCs w:val="20"/>
                <w:color w:val="auto"/>
              </w:rPr>
            </w:pPr>
            <w:r>
              <w:rPr>
                <w:rFonts w:ascii="Arial" w:cs="Arial" w:eastAsia="Arial" w:hAnsi="Arial"/>
                <w:sz w:val="20"/>
                <w:szCs w:val="20"/>
                <w:color w:val="auto"/>
              </w:rPr>
              <w:t>Equipment</w:t>
            </w: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143,435</w:t>
            </w: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114,230</w:t>
            </w:r>
          </w:p>
        </w:tc>
      </w:tr>
      <w:tr>
        <w:trPr>
          <w:trHeight w:val="230"/>
        </w:trPr>
        <w:tc>
          <w:tcPr>
            <w:tcW w:w="6960" w:type="dxa"/>
            <w:vAlign w:val="bottom"/>
            <w:gridSpan w:val="2"/>
          </w:tcPr>
          <w:p>
            <w:pPr>
              <w:spacing w:after="0"/>
              <w:rPr>
                <w:sz w:val="20"/>
                <w:szCs w:val="20"/>
                <w:color w:val="auto"/>
              </w:rPr>
            </w:pPr>
            <w:r>
              <w:rPr>
                <w:rFonts w:ascii="Arial" w:cs="Arial" w:eastAsia="Arial" w:hAnsi="Arial"/>
                <w:sz w:val="20"/>
                <w:szCs w:val="20"/>
                <w:color w:val="auto"/>
              </w:rPr>
              <w:t>Buildings</w:t>
            </w: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104,720</w:t>
            </w: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69,547</w:t>
            </w:r>
          </w:p>
        </w:tc>
      </w:tr>
      <w:tr>
        <w:trPr>
          <w:trHeight w:val="246"/>
        </w:trPr>
        <w:tc>
          <w:tcPr>
            <w:tcW w:w="6960" w:type="dxa"/>
            <w:vAlign w:val="bottom"/>
            <w:gridSpan w:val="2"/>
          </w:tcPr>
          <w:p>
            <w:pPr>
              <w:spacing w:after="0"/>
              <w:rPr>
                <w:sz w:val="20"/>
                <w:szCs w:val="20"/>
                <w:color w:val="auto"/>
              </w:rPr>
            </w:pPr>
            <w:r>
              <w:rPr>
                <w:rFonts w:ascii="Arial" w:cs="Arial" w:eastAsia="Arial" w:hAnsi="Arial"/>
                <w:sz w:val="20"/>
                <w:szCs w:val="20"/>
                <w:color w:val="auto"/>
              </w:rPr>
              <w:t>Vehicles</w:t>
            </w: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36,876</w:t>
            </w:r>
          </w:p>
        </w:tc>
        <w:tc>
          <w:tcPr>
            <w:tcW w:w="5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31,582</w:t>
            </w:r>
          </w:p>
        </w:tc>
      </w:tr>
      <w:tr>
        <w:trPr>
          <w:trHeight w:val="206"/>
        </w:trPr>
        <w:tc>
          <w:tcPr>
            <w:tcW w:w="640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357,955</w:t>
            </w:r>
          </w:p>
        </w:tc>
        <w:tc>
          <w:tcPr>
            <w:tcW w:w="58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283,252</w:t>
            </w:r>
          </w:p>
        </w:tc>
      </w:tr>
      <w:tr>
        <w:trPr>
          <w:trHeight w:val="246"/>
        </w:trPr>
        <w:tc>
          <w:tcPr>
            <w:tcW w:w="6960" w:type="dxa"/>
            <w:vAlign w:val="bottom"/>
            <w:gridSpan w:val="2"/>
          </w:tcPr>
          <w:p>
            <w:pPr>
              <w:spacing w:after="0"/>
              <w:rPr>
                <w:sz w:val="20"/>
                <w:szCs w:val="20"/>
                <w:color w:val="auto"/>
              </w:rPr>
            </w:pPr>
            <w:r>
              <w:rPr>
                <w:rFonts w:ascii="Arial" w:cs="Arial" w:eastAsia="Arial" w:hAnsi="Arial"/>
                <w:sz w:val="20"/>
                <w:szCs w:val="20"/>
                <w:color w:val="auto"/>
              </w:rPr>
              <w:t>Less: accumulated depreciation and amortization</w:t>
            </w:r>
          </w:p>
        </w:tc>
        <w:tc>
          <w:tcPr>
            <w:tcW w:w="1160" w:type="dxa"/>
            <w:vAlign w:val="bottom"/>
          </w:tcPr>
          <w:p>
            <w:pPr>
              <w:jc w:val="right"/>
              <w:spacing w:after="0"/>
              <w:rPr>
                <w:sz w:val="20"/>
                <w:szCs w:val="20"/>
                <w:color w:val="auto"/>
              </w:rPr>
            </w:pPr>
            <w:r>
              <w:rPr>
                <w:rFonts w:ascii="Arial" w:cs="Arial" w:eastAsia="Arial" w:hAnsi="Arial"/>
                <w:sz w:val="20"/>
                <w:szCs w:val="20"/>
                <w:color w:val="auto"/>
              </w:rPr>
              <w:t>(132,534)</w:t>
            </w:r>
          </w:p>
        </w:tc>
        <w:tc>
          <w:tcPr>
            <w:tcW w:w="5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(109,909)</w:t>
            </w:r>
          </w:p>
        </w:tc>
      </w:tr>
      <w:tr>
        <w:trPr>
          <w:trHeight w:val="223"/>
        </w:trPr>
        <w:tc>
          <w:tcPr>
            <w:tcW w:w="64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261"/>
              <w:spacing w:after="0" w:line="223" w:lineRule="exact"/>
              <w:rPr>
                <w:sz w:val="20"/>
                <w:szCs w:val="20"/>
                <w:color w:val="auto"/>
              </w:rPr>
            </w:pPr>
            <w:r>
              <w:rPr>
                <w:rFonts w:ascii="Arial" w:cs="Arial" w:eastAsia="Arial" w:hAnsi="Arial"/>
                <w:sz w:val="20"/>
                <w:szCs w:val="20"/>
                <w:color w:val="auto"/>
              </w:rPr>
              <w:t>$</w:t>
            </w:r>
          </w:p>
        </w:tc>
        <w:tc>
          <w:tcPr>
            <w:tcW w:w="1160" w:type="dxa"/>
            <w:vAlign w:val="bottom"/>
            <w:tcBorders>
              <w:top w:val="single" w:sz="8" w:color="auto"/>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225,421</w:t>
            </w:r>
          </w:p>
        </w:tc>
        <w:tc>
          <w:tcPr>
            <w:tcW w:w="5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241"/>
              <w:spacing w:after="0" w:line="223" w:lineRule="exact"/>
              <w:rPr>
                <w:sz w:val="20"/>
                <w:szCs w:val="20"/>
                <w:color w:val="auto"/>
              </w:rPr>
            </w:pPr>
            <w:r>
              <w:rPr>
                <w:rFonts w:ascii="Arial" w:cs="Arial" w:eastAsia="Arial" w:hAnsi="Arial"/>
                <w:sz w:val="20"/>
                <w:szCs w:val="20"/>
                <w:color w:val="auto"/>
              </w:rPr>
              <w:t>$</w:t>
            </w:r>
          </w:p>
        </w:tc>
        <w:tc>
          <w:tcPr>
            <w:tcW w:w="1160" w:type="dxa"/>
            <w:vAlign w:val="bottom"/>
            <w:tcBorders>
              <w:top w:val="single" w:sz="8" w:color="auto"/>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173,343</w:t>
            </w:r>
          </w:p>
        </w:tc>
      </w:tr>
      <w:tr>
        <w:trPr>
          <w:trHeight w:val="20"/>
        </w:trPr>
        <w:tc>
          <w:tcPr>
            <w:tcW w:w="64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Total depreciation and amortization expense recorded was $9.4 million and $7.5 million for the three-months ended September 30, 2017 and 2016, respectively. Total depreciation and amortization expense recorded was $26.2 million and $22.2 million for the nine-months ended September 30, 2017 and 2016, respectively.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left="640" w:hanging="632"/>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GOODWILL AND OTHER INTANGIBLE ASSETS</w:t>
      </w:r>
    </w:p>
    <w:p>
      <w:pPr>
        <w:spacing w:after="0" w:line="22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The following is a roll-forward of goodwill for the nine-months ended September 30, 2017 by reportable segment:</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center"/>
              <w:ind w:right="580"/>
              <w:spacing w:after="0"/>
              <w:rPr>
                <w:sz w:val="20"/>
                <w:szCs w:val="20"/>
                <w:color w:val="auto"/>
              </w:rPr>
            </w:pPr>
            <w:r>
              <w:rPr>
                <w:rFonts w:ascii="Arial" w:cs="Arial" w:eastAsia="Arial" w:hAnsi="Arial"/>
                <w:sz w:val="20"/>
                <w:szCs w:val="20"/>
                <w:color w:val="auto"/>
                <w:w w:val="91"/>
              </w:rPr>
              <w:t>Monster</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center"/>
              <w:ind w:right="600"/>
              <w:spacing w:after="0"/>
              <w:rPr>
                <w:sz w:val="20"/>
                <w:szCs w:val="20"/>
                <w:color w:val="auto"/>
              </w:rPr>
            </w:pPr>
            <w:r>
              <w:rPr>
                <w:rFonts w:ascii="Arial" w:cs="Arial" w:eastAsia="Arial" w:hAnsi="Arial"/>
                <w:sz w:val="20"/>
                <w:szCs w:val="20"/>
                <w:color w:val="auto"/>
                <w:w w:val="92"/>
              </w:rPr>
              <w:t>Energy®</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4"/>
          </w:tcPr>
          <w:p>
            <w:pPr>
              <w:ind w:left="40"/>
              <w:spacing w:after="0"/>
              <w:rPr>
                <w:sz w:val="20"/>
                <w:szCs w:val="20"/>
                <w:color w:val="auto"/>
              </w:rPr>
            </w:pPr>
            <w:r>
              <w:rPr>
                <w:rFonts w:ascii="Arial" w:cs="Arial" w:eastAsia="Arial" w:hAnsi="Arial"/>
                <w:sz w:val="20"/>
                <w:szCs w:val="20"/>
                <w:color w:val="auto"/>
              </w:rPr>
              <w:t>Strategic</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240" w:type="dxa"/>
            <w:vAlign w:val="bottom"/>
            <w:vMerge w:val="restart"/>
          </w:tcPr>
          <w:p>
            <w:pPr>
              <w:spacing w:after="0"/>
              <w:rPr>
                <w:sz w:val="20"/>
                <w:szCs w:val="20"/>
                <w:color w:val="auto"/>
              </w:rPr>
            </w:pPr>
            <w:r>
              <w:rPr>
                <w:rFonts w:ascii="Arial" w:cs="Arial" w:eastAsia="Arial" w:hAnsi="Arial"/>
                <w:sz w:val="20"/>
                <w:szCs w:val="20"/>
                <w:color w:val="auto"/>
              </w:rPr>
              <w:t>Balance at December 31, 2016</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2"/>
          </w:tcPr>
          <w:p>
            <w:pPr>
              <w:jc w:val="center"/>
              <w:ind w:right="580"/>
              <w:spacing w:after="0"/>
              <w:rPr>
                <w:sz w:val="20"/>
                <w:szCs w:val="20"/>
                <w:color w:val="auto"/>
              </w:rPr>
            </w:pPr>
            <w:r>
              <w:rPr>
                <w:rFonts w:ascii="Arial" w:cs="Arial" w:eastAsia="Arial" w:hAnsi="Arial"/>
                <w:sz w:val="20"/>
                <w:szCs w:val="20"/>
                <w:color w:val="auto"/>
                <w:w w:val="95"/>
              </w:rPr>
              <w:t>Drinks</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gridSpan w:val="4"/>
          </w:tcPr>
          <w:p>
            <w:pPr>
              <w:ind w:left="100"/>
              <w:spacing w:after="0"/>
              <w:rPr>
                <w:sz w:val="20"/>
                <w:szCs w:val="20"/>
                <w:color w:val="auto"/>
              </w:rPr>
            </w:pPr>
            <w:r>
              <w:rPr>
                <w:rFonts w:ascii="Arial" w:cs="Arial" w:eastAsia="Arial" w:hAnsi="Arial"/>
                <w:sz w:val="20"/>
                <w:szCs w:val="20"/>
                <w:color w:val="auto"/>
              </w:rPr>
              <w:t>Brands</w:t>
            </w:r>
          </w:p>
        </w:tc>
        <w:tc>
          <w:tcPr>
            <w:tcW w:w="200" w:type="dxa"/>
            <w:vAlign w:val="bottom"/>
          </w:tcPr>
          <w:p>
            <w:pPr>
              <w:spacing w:after="0"/>
              <w:rPr>
                <w:sz w:val="21"/>
                <w:szCs w:val="21"/>
                <w:color w:val="auto"/>
              </w:rPr>
            </w:pPr>
          </w:p>
        </w:tc>
        <w:tc>
          <w:tcPr>
            <w:tcW w:w="1220" w:type="dxa"/>
            <w:vAlign w:val="bottom"/>
            <w:gridSpan w:val="2"/>
          </w:tcPr>
          <w:p>
            <w:pPr>
              <w:ind w:left="120"/>
              <w:spacing w:after="0"/>
              <w:rPr>
                <w:sz w:val="20"/>
                <w:szCs w:val="20"/>
                <w:color w:val="auto"/>
              </w:rPr>
            </w:pPr>
            <w:r>
              <w:rPr>
                <w:rFonts w:ascii="Arial" w:cs="Arial" w:eastAsia="Arial" w:hAnsi="Arial"/>
                <w:sz w:val="20"/>
                <w:szCs w:val="20"/>
                <w:color w:val="auto"/>
              </w:rPr>
              <w:t>Other</w:t>
            </w:r>
          </w:p>
        </w:tc>
        <w:tc>
          <w:tcPr>
            <w:tcW w:w="360" w:type="dxa"/>
            <w:vAlign w:val="bottom"/>
          </w:tcPr>
          <w:p>
            <w:pPr>
              <w:spacing w:after="0"/>
              <w:rPr>
                <w:sz w:val="21"/>
                <w:szCs w:val="21"/>
                <w:color w:val="auto"/>
              </w:rPr>
            </w:pPr>
          </w:p>
        </w:tc>
        <w:tc>
          <w:tcPr>
            <w:tcW w:w="1140" w:type="dxa"/>
            <w:vAlign w:val="bottom"/>
          </w:tcPr>
          <w:p>
            <w:pPr>
              <w:jc w:val="right"/>
              <w:ind w:right="461"/>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06"/>
        </w:trPr>
        <w:tc>
          <w:tcPr>
            <w:tcW w:w="4240" w:type="dxa"/>
            <w:vAlign w:val="bottom"/>
            <w:vMerge w:val="continue"/>
          </w:tcPr>
          <w:p>
            <w:pPr>
              <w:spacing w:after="0"/>
              <w:rPr>
                <w:sz w:val="17"/>
                <w:szCs w:val="17"/>
                <w:color w:val="auto"/>
              </w:rPr>
            </w:pPr>
          </w:p>
        </w:tc>
        <w:tc>
          <w:tcPr>
            <w:tcW w:w="280" w:type="dxa"/>
            <w:vAlign w:val="bottom"/>
            <w:tcBorders>
              <w:top w:val="single" w:sz="8" w:color="auto"/>
            </w:tcBorders>
            <w:gridSpan w:val="2"/>
          </w:tcPr>
          <w:p>
            <w:pPr>
              <w:jc w:val="right"/>
              <w:spacing w:after="0" w:line="207" w:lineRule="exact"/>
              <w:rPr>
                <w:sz w:val="20"/>
                <w:szCs w:val="20"/>
                <w:color w:val="auto"/>
              </w:rPr>
            </w:pPr>
            <w:r>
              <w:rPr>
                <w:rFonts w:ascii="Arial" w:cs="Arial" w:eastAsia="Arial" w:hAnsi="Arial"/>
                <w:sz w:val="20"/>
                <w:szCs w:val="20"/>
                <w:color w:val="auto"/>
              </w:rPr>
              <w:t>$</w:t>
            </w:r>
          </w:p>
        </w:tc>
        <w:tc>
          <w:tcPr>
            <w:tcW w:w="110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693,644</w:t>
            </w:r>
          </w:p>
        </w:tc>
        <w:tc>
          <w:tcPr>
            <w:tcW w:w="300" w:type="dxa"/>
            <w:vAlign w:val="bottom"/>
          </w:tcPr>
          <w:p>
            <w:pPr>
              <w:spacing w:after="0"/>
              <w:rPr>
                <w:sz w:val="17"/>
                <w:szCs w:val="17"/>
                <w:color w:val="auto"/>
              </w:rPr>
            </w:pPr>
          </w:p>
        </w:tc>
        <w:tc>
          <w:tcPr>
            <w:tcW w:w="280" w:type="dxa"/>
            <w:vAlign w:val="bottom"/>
            <w:tcBorders>
              <w:top w:val="single" w:sz="8" w:color="auto"/>
            </w:tcBorders>
            <w:gridSpan w:val="2"/>
          </w:tcPr>
          <w:p>
            <w:pPr>
              <w:jc w:val="right"/>
              <w:ind w:right="100"/>
              <w:spacing w:after="0" w:line="207" w:lineRule="exact"/>
              <w:rPr>
                <w:sz w:val="20"/>
                <w:szCs w:val="20"/>
                <w:color w:val="auto"/>
              </w:rPr>
            </w:pPr>
            <w:r>
              <w:rPr>
                <w:rFonts w:ascii="Arial" w:cs="Arial" w:eastAsia="Arial" w:hAnsi="Arial"/>
                <w:sz w:val="20"/>
                <w:szCs w:val="20"/>
                <w:color w:val="auto"/>
              </w:rPr>
              <w:t>$</w:t>
            </w: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w w:val="99"/>
              </w:rPr>
              <w:t>637,999</w:t>
            </w:r>
          </w:p>
        </w:tc>
        <w:tc>
          <w:tcPr>
            <w:tcW w:w="28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94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w:t>
            </w:r>
          </w:p>
        </w:tc>
        <w:tc>
          <w:tcPr>
            <w:tcW w:w="280" w:type="dxa"/>
            <w:vAlign w:val="bottom"/>
          </w:tcPr>
          <w:p>
            <w:pPr>
              <w:spacing w:after="0"/>
              <w:rPr>
                <w:sz w:val="17"/>
                <w:szCs w:val="17"/>
                <w:color w:val="auto"/>
              </w:rPr>
            </w:pPr>
          </w:p>
        </w:tc>
        <w:tc>
          <w:tcPr>
            <w:tcW w:w="360" w:type="dxa"/>
            <w:vAlign w:val="bottom"/>
            <w:tcBorders>
              <w:top w:val="single" w:sz="8" w:color="auto"/>
            </w:tcBorders>
          </w:tcPr>
          <w:p>
            <w:pPr>
              <w:jc w:val="right"/>
              <w:ind w:right="61"/>
              <w:spacing w:after="0" w:line="207" w:lineRule="exact"/>
              <w:rPr>
                <w:sz w:val="20"/>
                <w:szCs w:val="20"/>
                <w:color w:val="auto"/>
              </w:rPr>
            </w:pPr>
            <w:r>
              <w:rPr>
                <w:rFonts w:ascii="Arial" w:cs="Arial" w:eastAsia="Arial" w:hAnsi="Arial"/>
                <w:sz w:val="20"/>
                <w:szCs w:val="20"/>
                <w:color w:val="auto"/>
              </w:rPr>
              <w:t>$</w:t>
            </w:r>
          </w:p>
        </w:tc>
        <w:tc>
          <w:tcPr>
            <w:tcW w:w="114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1,331,643</w:t>
            </w:r>
          </w:p>
        </w:tc>
        <w:tc>
          <w:tcPr>
            <w:tcW w:w="0" w:type="dxa"/>
            <w:vAlign w:val="bottom"/>
          </w:tcPr>
          <w:p>
            <w:pPr>
              <w:spacing w:after="0"/>
              <w:rPr>
                <w:sz w:val="1"/>
                <w:szCs w:val="1"/>
                <w:color w:val="auto"/>
              </w:rPr>
            </w:pPr>
          </w:p>
        </w:tc>
      </w:tr>
      <w:tr>
        <w:trPr>
          <w:trHeight w:val="246"/>
        </w:trPr>
        <w:tc>
          <w:tcPr>
            <w:tcW w:w="4240" w:type="dxa"/>
            <w:vAlign w:val="bottom"/>
          </w:tcPr>
          <w:p>
            <w:pPr>
              <w:spacing w:after="0"/>
              <w:rPr>
                <w:sz w:val="20"/>
                <w:szCs w:val="20"/>
                <w:color w:val="auto"/>
              </w:rPr>
            </w:pPr>
            <w:r>
              <w:rPr>
                <w:rFonts w:ascii="Arial" w:cs="Arial" w:eastAsia="Arial" w:hAnsi="Arial"/>
                <w:sz w:val="20"/>
                <w:szCs w:val="20"/>
                <w:color w:val="auto"/>
              </w:rPr>
              <w:t>Acquisitions</w:t>
            </w:r>
          </w:p>
        </w:tc>
        <w:tc>
          <w:tcPr>
            <w:tcW w:w="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3"/>
        </w:trPr>
        <w:tc>
          <w:tcPr>
            <w:tcW w:w="4240" w:type="dxa"/>
            <w:vAlign w:val="bottom"/>
          </w:tcPr>
          <w:p>
            <w:pPr>
              <w:spacing w:after="0" w:line="223" w:lineRule="exact"/>
              <w:rPr>
                <w:sz w:val="20"/>
                <w:szCs w:val="20"/>
                <w:color w:val="auto"/>
              </w:rPr>
            </w:pPr>
            <w:r>
              <w:rPr>
                <w:rFonts w:ascii="Arial" w:cs="Arial" w:eastAsia="Arial" w:hAnsi="Arial"/>
                <w:sz w:val="20"/>
                <w:szCs w:val="20"/>
                <w:color w:val="auto"/>
              </w:rPr>
              <w:t>Balance at September 30, 2017</w:t>
            </w:r>
          </w:p>
        </w:tc>
        <w:tc>
          <w:tcPr>
            <w:tcW w:w="280" w:type="dxa"/>
            <w:vAlign w:val="bottom"/>
            <w:tcBorders>
              <w:bottom w:val="single" w:sz="8" w:color="auto"/>
            </w:tcBorders>
            <w:gridSpan w:val="2"/>
          </w:tcPr>
          <w:p>
            <w:pPr>
              <w:jc w:val="right"/>
              <w:spacing w:after="0" w:line="223" w:lineRule="exact"/>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693,644</w:t>
            </w:r>
          </w:p>
        </w:tc>
        <w:tc>
          <w:tcPr>
            <w:tcW w:w="30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100"/>
              <w:spacing w:after="0" w:line="223" w:lineRule="exact"/>
              <w:rPr>
                <w:sz w:val="20"/>
                <w:szCs w:val="20"/>
                <w:color w:val="auto"/>
              </w:rPr>
            </w:pPr>
            <w:r>
              <w:rPr>
                <w:rFonts w:ascii="Arial" w:cs="Arial" w:eastAsia="Arial" w:hAnsi="Arial"/>
                <w:sz w:val="20"/>
                <w:szCs w:val="20"/>
                <w:color w:val="auto"/>
              </w:rPr>
              <w:t>$</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w w:val="99"/>
              </w:rPr>
              <w:t>637,999</w:t>
            </w:r>
          </w:p>
        </w:tc>
        <w:tc>
          <w:tcPr>
            <w:tcW w:w="28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94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1,331,643</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20"/>
                <w:szCs w:val="20"/>
                <w:color w:val="auto"/>
              </w:rPr>
              <w:t>Intangible assets consist of the following at:</w:t>
            </w: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42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4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20"/>
                <w:szCs w:val="20"/>
                <w:color w:val="auto"/>
                <w:w w:val="86"/>
              </w:rPr>
              <w:t>September 30,</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gridSpan w:val="3"/>
          </w:tcPr>
          <w:p>
            <w:pPr>
              <w:ind w:left="40"/>
              <w:spacing w:after="0"/>
              <w:rPr>
                <w:sz w:val="20"/>
                <w:szCs w:val="20"/>
                <w:color w:val="auto"/>
              </w:rPr>
            </w:pPr>
            <w:r>
              <w:rPr>
                <w:rFonts w:ascii="Arial" w:cs="Arial" w:eastAsia="Arial" w:hAnsi="Arial"/>
                <w:sz w:val="20"/>
                <w:szCs w:val="20"/>
                <w:color w:val="auto"/>
                <w:w w:val="89"/>
              </w:rPr>
              <w:t>December 31,</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4240" w:type="dxa"/>
            <w:vAlign w:val="bottom"/>
            <w:vMerge w:val="restart"/>
          </w:tcPr>
          <w:p>
            <w:pPr>
              <w:spacing w:after="0"/>
              <w:rPr>
                <w:sz w:val="20"/>
                <w:szCs w:val="20"/>
                <w:color w:val="auto"/>
              </w:rPr>
            </w:pPr>
            <w:r>
              <w:rPr>
                <w:rFonts w:ascii="Arial" w:cs="Arial" w:eastAsia="Arial" w:hAnsi="Arial"/>
                <w:sz w:val="20"/>
                <w:szCs w:val="20"/>
                <w:color w:val="auto"/>
              </w:rPr>
              <w:t>Amortizing intangibles</w:t>
            </w:r>
          </w:p>
        </w:tc>
        <w:tc>
          <w:tcPr>
            <w:tcW w:w="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21"/>
              <w:spacing w:after="0"/>
              <w:rPr>
                <w:sz w:val="20"/>
                <w:szCs w:val="20"/>
                <w:color w:val="auto"/>
              </w:rPr>
            </w:pPr>
            <w:r>
              <w:rPr>
                <w:rFonts w:ascii="Arial" w:cs="Arial" w:eastAsia="Arial" w:hAnsi="Arial"/>
                <w:sz w:val="20"/>
                <w:szCs w:val="20"/>
                <w:color w:val="auto"/>
              </w:rPr>
              <w:t>2017</w:t>
            </w:r>
          </w:p>
        </w:tc>
        <w:tc>
          <w:tcPr>
            <w:tcW w:w="3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2016</w:t>
            </w:r>
          </w:p>
        </w:tc>
        <w:tc>
          <w:tcPr>
            <w:tcW w:w="2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42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1400" w:type="dxa"/>
            <w:vAlign w:val="bottom"/>
            <w:gridSpan w:val="2"/>
          </w:tcPr>
          <w:p>
            <w:pPr>
              <w:jc w:val="right"/>
              <w:ind w:right="100"/>
              <w:spacing w:after="0" w:line="207" w:lineRule="exact"/>
              <w:rPr>
                <w:sz w:val="20"/>
                <w:szCs w:val="20"/>
                <w:color w:val="auto"/>
              </w:rPr>
            </w:pPr>
            <w:r>
              <w:rPr>
                <w:rFonts w:ascii="Arial" w:cs="Arial" w:eastAsia="Arial" w:hAnsi="Arial"/>
                <w:sz w:val="20"/>
                <w:szCs w:val="20"/>
                <w:color w:val="auto"/>
              </w:rPr>
              <w:t>71,396</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ind w:left="100"/>
              <w:spacing w:after="0" w:line="207" w:lineRule="exact"/>
              <w:rPr>
                <w:sz w:val="20"/>
                <w:szCs w:val="20"/>
                <w:color w:val="auto"/>
              </w:rPr>
            </w:pPr>
            <w:r>
              <w:rPr>
                <w:rFonts w:ascii="Arial" w:cs="Arial" w:eastAsia="Arial" w:hAnsi="Arial"/>
                <w:sz w:val="20"/>
                <w:szCs w:val="20"/>
                <w:color w:val="auto"/>
                <w:w w:val="89"/>
              </w:rPr>
              <w:t>$</w:t>
            </w:r>
          </w:p>
        </w:tc>
        <w:tc>
          <w:tcPr>
            <w:tcW w:w="1380" w:type="dxa"/>
            <w:vAlign w:val="bottom"/>
            <w:gridSpan w:val="4"/>
          </w:tcPr>
          <w:p>
            <w:pPr>
              <w:jc w:val="right"/>
              <w:ind w:right="1"/>
              <w:spacing w:after="0" w:line="207" w:lineRule="exact"/>
              <w:rPr>
                <w:sz w:val="20"/>
                <w:szCs w:val="20"/>
                <w:color w:val="auto"/>
              </w:rPr>
            </w:pPr>
            <w:r>
              <w:rPr>
                <w:rFonts w:ascii="Arial" w:cs="Arial" w:eastAsia="Arial" w:hAnsi="Arial"/>
                <w:sz w:val="20"/>
                <w:szCs w:val="20"/>
                <w:color w:val="auto"/>
              </w:rPr>
              <w:t>71,290</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4240" w:type="dxa"/>
            <w:vAlign w:val="bottom"/>
          </w:tcPr>
          <w:p>
            <w:pPr>
              <w:spacing w:after="0"/>
              <w:rPr>
                <w:sz w:val="20"/>
                <w:szCs w:val="20"/>
                <w:color w:val="auto"/>
              </w:rPr>
            </w:pPr>
            <w:r>
              <w:rPr>
                <w:rFonts w:ascii="Arial" w:cs="Arial" w:eastAsia="Arial" w:hAnsi="Arial"/>
                <w:sz w:val="20"/>
                <w:szCs w:val="20"/>
                <w:color w:val="auto"/>
              </w:rPr>
              <w:t>Accumulated amortization</w:t>
            </w:r>
          </w:p>
        </w:tc>
        <w:tc>
          <w:tcPr>
            <w:tcW w:w="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20"/>
                <w:szCs w:val="20"/>
                <w:color w:val="auto"/>
              </w:rPr>
              <w:t>(23,421)</w:t>
            </w:r>
          </w:p>
        </w:tc>
        <w:tc>
          <w:tcPr>
            <w:tcW w:w="2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20"/>
                <w:szCs w:val="20"/>
                <w:color w:val="auto"/>
              </w:rPr>
              <w:t>(14,535)</w:t>
            </w: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4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right"/>
              <w:ind w:right="100"/>
              <w:spacing w:after="0" w:line="207" w:lineRule="exact"/>
              <w:rPr>
                <w:sz w:val="20"/>
                <w:szCs w:val="20"/>
                <w:color w:val="auto"/>
              </w:rPr>
            </w:pPr>
            <w:r>
              <w:rPr>
                <w:rFonts w:ascii="Arial" w:cs="Arial" w:eastAsia="Arial" w:hAnsi="Arial"/>
                <w:sz w:val="20"/>
                <w:szCs w:val="20"/>
                <w:color w:val="auto"/>
              </w:rPr>
              <w:t>47,975</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4"/>
          </w:tcPr>
          <w:p>
            <w:pPr>
              <w:jc w:val="right"/>
              <w:ind w:right="1"/>
              <w:spacing w:after="0" w:line="207" w:lineRule="exact"/>
              <w:rPr>
                <w:sz w:val="20"/>
                <w:szCs w:val="20"/>
                <w:color w:val="auto"/>
              </w:rPr>
            </w:pPr>
            <w:r>
              <w:rPr>
                <w:rFonts w:ascii="Arial" w:cs="Arial" w:eastAsia="Arial" w:hAnsi="Arial"/>
                <w:sz w:val="20"/>
                <w:szCs w:val="20"/>
                <w:color w:val="auto"/>
              </w:rPr>
              <w:t>56,755</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4240" w:type="dxa"/>
            <w:vAlign w:val="bottom"/>
          </w:tcPr>
          <w:p>
            <w:pPr>
              <w:spacing w:after="0"/>
              <w:rPr>
                <w:sz w:val="20"/>
                <w:szCs w:val="20"/>
                <w:color w:val="auto"/>
              </w:rPr>
            </w:pPr>
            <w:r>
              <w:rPr>
                <w:rFonts w:ascii="Arial" w:cs="Arial" w:eastAsia="Arial" w:hAnsi="Arial"/>
                <w:sz w:val="20"/>
                <w:szCs w:val="20"/>
                <w:color w:val="auto"/>
              </w:rPr>
              <w:t>Non-amortizing intangibles</w:t>
            </w:r>
          </w:p>
        </w:tc>
        <w:tc>
          <w:tcPr>
            <w:tcW w:w="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20"/>
                <w:szCs w:val="20"/>
                <w:color w:val="auto"/>
              </w:rPr>
              <w:t>985,506</w:t>
            </w:r>
          </w:p>
        </w:tc>
        <w:tc>
          <w:tcPr>
            <w:tcW w:w="2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4"/>
          </w:tcPr>
          <w:p>
            <w:pPr>
              <w:jc w:val="right"/>
              <w:ind w:right="1"/>
              <w:spacing w:after="0"/>
              <w:rPr>
                <w:sz w:val="20"/>
                <w:szCs w:val="20"/>
                <w:color w:val="auto"/>
              </w:rPr>
            </w:pPr>
            <w:r>
              <w:rPr>
                <w:rFonts w:ascii="Arial" w:cs="Arial" w:eastAsia="Arial" w:hAnsi="Arial"/>
                <w:sz w:val="20"/>
                <w:szCs w:val="20"/>
                <w:color w:val="auto"/>
              </w:rPr>
              <w:t>975,880</w:t>
            </w: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400" w:type="dxa"/>
            <w:vAlign w:val="bottom"/>
            <w:tcBorders>
              <w:bottom w:val="single" w:sz="8" w:color="auto"/>
            </w:tcBorders>
            <w:gridSpan w:val="2"/>
          </w:tcPr>
          <w:p>
            <w:pPr>
              <w:jc w:val="right"/>
              <w:ind w:right="100"/>
              <w:spacing w:after="0" w:line="223" w:lineRule="exact"/>
              <w:rPr>
                <w:sz w:val="20"/>
                <w:szCs w:val="20"/>
                <w:color w:val="auto"/>
              </w:rPr>
            </w:pPr>
            <w:r>
              <w:rPr>
                <w:rFonts w:ascii="Arial" w:cs="Arial" w:eastAsia="Arial" w:hAnsi="Arial"/>
                <w:sz w:val="20"/>
                <w:szCs w:val="20"/>
                <w:color w:val="auto"/>
              </w:rPr>
              <w:t>1,033,481</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bottom w:val="single" w:sz="8" w:color="auto"/>
            </w:tcBorders>
          </w:tcPr>
          <w:p>
            <w:pPr>
              <w:ind w:left="100"/>
              <w:spacing w:after="0" w:line="223" w:lineRule="exact"/>
              <w:rPr>
                <w:sz w:val="20"/>
                <w:szCs w:val="20"/>
                <w:color w:val="auto"/>
              </w:rPr>
            </w:pPr>
            <w:r>
              <w:rPr>
                <w:rFonts w:ascii="Arial" w:cs="Arial" w:eastAsia="Arial" w:hAnsi="Arial"/>
                <w:sz w:val="20"/>
                <w:szCs w:val="20"/>
                <w:color w:val="auto"/>
                <w:w w:val="89"/>
              </w:rPr>
              <w:t>$</w:t>
            </w:r>
          </w:p>
        </w:tc>
        <w:tc>
          <w:tcPr>
            <w:tcW w:w="1380" w:type="dxa"/>
            <w:vAlign w:val="bottom"/>
            <w:tcBorders>
              <w:bottom w:val="single" w:sz="8" w:color="auto"/>
            </w:tcBorders>
            <w:gridSpan w:val="4"/>
          </w:tcPr>
          <w:p>
            <w:pPr>
              <w:jc w:val="right"/>
              <w:ind w:right="1"/>
              <w:spacing w:after="0" w:line="223" w:lineRule="exact"/>
              <w:rPr>
                <w:sz w:val="20"/>
                <w:szCs w:val="20"/>
                <w:color w:val="auto"/>
              </w:rPr>
            </w:pPr>
            <w:r>
              <w:rPr>
                <w:rFonts w:ascii="Arial" w:cs="Arial" w:eastAsia="Arial" w:hAnsi="Arial"/>
                <w:sz w:val="20"/>
                <w:szCs w:val="20"/>
                <w:color w:val="auto"/>
              </w:rPr>
              <w:t>1,032,635</w:t>
            </w: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Amortizing intangibles primarily consist of customer relationships. All amortizing intangibles have been assigned an estimated finite useful life and such intangibles are amortized on a straight-line basis over the number of years that approximate their respective useful lives, generally five to seven years. Total amortization expense recorded was $3.0 million for both the three-months ended September 30, 2017 and 2016. Total amortization expense recorded was $8.9 million and $7.7 million for the nine-months ended September 30, 2017 and 2016, respectively.</w:t>
      </w:r>
    </w:p>
    <w:p>
      <w:pPr>
        <w:spacing w:after="0" w:line="208" w:lineRule="exact"/>
        <w:rPr>
          <w:sz w:val="20"/>
          <w:szCs w:val="20"/>
          <w:color w:val="auto"/>
        </w:rPr>
      </w:pPr>
    </w:p>
    <w:p>
      <w:pPr>
        <w:ind w:left="640" w:hanging="632"/>
        <w:spacing w:after="0"/>
        <w:tabs>
          <w:tab w:leader="none" w:pos="6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DISTRIBUTION AGREEMENTS</w:t>
      </w:r>
    </w:p>
    <w:p>
      <w:pPr>
        <w:spacing w:after="0" w:line="2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In accordance with ASC No. 420 “Exit or Disposal Cost Obligations”, the Company expenses distributor termination costs in the period in which the written notification of termination occurs. The Company incurred termination costs of $15.9 million and $4.7 million for the three-months ended September 30, 2017 and 2016, respectively. The Company incurred termination costs of $35.9 million and $33.4 million for the nine-months ended September 30, 2017 and 2016, respectively. Such termination costs have been expensed in full and are included in operating expenses for the three- and nine-months ended September 30, 2017 and 2016.</w:t>
      </w:r>
    </w:p>
    <w:p>
      <w:pPr>
        <w:spacing w:after="0" w:line="194"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In the normal course of business, amounts received pursuant to new and/or amended distribution agreements entered into with certain distributors, relating to the costs associated with terminating agreements with the Company’s prior distributors, are accounted for as deferred revenue and are recognized as revenue ratably over the anticipated life of the respective distribution agreement, generally 20 years. Revenue recognized was $11.4 million and $8.4 million for the three-months ended September 30, 2017 and 2016, respectively. Revenue recognized was $31.6 million and $28.6 million for the nine-months ended September 30, 2017 and 2016, respectively.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0" w:gutter="0" w:footer="0" w:header="0"/>
        </w:sectPr>
      </w:pPr>
    </w:p>
    <w:bookmarkStart w:id="11" w:name="page12"/>
    <w:bookmarkEnd w:id="11"/>
    <w:p>
      <w:pPr>
        <w:ind w:left="640" w:hanging="632"/>
        <w:spacing w:after="0"/>
        <w:tabs>
          <w:tab w:leader="none" w:pos="6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COMMITMENTS AND CONTINGENCIES</w:t>
      </w:r>
    </w:p>
    <w:p>
      <w:pPr>
        <w:spacing w:after="0" w:line="23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had purchase commitments aggregating approximately $28.1 million at September 30, 2017, which represented commitments made by the Company and its subsidiaries to various suppliers of raw materials for the production of its products. These obligations vary in terms, but are generally satisfied within one year.</w:t>
      </w:r>
    </w:p>
    <w:p>
      <w:pPr>
        <w:spacing w:after="0" w:line="20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 Company had contractual obligations aggregating approximately $126.0 million at September 30, 2017, which related primarily to sponsorships and other marketing activities.</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Company had operating lease commitments aggregating approximately $17.4 million at September 30, 2017, which related primarily to warehouse and office space.</w:t>
      </w:r>
    </w:p>
    <w:p>
      <w:pPr>
        <w:spacing w:after="0" w:line="19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In September 2016, the Company completed its acquisition of approximately 49 acres of land, located in Rialto, CA, for a purchase price of approximately $39.1 million. The Company is constructing an approximately 1,000,000 square-foot building (the “Rialto Warehouse”), which it anticipates will be LEED certified, to replace its current leased warehouse and distribution facilities located in Corona, CA. The Company entered into an approximately $38.1 million guaranteed maximum price construction contract for the construction of the building, of which $6.2 million remained outstanding as of September 30, 2017. During the three-months ended September 30, 2017, the Company commenced its transition to the Rialto Warehouse and estimates that it will be fully operational by December 31, 2017.</w:t>
      </w:r>
    </w:p>
    <w:p>
      <w:pPr>
        <w:spacing w:after="0" w:line="17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In December 2016, the Company entered into a credit facility with HSBC Bank (China) Company Limited, Shanghai Branch consisting of a working capital line of credit under which the Company may borrow up to $4.0 million of non-collateralized debt. In February 2017, the working capital line limit was increased from $4.0 million to $9.0 million. Interest on borrowings under the line of credit is based on the People’s Bank of China benchmark lending rates multiplied by 1.05. As of September 30, 2017, the Company had $1.1 million outstanding on this line of credit, including interest, which is included in accounts payable in the condensed consolidated balance sheet.</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Legal Proceedings</w:t>
      </w:r>
    </w:p>
    <w:p>
      <w:pPr>
        <w:spacing w:after="0" w:line="229" w:lineRule="exact"/>
        <w:rPr>
          <w:sz w:val="20"/>
          <w:szCs w:val="20"/>
          <w:color w:val="auto"/>
        </w:rPr>
      </w:pPr>
    </w:p>
    <w:p>
      <w:pPr>
        <w:jc w:val="both"/>
        <w:ind w:firstLine="688"/>
        <w:spacing w:after="0" w:line="244" w:lineRule="auto"/>
        <w:rPr>
          <w:sz w:val="20"/>
          <w:szCs w:val="20"/>
          <w:color w:val="auto"/>
        </w:rPr>
      </w:pPr>
      <w:r>
        <w:rPr>
          <w:rFonts w:ascii="Arial" w:cs="Arial" w:eastAsia="Arial" w:hAnsi="Arial"/>
          <w:sz w:val="20"/>
          <w:szCs w:val="20"/>
          <w:i w:val="1"/>
          <w:iCs w:val="1"/>
          <w:color w:val="auto"/>
        </w:rPr>
        <w:t xml:space="preserve">Litigation – </w:t>
      </w:r>
      <w:r>
        <w:rPr>
          <w:rFonts w:ascii="Arial" w:cs="Arial" w:eastAsia="Arial" w:hAnsi="Arial"/>
          <w:sz w:val="20"/>
          <w:szCs w:val="20"/>
          <w:color w:val="auto"/>
        </w:rPr>
        <w:t>The Company has been named a defendant in numerous personal injury lawsuits, claiming that the death or other serious</w:t>
      </w:r>
      <w:r>
        <w:rPr>
          <w:rFonts w:ascii="Arial" w:cs="Arial" w:eastAsia="Arial" w:hAnsi="Arial"/>
          <w:sz w:val="20"/>
          <w:szCs w:val="20"/>
          <w:i w:val="1"/>
          <w:iCs w:val="1"/>
          <w:color w:val="auto"/>
        </w:rPr>
        <w:t xml:space="preserve"> </w:t>
      </w:r>
      <w:r>
        <w:rPr>
          <w:rFonts w:ascii="Arial" w:cs="Arial" w:eastAsia="Arial" w:hAnsi="Arial"/>
          <w:sz w:val="20"/>
          <w:szCs w:val="20"/>
          <w:color w:val="auto"/>
        </w:rPr>
        <w:t>injury of the plaintiffs was caused by consumption of Monster Energy® brand energy drinks. The plaintiffs in these lawsuits allege strict product liability, negligence, fraudulent concealment, breach of implied warranties and wrongful death. The Company believes that each complaint is without merit and plans a vigorous defense. The Company also believes that any damages, if awarded, would not have a material adverse effect on the Company’s financial position or results of operations.</w:t>
      </w:r>
    </w:p>
    <w:p>
      <w:pPr>
        <w:spacing w:after="0" w:line="20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i w:val="1"/>
          <w:iCs w:val="1"/>
          <w:color w:val="auto"/>
        </w:rPr>
        <w:t xml:space="preserve">State Attorney General Inquiry </w:t>
      </w:r>
      <w:r>
        <w:rPr>
          <w:rFonts w:ascii="Arial" w:cs="Arial" w:eastAsia="Arial" w:hAnsi="Arial"/>
          <w:sz w:val="18"/>
          <w:szCs w:val="18"/>
          <w:color w:val="auto"/>
        </w:rPr>
        <w:t>– In July 2012, the Company received a subpoena from the Attorney General for the State of New York</w:t>
      </w:r>
      <w:r>
        <w:rPr>
          <w:rFonts w:ascii="Arial" w:cs="Arial" w:eastAsia="Arial" w:hAnsi="Arial"/>
          <w:sz w:val="18"/>
          <w:szCs w:val="18"/>
          <w:i w:val="1"/>
          <w:iCs w:val="1"/>
          <w:color w:val="auto"/>
        </w:rPr>
        <w:t xml:space="preserve"> </w:t>
      </w:r>
      <w:r>
        <w:rPr>
          <w:rFonts w:ascii="Arial" w:cs="Arial" w:eastAsia="Arial" w:hAnsi="Arial"/>
          <w:sz w:val="18"/>
          <w:szCs w:val="18"/>
          <w:color w:val="auto"/>
        </w:rPr>
        <w:t>in connection with its investigation concerning the Company’s advertising, marketing, promotion, ingredients, usage and sale of its Monster Energy® brand energy drinks. Production of documents pursuant to that subpoena was completed in approximately May 2014.</w:t>
      </w:r>
    </w:p>
    <w:p>
      <w:pPr>
        <w:spacing w:after="0" w:line="16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On August 6, 2014, the Attorney General for the State of New York issued a second subpoena seeking additional documents and the deposition of a Company employee. On September 8, 2014, the Company moved to quash the second subpoena in the Supreme Court, New York County. The motion was fully briefed and was argued on March 17, 2015. On January 13, 2017, the Court issued an opinion in which it agreed with certain Company arguments regarding the scope of the subpoena and the Attorney General’s investigation, but denied the motion to quash and granted the Attorney General’s cross-motion to compel compliance. It is unknown what, if any, action the state Attorney General may take against the Company, the relief which may be sought in the event of any such proceeding or whether such proceeding could have a material adverse effect on the Company’s business, financial condition or results of operations.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Furthermore, from time to time in the normal course of business, the Company is named in other litigation, including consumer class actions, intellectual property litigation and claims from prior distributors. Although it is not possible to predict the ultimate outcome of such litigation, based on the facts known to the Company, management believes that such litigation in the aggregate will likely not have a material adverse effect on the Company’s financial position or results of operations.</w:t>
      </w:r>
    </w:p>
    <w:p>
      <w:pPr>
        <w:spacing w:after="0" w:line="20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The Company evaluates, on a quarterly basis, developments in legal proceedings and other matters that could cause an increase or decrease in the amount of the liability that is accrued, if any, or in the amount of any related insurance reimbursements recorded. As of September 30, 2017, the Company’s condensed consolidated balance sheet includes accrued loss contingencies of approximately $4.7 million.</w:t>
      </w:r>
    </w:p>
    <w:p>
      <w:pPr>
        <w:spacing w:after="0" w:line="165" w:lineRule="exact"/>
        <w:rPr>
          <w:sz w:val="20"/>
          <w:szCs w:val="20"/>
          <w:color w:val="auto"/>
        </w:rPr>
      </w:pPr>
    </w:p>
    <w:p>
      <w:pPr>
        <w:ind w:left="620" w:hanging="612"/>
        <w:spacing w:after="0"/>
        <w:tabs>
          <w:tab w:leader="none" w:pos="6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ACCUMULATED OTHER COMPREHENSIVE LOSS</w:t>
      </w:r>
    </w:p>
    <w:p>
      <w:pPr>
        <w:spacing w:after="0" w:line="229"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Changes in accumulated other comprehensive loss by component, after tax, for the nine-months ended September 30, 2017 are as follows:</w:t>
      </w:r>
    </w:p>
    <w:p>
      <w:pPr>
        <w:sectPr>
          <w:pgSz w:w="11900" w:h="16838"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left="5500"/>
        <w:spacing w:after="0"/>
        <w:rPr>
          <w:sz w:val="20"/>
          <w:szCs w:val="20"/>
          <w:color w:val="auto"/>
        </w:rPr>
      </w:pPr>
      <w:r>
        <w:rPr>
          <w:rFonts w:ascii="Arial" w:cs="Arial" w:eastAsia="Arial" w:hAnsi="Arial"/>
          <w:sz w:val="20"/>
          <w:szCs w:val="20"/>
          <w:color w:val="auto"/>
        </w:rPr>
        <w:t>Currency</w:t>
      </w:r>
    </w:p>
    <w:p>
      <w:pPr>
        <w:spacing w:after="0" w:line="16" w:lineRule="exact"/>
        <w:rPr>
          <w:sz w:val="20"/>
          <w:szCs w:val="20"/>
          <w:color w:val="auto"/>
        </w:rPr>
      </w:pPr>
    </w:p>
    <w:p>
      <w:pPr>
        <w:jc w:val="center"/>
        <w:ind w:left="5500"/>
        <w:spacing w:after="0"/>
        <w:rPr>
          <w:sz w:val="20"/>
          <w:szCs w:val="20"/>
          <w:color w:val="auto"/>
        </w:rPr>
      </w:pPr>
      <w:r>
        <w:rPr>
          <w:rFonts w:ascii="Arial" w:cs="Arial" w:eastAsia="Arial" w:hAnsi="Arial"/>
          <w:sz w:val="16"/>
          <w:szCs w:val="16"/>
          <w:color w:val="auto"/>
        </w:rPr>
        <w:t>Translation</w:t>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jc w:val="center"/>
        <w:ind w:right="500"/>
        <w:spacing w:after="0"/>
        <w:rPr>
          <w:sz w:val="20"/>
          <w:szCs w:val="20"/>
          <w:color w:val="auto"/>
        </w:rPr>
      </w:pPr>
      <w:r>
        <w:rPr>
          <w:rFonts w:ascii="Arial" w:cs="Arial" w:eastAsia="Arial" w:hAnsi="Arial"/>
          <w:sz w:val="20"/>
          <w:szCs w:val="20"/>
          <w:color w:val="auto"/>
        </w:rPr>
        <w:t>Unrealized</w:t>
      </w:r>
    </w:p>
    <w:p>
      <w:pPr>
        <w:spacing w:after="0" w:line="16" w:lineRule="exact"/>
        <w:rPr>
          <w:sz w:val="20"/>
          <w:szCs w:val="20"/>
          <w:color w:val="auto"/>
        </w:rPr>
      </w:pPr>
    </w:p>
    <w:p>
      <w:pPr>
        <w:jc w:val="center"/>
        <w:ind w:right="500"/>
        <w:spacing w:after="0"/>
        <w:rPr>
          <w:sz w:val="20"/>
          <w:szCs w:val="20"/>
          <w:color w:val="auto"/>
        </w:rPr>
      </w:pPr>
      <w:r>
        <w:rPr>
          <w:rFonts w:ascii="Arial" w:cs="Arial" w:eastAsia="Arial" w:hAnsi="Arial"/>
          <w:sz w:val="16"/>
          <w:szCs w:val="16"/>
          <w:color w:val="auto"/>
        </w:rPr>
        <w:t>(Gains) Losses</w:t>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color w:val="auto"/>
        </w:rPr>
        <w:t>Total</w:t>
      </w:r>
    </w:p>
    <w:p>
      <w:pPr>
        <w:sectPr>
          <w:pgSz w:w="11900" w:h="16838" w:orient="portrait"/>
          <w:cols w:equalWidth="0" w:num="3">
            <w:col w:w="6980" w:space="720"/>
            <w:col w:w="1680" w:space="720"/>
            <w:col w:w="1320"/>
          </w:cols>
          <w:pgMar w:left="240" w:top="121" w:right="239" w:bottom="0" w:gutter="0" w:footer="0" w:header="0"/>
          <w:type w:val="continuous"/>
        </w:sectPr>
      </w:pPr>
    </w:p>
    <w:bookmarkStart w:id="12" w:name="page13"/>
    <w:bookmarkEnd w:id="12"/>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color w:val="auto"/>
        </w:rPr>
        <w:t>Balance at December 31, 2016</w:t>
      </w:r>
    </w:p>
    <w:p>
      <w:pPr>
        <w:spacing w:after="0" w:line="20" w:lineRule="exact"/>
        <w:rPr>
          <w:sz w:val="20"/>
          <w:szCs w:val="20"/>
          <w:color w:val="auto"/>
        </w:rPr>
      </w:pPr>
    </w:p>
    <w:p>
      <w:pPr>
        <w:ind w:left="180"/>
        <w:spacing w:after="0" w:line="271" w:lineRule="auto"/>
        <w:rPr>
          <w:sz w:val="20"/>
          <w:szCs w:val="20"/>
          <w:color w:val="auto"/>
        </w:rPr>
      </w:pPr>
      <w:r>
        <w:rPr>
          <w:rFonts w:ascii="Arial" w:cs="Arial" w:eastAsia="Arial" w:hAnsi="Arial"/>
          <w:sz w:val="18"/>
          <w:szCs w:val="18"/>
          <w:color w:val="auto"/>
        </w:rPr>
        <w:t>Other comprehensive loss (gain) before reclassifications Amounts reclassified from accumulated other comprehensive</w:t>
      </w:r>
    </w:p>
    <w:p>
      <w:pPr>
        <w:ind w:left="360"/>
        <w:spacing w:after="0"/>
        <w:rPr>
          <w:sz w:val="20"/>
          <w:szCs w:val="20"/>
          <w:color w:val="auto"/>
        </w:rPr>
      </w:pPr>
      <w:r>
        <w:rPr>
          <w:rFonts w:ascii="Arial" w:cs="Arial" w:eastAsia="Arial" w:hAnsi="Arial"/>
          <w:sz w:val="20"/>
          <w:szCs w:val="20"/>
          <w:color w:val="auto"/>
        </w:rPr>
        <w:t>loss (gain)</w:t>
      </w:r>
    </w:p>
    <w:p>
      <w:pPr>
        <w:ind w:left="180"/>
        <w:spacing w:after="0"/>
        <w:rPr>
          <w:sz w:val="20"/>
          <w:szCs w:val="20"/>
          <w:color w:val="auto"/>
        </w:rPr>
      </w:pPr>
      <w:r>
        <w:rPr>
          <w:rFonts w:ascii="Arial" w:cs="Arial" w:eastAsia="Arial" w:hAnsi="Arial"/>
          <w:sz w:val="20"/>
          <w:szCs w:val="20"/>
          <w:color w:val="auto"/>
        </w:rPr>
        <w:t>Net current-period other comprehensive loss (gain)</w:t>
      </w:r>
    </w:p>
    <w:p>
      <w:pPr>
        <w:spacing w:after="0"/>
        <w:rPr>
          <w:sz w:val="20"/>
          <w:szCs w:val="20"/>
          <w:color w:val="auto"/>
        </w:rPr>
      </w:pPr>
      <w:r>
        <w:rPr>
          <w:rFonts w:ascii="Arial" w:cs="Arial" w:eastAsia="Arial" w:hAnsi="Arial"/>
          <w:sz w:val="20"/>
          <w:szCs w:val="20"/>
          <w:color w:val="auto"/>
        </w:rPr>
        <w:t>Balance at September 30, 2017</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1"/>
        </w:trPr>
        <w:tc>
          <w:tcPr>
            <w:tcW w:w="420" w:type="dxa"/>
            <w:vAlign w:val="bottom"/>
          </w:tcPr>
          <w:p>
            <w:pPr>
              <w:spacing w:after="0"/>
              <w:rPr>
                <w:sz w:val="20"/>
                <w:szCs w:val="20"/>
                <w:color w:val="auto"/>
              </w:rPr>
            </w:pPr>
          </w:p>
        </w:tc>
        <w:tc>
          <w:tcPr>
            <w:tcW w:w="1640" w:type="dxa"/>
            <w:vAlign w:val="bottom"/>
            <w:gridSpan w:val="2"/>
          </w:tcPr>
          <w:p>
            <w:pPr>
              <w:ind w:left="240"/>
              <w:spacing w:after="0"/>
              <w:rPr>
                <w:sz w:val="20"/>
                <w:szCs w:val="20"/>
                <w:color w:val="auto"/>
              </w:rPr>
            </w:pPr>
            <w:r>
              <w:rPr>
                <w:rFonts w:ascii="Arial" w:cs="Arial" w:eastAsia="Arial" w:hAnsi="Arial"/>
                <w:sz w:val="20"/>
                <w:szCs w:val="20"/>
                <w:color w:val="auto"/>
              </w:rPr>
              <w:t>Losses</w:t>
            </w:r>
          </w:p>
        </w:tc>
        <w:tc>
          <w:tcPr>
            <w:tcW w:w="220" w:type="dxa"/>
            <w:vAlign w:val="bottom"/>
          </w:tcPr>
          <w:p>
            <w:pPr>
              <w:spacing w:after="0"/>
              <w:rPr>
                <w:sz w:val="20"/>
                <w:szCs w:val="20"/>
                <w:color w:val="auto"/>
              </w:rPr>
            </w:pPr>
          </w:p>
        </w:tc>
        <w:tc>
          <w:tcPr>
            <w:tcW w:w="1800" w:type="dxa"/>
            <w:vAlign w:val="bottom"/>
            <w:gridSpan w:val="2"/>
          </w:tcPr>
          <w:p>
            <w:pPr>
              <w:jc w:val="center"/>
              <w:ind w:right="420"/>
              <w:spacing w:after="0"/>
              <w:rPr>
                <w:sz w:val="20"/>
                <w:szCs w:val="20"/>
                <w:color w:val="auto"/>
              </w:rPr>
            </w:pPr>
            <w:r>
              <w:rPr>
                <w:rFonts w:ascii="Arial" w:cs="Arial" w:eastAsia="Arial" w:hAnsi="Arial"/>
                <w:sz w:val="20"/>
                <w:szCs w:val="20"/>
                <w:color w:val="auto"/>
                <w:w w:val="92"/>
              </w:rPr>
              <w:t>on Available-for-</w:t>
            </w:r>
          </w:p>
        </w:tc>
        <w:tc>
          <w:tcPr>
            <w:tcW w:w="7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46"/>
        </w:trPr>
        <w:tc>
          <w:tcPr>
            <w:tcW w:w="4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0" w:type="dxa"/>
            <w:vAlign w:val="bottom"/>
            <w:gridSpan w:val="2"/>
          </w:tcPr>
          <w:p>
            <w:pPr>
              <w:jc w:val="center"/>
              <w:ind w:right="420"/>
              <w:spacing w:after="0"/>
              <w:rPr>
                <w:sz w:val="20"/>
                <w:szCs w:val="20"/>
                <w:color w:val="auto"/>
              </w:rPr>
            </w:pPr>
            <w:r>
              <w:rPr>
                <w:rFonts w:ascii="Arial" w:cs="Arial" w:eastAsia="Arial" w:hAnsi="Arial"/>
                <w:sz w:val="20"/>
                <w:szCs w:val="20"/>
                <w:color w:val="auto"/>
                <w:w w:val="88"/>
              </w:rPr>
              <w:t>Sale Securities</w:t>
            </w:r>
          </w:p>
        </w:tc>
        <w:tc>
          <w:tcPr>
            <w:tcW w:w="7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06"/>
        </w:trPr>
        <w:tc>
          <w:tcPr>
            <w:tcW w:w="420" w:type="dxa"/>
            <w:vAlign w:val="bottom"/>
            <w:tcBorders>
              <w:top w:val="single" w:sz="8" w:color="auto"/>
            </w:tcBorders>
          </w:tcPr>
          <w:p>
            <w:pPr>
              <w:jc w:val="right"/>
              <w:ind w:right="121"/>
              <w:spacing w:after="0" w:line="207" w:lineRule="exact"/>
              <w:rPr>
                <w:sz w:val="20"/>
                <w:szCs w:val="20"/>
                <w:color w:val="auto"/>
              </w:rPr>
            </w:pPr>
            <w:r>
              <w:rPr>
                <w:rFonts w:ascii="Arial" w:cs="Arial" w:eastAsia="Arial" w:hAnsi="Arial"/>
                <w:sz w:val="20"/>
                <w:szCs w:val="20"/>
                <w:color w:val="auto"/>
              </w:rPr>
              <w:t>$</w:t>
            </w:r>
          </w:p>
        </w:tc>
        <w:tc>
          <w:tcPr>
            <w:tcW w:w="142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23,056</w:t>
            </w:r>
          </w:p>
        </w:tc>
        <w:tc>
          <w:tcPr>
            <w:tcW w:w="220" w:type="dxa"/>
            <w:vAlign w:val="bottom"/>
          </w:tcPr>
          <w:p>
            <w:pPr>
              <w:spacing w:after="0"/>
              <w:rPr>
                <w:sz w:val="17"/>
                <w:szCs w:val="17"/>
                <w:color w:val="auto"/>
              </w:rPr>
            </w:pPr>
          </w:p>
        </w:tc>
        <w:tc>
          <w:tcPr>
            <w:tcW w:w="22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60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193</w:t>
            </w:r>
          </w:p>
        </w:tc>
        <w:tc>
          <w:tcPr>
            <w:tcW w:w="200" w:type="dxa"/>
            <w:vAlign w:val="bottom"/>
          </w:tcPr>
          <w:p>
            <w:pPr>
              <w:spacing w:after="0"/>
              <w:rPr>
                <w:sz w:val="17"/>
                <w:szCs w:val="17"/>
                <w:color w:val="auto"/>
              </w:rPr>
            </w:pPr>
          </w:p>
        </w:tc>
        <w:tc>
          <w:tcPr>
            <w:tcW w:w="700" w:type="dxa"/>
            <w:vAlign w:val="bottom"/>
            <w:tcBorders>
              <w:top w:val="single" w:sz="8" w:color="auto"/>
            </w:tcBorders>
          </w:tcPr>
          <w:p>
            <w:pPr>
              <w:jc w:val="right"/>
              <w:ind w:right="401"/>
              <w:spacing w:after="0" w:line="207" w:lineRule="exact"/>
              <w:rPr>
                <w:sz w:val="20"/>
                <w:szCs w:val="20"/>
                <w:color w:val="auto"/>
              </w:rPr>
            </w:pPr>
            <w:r>
              <w:rPr>
                <w:rFonts w:ascii="Arial" w:cs="Arial" w:eastAsia="Arial" w:hAnsi="Arial"/>
                <w:sz w:val="20"/>
                <w:szCs w:val="20"/>
                <w:color w:val="auto"/>
              </w:rPr>
              <w:t>$</w:t>
            </w:r>
          </w:p>
        </w:tc>
        <w:tc>
          <w:tcPr>
            <w:tcW w:w="110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23,249</w:t>
            </w:r>
          </w:p>
        </w:tc>
      </w:tr>
      <w:tr>
        <w:trPr>
          <w:trHeight w:val="250"/>
        </w:trPr>
        <w:tc>
          <w:tcPr>
            <w:tcW w:w="4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438"/>
        </w:trPr>
        <w:tc>
          <w:tcPr>
            <w:tcW w:w="4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46"/>
        </w:trPr>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(7,641)</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(75)</w:t>
            </w:r>
          </w:p>
        </w:tc>
        <w:tc>
          <w:tcPr>
            <w:tcW w:w="200" w:type="dxa"/>
            <w:vAlign w:val="bottom"/>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(7,716)</w:t>
            </w:r>
          </w:p>
        </w:tc>
      </w:tr>
      <w:tr>
        <w:trPr>
          <w:trHeight w:val="223"/>
        </w:trPr>
        <w:tc>
          <w:tcPr>
            <w:tcW w:w="420" w:type="dxa"/>
            <w:vAlign w:val="bottom"/>
            <w:tcBorders>
              <w:bottom w:val="single" w:sz="8" w:color="auto"/>
            </w:tcBorders>
          </w:tcPr>
          <w:p>
            <w:pPr>
              <w:jc w:val="right"/>
              <w:ind w:right="121"/>
              <w:spacing w:after="0" w:line="223" w:lineRule="exact"/>
              <w:rPr>
                <w:sz w:val="20"/>
                <w:szCs w:val="20"/>
                <w:color w:val="auto"/>
              </w:rPr>
            </w:pPr>
            <w:r>
              <w:rPr>
                <w:rFonts w:ascii="Arial" w:cs="Arial" w:eastAsia="Arial" w:hAnsi="Arial"/>
                <w:sz w:val="20"/>
                <w:szCs w:val="20"/>
                <w:color w:val="auto"/>
              </w:rPr>
              <w:t>$</w:t>
            </w:r>
          </w:p>
        </w:tc>
        <w:tc>
          <w:tcPr>
            <w:tcW w:w="14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15,415</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6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118</w:t>
            </w:r>
          </w:p>
        </w:tc>
        <w:tc>
          <w:tcPr>
            <w:tcW w:w="200" w:type="dxa"/>
            <w:vAlign w:val="bottom"/>
          </w:tcPr>
          <w:p>
            <w:pPr>
              <w:spacing w:after="0"/>
              <w:rPr>
                <w:sz w:val="19"/>
                <w:szCs w:val="19"/>
                <w:color w:val="auto"/>
              </w:rPr>
            </w:pPr>
          </w:p>
        </w:tc>
        <w:tc>
          <w:tcPr>
            <w:tcW w:w="700" w:type="dxa"/>
            <w:vAlign w:val="bottom"/>
            <w:tcBorders>
              <w:bottom w:val="single" w:sz="8" w:color="auto"/>
            </w:tcBorders>
          </w:tcPr>
          <w:p>
            <w:pPr>
              <w:jc w:val="right"/>
              <w:ind w:right="401"/>
              <w:spacing w:after="0" w:line="223" w:lineRule="exact"/>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15,533</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060" w:space="260"/>
            <w:col w:w="6100"/>
          </w:cols>
          <w:pgMar w:left="240" w:top="122" w:right="239" w:bottom="0" w:gutter="0" w:footer="0" w:header="0"/>
        </w:sectPr>
      </w:pPr>
    </w:p>
    <w:p>
      <w:pPr>
        <w:spacing w:after="0" w:line="242" w:lineRule="exact"/>
        <w:rPr>
          <w:sz w:val="20"/>
          <w:szCs w:val="20"/>
          <w:color w:val="auto"/>
        </w:rPr>
      </w:pPr>
    </w:p>
    <w:p>
      <w:pPr>
        <w:ind w:left="640" w:hanging="632"/>
        <w:spacing w:after="0"/>
        <w:tabs>
          <w:tab w:leader="none" w:pos="6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TREASURY STOCK</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On February 28, 2017, the Company’s Board of Directors authorized a new share repurchase program for the purchase of up to $500.0 million of the Company’s outstanding common stock (the “February 2017 Repurchase Plan”). During the three-months ended September 30, 2017, the Company purchased 4.5 million shares of common stock at an average purchase price of $54.91 per share, for a total amount of $248.8 million (excluding broker commissions), under the February 2017 Repurchase Plan.</w:t>
      </w:r>
    </w:p>
    <w:p>
      <w:pPr>
        <w:spacing w:after="0" w:line="19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During the three-months ended September 30, 2017, 892 shares of common stock were purchased from employees in lieu of cash payments for options exercised or withholding taxes due, for a total amount of $0.05 million. While such purchases are considered common stock repurchases, they are not counted as purchases against the Company’s authorized share repurchase programs. Such shares are included in common stock in treasury in the accompanying condensed consolidated balance sheet at September 30, 2017.</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7" w:lineRule="exact"/>
        <w:rPr>
          <w:sz w:val="20"/>
          <w:szCs w:val="20"/>
          <w:color w:val="auto"/>
        </w:rPr>
      </w:pPr>
    </w:p>
    <w:p>
      <w:pPr>
        <w:ind w:left="640" w:hanging="632"/>
        <w:spacing w:after="0"/>
        <w:tabs>
          <w:tab w:leader="none" w:pos="6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STOCK-BASED COMPENSATION</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has two stock-based compensation plans under which shares were available for grant at September 30, 2017: the Monster Beverage Corporation 2011 Omnibus Incentive Plan (the “2011 Omnibus Incentive Plan”) and the Monster Beverage Corporation Stock 2017 Compensation Plan for Non-Employee Directors (the “2017 Directors Plan”).</w:t>
      </w:r>
    </w:p>
    <w:p>
      <w:pPr>
        <w:spacing w:after="0" w:line="200"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The Company recorded $13.3 million and $12.1 million of compensation expense relating to outstanding options, restricted stock awards, stock appreciation rights and restricted stock units during the three-months ended September 30, 2017 and 2016, respectively. The Company recorded $39.3 million and $33.7 million of compensation expense relating to outstanding options, restricted stock awards, stock appreciation rights and restricted stock units during the nine-months ended September 30, 2017 and 2016, respectively.</w:t>
      </w:r>
    </w:p>
    <w:p>
      <w:pPr>
        <w:spacing w:after="0" w:line="17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excess tax benefit for tax deductions from non-qualified stock option exercises, disqualifying dispositions of incentive stock options, vesting of restricted stock units and restricted stock awards for the three-months ended September 30, 2017 and 2016 was $2.5 million and $3.5 million, respectively. The excess tax benefit for tax deductions from non-qualified stock option exercises, disqualifying dispositions of incentive stock options, vesting of restricted stock units and restricted stock awards for the nine-months ended September 30, 2017 and 2016 was $13.8 million and $7.1 million, respectively.</w:t>
      </w:r>
    </w:p>
    <w:p>
      <w:pPr>
        <w:spacing w:after="0" w:line="20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In 2016, the Company adopted the Monster Beverage Corporation Deferred Compensation Plan (the “Deferred Compensation Plan”) (a sub plan to the 2011 Omnibus Incentive Plan). Deferrals under the Deferred Compensation Plan are unfunded and unsecured. As of September 30, 2017, deferrals under the Deferred Compensation Plan are solely comprised of cash compensation and equity compensation coming due after September 30, 2018 and are not material in the aggregate.</w:t>
      </w:r>
    </w:p>
    <w:p>
      <w:pPr>
        <w:spacing w:after="0" w:line="20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During the quarter ending June 30, 2017, the Company adopted the Monster Beverage Corporation Deferred Compensation Plan for Non-Employee Directors (the “Non-Employee Director Deferral Plan”) (a sub-plan to the 2017 Directors Plan), pursuant to which non-employee directors may elect to defer cash and/or equity based compensation and to receive the deferred compensation, either at a pre-determined time in the future or upon departure from the Company’s Board of Directors, as provided for under the Non-Employee Director Deferral Plan. Deferrals under the Non-Employee Director Deferral Plan are unfunded and unsecured. As of September 30, 2017, there were no deferrals under the Non-Employee Director Deferral Plan.</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Stock Options</w:t>
      </w:r>
    </w:p>
    <w:p>
      <w:pPr>
        <w:spacing w:after="0" w:line="22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Under the Company’s stock-based compensation plans, all stock options granted as of September 30, 2017 were granted at prices based on the fair value of the Company’s common stock on the date of grant. The Company records compensation expense for employee stock options based on the estimated fair value of the options on the date of grant using the Black-Scholes-Merton option pricing formula with the assumptions included in the table below. The Company records compensation expense for non-employee stock options based on the estimated fair value of the options as of the earlier of (1) the date at which a commitment for performance by the non-employee to earn the stock option is reached or (2) the date at which the non-employee’s performance is complete, using the Black-Scholes-Merton option pricing formula with the assumptions included in the table below. The Company uses historical data to determine the exercise behavior, volatility and forfeiture rate of the options.</w:t>
      </w:r>
    </w:p>
    <w:p>
      <w:pPr>
        <w:sectPr>
          <w:pgSz w:w="11900" w:h="16838" w:orient="portrait"/>
          <w:cols w:equalWidth="0" w:num="1">
            <w:col w:w="11420"/>
          </w:cols>
          <w:pgMar w:left="240" w:top="122" w:right="239" w:bottom="0" w:gutter="0" w:footer="0" w:header="0"/>
          <w:type w:val="continuous"/>
        </w:sectPr>
      </w:pPr>
    </w:p>
    <w:bookmarkStart w:id="13" w:name="page14"/>
    <w:bookmarkEnd w:id="13"/>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weighted-average assumptions were used to estimate the fair value of options granted during:</w:t>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40"/>
        <w:spacing w:after="0"/>
        <w:rPr>
          <w:sz w:val="20"/>
          <w:szCs w:val="20"/>
          <w:color w:val="auto"/>
        </w:rPr>
      </w:pPr>
      <w:r>
        <w:rPr>
          <w:rFonts w:ascii="Arial" w:cs="Arial" w:eastAsia="Arial" w:hAnsi="Arial"/>
          <w:sz w:val="20"/>
          <w:szCs w:val="20"/>
          <w:color w:val="auto"/>
        </w:rPr>
        <w:t>Dividend yield</w:t>
      </w:r>
    </w:p>
    <w:p>
      <w:pPr>
        <w:spacing w:after="0" w:line="4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Expected volatility</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Risk-free interest rate</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20"/>
          <w:szCs w:val="20"/>
          <w:color w:val="auto"/>
        </w:rPr>
        <w:t>Expected term</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3700" w:type="dxa"/>
            <w:vAlign w:val="bottom"/>
            <w:gridSpan w:val="4"/>
          </w:tcPr>
          <w:p>
            <w:pPr>
              <w:ind w:left="260"/>
              <w:spacing w:after="0"/>
              <w:rPr>
                <w:sz w:val="20"/>
                <w:szCs w:val="20"/>
                <w:color w:val="auto"/>
              </w:rPr>
            </w:pPr>
            <w:r>
              <w:rPr>
                <w:rFonts w:ascii="Arial" w:cs="Arial" w:eastAsia="Arial" w:hAnsi="Arial"/>
                <w:sz w:val="20"/>
                <w:szCs w:val="20"/>
                <w:color w:val="auto"/>
              </w:rPr>
              <w:t>Three-Months Ended September 30,</w:t>
            </w:r>
          </w:p>
        </w:tc>
        <w:tc>
          <w:tcPr>
            <w:tcW w:w="3440" w:type="dxa"/>
            <w:vAlign w:val="bottom"/>
            <w:gridSpan w:val="3"/>
          </w:tcPr>
          <w:p>
            <w:pPr>
              <w:jc w:val="right"/>
              <w:ind w:right="221"/>
              <w:spacing w:after="0"/>
              <w:rPr>
                <w:sz w:val="20"/>
                <w:szCs w:val="20"/>
                <w:color w:val="auto"/>
              </w:rPr>
            </w:pPr>
            <w:r>
              <w:rPr>
                <w:rFonts w:ascii="Arial" w:cs="Arial" w:eastAsia="Arial" w:hAnsi="Arial"/>
                <w:sz w:val="20"/>
                <w:szCs w:val="20"/>
                <w:color w:val="auto"/>
                <w:w w:val="98"/>
              </w:rPr>
              <w:t>Nine-Months Ended September 30,</w:t>
            </w:r>
          </w:p>
        </w:tc>
      </w:tr>
      <w:tr>
        <w:trPr>
          <w:trHeight w:val="223"/>
        </w:trPr>
        <w:tc>
          <w:tcPr>
            <w:tcW w:w="1560" w:type="dxa"/>
            <w:vAlign w:val="bottom"/>
            <w:tcBorders>
              <w:top w:val="single" w:sz="8" w:color="auto"/>
              <w:bottom w:val="single" w:sz="8" w:color="auto"/>
            </w:tcBorders>
          </w:tcPr>
          <w:p>
            <w:pPr>
              <w:jc w:val="right"/>
              <w:ind w:right="481"/>
              <w:spacing w:after="0" w:line="223" w:lineRule="exact"/>
              <w:rPr>
                <w:sz w:val="20"/>
                <w:szCs w:val="20"/>
                <w:color w:val="auto"/>
              </w:rPr>
            </w:pPr>
            <w:r>
              <w:rPr>
                <w:rFonts w:ascii="Arial" w:cs="Arial" w:eastAsia="Arial" w:hAnsi="Arial"/>
                <w:sz w:val="20"/>
                <w:szCs w:val="20"/>
                <w:color w:val="auto"/>
              </w:rPr>
              <w:t>2017</w:t>
            </w:r>
          </w:p>
        </w:tc>
        <w:tc>
          <w:tcPr>
            <w:tcW w:w="280" w:type="dxa"/>
            <w:vAlign w:val="bottom"/>
            <w:tcBorders>
              <w:top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481"/>
              <w:spacing w:after="0" w:line="223" w:lineRule="exact"/>
              <w:rPr>
                <w:sz w:val="20"/>
                <w:szCs w:val="20"/>
                <w:color w:val="auto"/>
              </w:rPr>
            </w:pPr>
            <w:r>
              <w:rPr>
                <w:rFonts w:ascii="Arial" w:cs="Arial" w:eastAsia="Arial" w:hAnsi="Arial"/>
                <w:sz w:val="20"/>
                <w:szCs w:val="20"/>
                <w:color w:val="auto"/>
              </w:rPr>
              <w:t>2016</w:t>
            </w:r>
          </w:p>
        </w:tc>
        <w:tc>
          <w:tcPr>
            <w:tcW w:w="30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ind w:right="501"/>
              <w:spacing w:after="0" w:line="223" w:lineRule="exact"/>
              <w:rPr>
                <w:sz w:val="20"/>
                <w:szCs w:val="20"/>
                <w:color w:val="auto"/>
              </w:rPr>
            </w:pPr>
            <w:r>
              <w:rPr>
                <w:rFonts w:ascii="Arial" w:cs="Arial" w:eastAsia="Arial" w:hAnsi="Arial"/>
                <w:sz w:val="20"/>
                <w:szCs w:val="20"/>
                <w:color w:val="auto"/>
              </w:rPr>
              <w:t>2017</w:t>
            </w:r>
          </w:p>
        </w:tc>
        <w:tc>
          <w:tcPr>
            <w:tcW w:w="280" w:type="dxa"/>
            <w:vAlign w:val="bottom"/>
            <w:tcBorders>
              <w:top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501"/>
              <w:spacing w:after="0" w:line="223" w:lineRule="exact"/>
              <w:rPr>
                <w:sz w:val="20"/>
                <w:szCs w:val="20"/>
                <w:color w:val="auto"/>
              </w:rPr>
            </w:pPr>
            <w:r>
              <w:rPr>
                <w:rFonts w:ascii="Arial" w:cs="Arial" w:eastAsia="Arial" w:hAnsi="Arial"/>
                <w:sz w:val="20"/>
                <w:szCs w:val="20"/>
                <w:color w:val="auto"/>
              </w:rPr>
              <w:t>2016</w:t>
            </w:r>
          </w:p>
        </w:tc>
      </w:tr>
      <w:tr>
        <w:trPr>
          <w:trHeight w:val="220"/>
        </w:trPr>
        <w:tc>
          <w:tcPr>
            <w:tcW w:w="1560" w:type="dxa"/>
            <w:vAlign w:val="bottom"/>
          </w:tcPr>
          <w:p>
            <w:pPr>
              <w:jc w:val="right"/>
              <w:ind w:right="141"/>
              <w:spacing w:after="0" w:line="220" w:lineRule="exact"/>
              <w:rPr>
                <w:sz w:val="20"/>
                <w:szCs w:val="20"/>
                <w:color w:val="auto"/>
              </w:rPr>
            </w:pPr>
            <w:r>
              <w:rPr>
                <w:rFonts w:ascii="Arial" w:cs="Arial" w:eastAsia="Arial" w:hAnsi="Arial"/>
                <w:sz w:val="20"/>
                <w:szCs w:val="20"/>
                <w:color w:val="auto"/>
              </w:rPr>
              <w:t>0.0%</w:t>
            </w:r>
          </w:p>
        </w:tc>
        <w:tc>
          <w:tcPr>
            <w:tcW w:w="280" w:type="dxa"/>
            <w:vAlign w:val="bottom"/>
          </w:tcPr>
          <w:p>
            <w:pPr>
              <w:spacing w:after="0"/>
              <w:rPr>
                <w:sz w:val="19"/>
                <w:szCs w:val="19"/>
                <w:color w:val="auto"/>
              </w:rPr>
            </w:pPr>
          </w:p>
        </w:tc>
        <w:tc>
          <w:tcPr>
            <w:tcW w:w="1560" w:type="dxa"/>
            <w:vAlign w:val="bottom"/>
          </w:tcPr>
          <w:p>
            <w:pPr>
              <w:jc w:val="right"/>
              <w:ind w:right="141"/>
              <w:spacing w:after="0" w:line="220" w:lineRule="exact"/>
              <w:rPr>
                <w:sz w:val="20"/>
                <w:szCs w:val="20"/>
                <w:color w:val="auto"/>
              </w:rPr>
            </w:pPr>
            <w:r>
              <w:rPr>
                <w:rFonts w:ascii="Arial" w:cs="Arial" w:eastAsia="Arial" w:hAnsi="Arial"/>
                <w:sz w:val="20"/>
                <w:szCs w:val="20"/>
                <w:color w:val="auto"/>
              </w:rPr>
              <w:t>0.0%</w:t>
            </w:r>
          </w:p>
        </w:tc>
        <w:tc>
          <w:tcPr>
            <w:tcW w:w="300" w:type="dxa"/>
            <w:vAlign w:val="bottom"/>
          </w:tcPr>
          <w:p>
            <w:pPr>
              <w:spacing w:after="0"/>
              <w:rPr>
                <w:sz w:val="19"/>
                <w:szCs w:val="19"/>
                <w:color w:val="auto"/>
              </w:rPr>
            </w:pPr>
          </w:p>
        </w:tc>
        <w:tc>
          <w:tcPr>
            <w:tcW w:w="1580" w:type="dxa"/>
            <w:vAlign w:val="bottom"/>
          </w:tcPr>
          <w:p>
            <w:pPr>
              <w:jc w:val="right"/>
              <w:ind w:right="161"/>
              <w:spacing w:after="0" w:line="220" w:lineRule="exact"/>
              <w:rPr>
                <w:sz w:val="20"/>
                <w:szCs w:val="20"/>
                <w:color w:val="auto"/>
              </w:rPr>
            </w:pPr>
            <w:r>
              <w:rPr>
                <w:rFonts w:ascii="Arial" w:cs="Arial" w:eastAsia="Arial" w:hAnsi="Arial"/>
                <w:sz w:val="20"/>
                <w:szCs w:val="20"/>
                <w:color w:val="auto"/>
              </w:rPr>
              <w:t>0.0%</w:t>
            </w:r>
          </w:p>
        </w:tc>
        <w:tc>
          <w:tcPr>
            <w:tcW w:w="280" w:type="dxa"/>
            <w:vAlign w:val="bottom"/>
          </w:tcPr>
          <w:p>
            <w:pPr>
              <w:spacing w:after="0"/>
              <w:rPr>
                <w:sz w:val="19"/>
                <w:szCs w:val="19"/>
                <w:color w:val="auto"/>
              </w:rPr>
            </w:pPr>
          </w:p>
        </w:tc>
        <w:tc>
          <w:tcPr>
            <w:tcW w:w="1580" w:type="dxa"/>
            <w:vAlign w:val="bottom"/>
          </w:tcPr>
          <w:p>
            <w:pPr>
              <w:jc w:val="right"/>
              <w:ind w:right="141"/>
              <w:spacing w:after="0" w:line="220" w:lineRule="exact"/>
              <w:rPr>
                <w:sz w:val="20"/>
                <w:szCs w:val="20"/>
                <w:color w:val="auto"/>
              </w:rPr>
            </w:pPr>
            <w:r>
              <w:rPr>
                <w:rFonts w:ascii="Arial" w:cs="Arial" w:eastAsia="Arial" w:hAnsi="Arial"/>
                <w:sz w:val="20"/>
                <w:szCs w:val="20"/>
                <w:color w:val="auto"/>
              </w:rPr>
              <w:t>0.0%</w:t>
            </w:r>
          </w:p>
        </w:tc>
      </w:tr>
      <w:tr>
        <w:trPr>
          <w:trHeight w:val="243"/>
        </w:trPr>
        <w:tc>
          <w:tcPr>
            <w:tcW w:w="1560" w:type="dxa"/>
            <w:vAlign w:val="bottom"/>
          </w:tcPr>
          <w:p>
            <w:pPr>
              <w:jc w:val="right"/>
              <w:ind w:right="141"/>
              <w:spacing w:after="0"/>
              <w:rPr>
                <w:sz w:val="20"/>
                <w:szCs w:val="20"/>
                <w:color w:val="auto"/>
              </w:rPr>
            </w:pPr>
            <w:r>
              <w:rPr>
                <w:rFonts w:ascii="Arial" w:cs="Arial" w:eastAsia="Arial" w:hAnsi="Arial"/>
                <w:sz w:val="20"/>
                <w:szCs w:val="20"/>
                <w:color w:val="auto"/>
              </w:rPr>
              <w:t>35.3%</w:t>
            </w:r>
          </w:p>
        </w:tc>
        <w:tc>
          <w:tcPr>
            <w:tcW w:w="280" w:type="dxa"/>
            <w:vAlign w:val="bottom"/>
          </w:tcPr>
          <w:p>
            <w:pPr>
              <w:spacing w:after="0"/>
              <w:rPr>
                <w:sz w:val="21"/>
                <w:szCs w:val="21"/>
                <w:color w:val="auto"/>
              </w:rPr>
            </w:pPr>
          </w:p>
        </w:tc>
        <w:tc>
          <w:tcPr>
            <w:tcW w:w="1560" w:type="dxa"/>
            <w:vAlign w:val="bottom"/>
          </w:tcPr>
          <w:p>
            <w:pPr>
              <w:jc w:val="right"/>
              <w:ind w:right="141"/>
              <w:spacing w:after="0"/>
              <w:rPr>
                <w:sz w:val="20"/>
                <w:szCs w:val="20"/>
                <w:color w:val="auto"/>
              </w:rPr>
            </w:pPr>
            <w:r>
              <w:rPr>
                <w:rFonts w:ascii="Arial" w:cs="Arial" w:eastAsia="Arial" w:hAnsi="Arial"/>
                <w:sz w:val="20"/>
                <w:szCs w:val="20"/>
                <w:color w:val="auto"/>
              </w:rPr>
              <w:t>36.3%</w:t>
            </w:r>
          </w:p>
        </w:tc>
        <w:tc>
          <w:tcPr>
            <w:tcW w:w="300" w:type="dxa"/>
            <w:vAlign w:val="bottom"/>
          </w:tcPr>
          <w:p>
            <w:pPr>
              <w:spacing w:after="0"/>
              <w:rPr>
                <w:sz w:val="21"/>
                <w:szCs w:val="21"/>
                <w:color w:val="auto"/>
              </w:rPr>
            </w:pPr>
          </w:p>
        </w:tc>
        <w:tc>
          <w:tcPr>
            <w:tcW w:w="1580" w:type="dxa"/>
            <w:vAlign w:val="bottom"/>
          </w:tcPr>
          <w:p>
            <w:pPr>
              <w:jc w:val="right"/>
              <w:ind w:right="161"/>
              <w:spacing w:after="0"/>
              <w:rPr>
                <w:sz w:val="20"/>
                <w:szCs w:val="20"/>
                <w:color w:val="auto"/>
              </w:rPr>
            </w:pPr>
            <w:r>
              <w:rPr>
                <w:rFonts w:ascii="Arial" w:cs="Arial" w:eastAsia="Arial" w:hAnsi="Arial"/>
                <w:sz w:val="20"/>
                <w:szCs w:val="20"/>
                <w:color w:val="auto"/>
              </w:rPr>
              <w:t>36.6%</w:t>
            </w:r>
          </w:p>
        </w:tc>
        <w:tc>
          <w:tcPr>
            <w:tcW w:w="280" w:type="dxa"/>
            <w:vAlign w:val="bottom"/>
          </w:tcPr>
          <w:p>
            <w:pPr>
              <w:spacing w:after="0"/>
              <w:rPr>
                <w:sz w:val="21"/>
                <w:szCs w:val="21"/>
                <w:color w:val="auto"/>
              </w:rPr>
            </w:pPr>
          </w:p>
        </w:tc>
        <w:tc>
          <w:tcPr>
            <w:tcW w:w="1580" w:type="dxa"/>
            <w:vAlign w:val="bottom"/>
          </w:tcPr>
          <w:p>
            <w:pPr>
              <w:jc w:val="right"/>
              <w:ind w:right="141"/>
              <w:spacing w:after="0"/>
              <w:rPr>
                <w:sz w:val="20"/>
                <w:szCs w:val="20"/>
                <w:color w:val="auto"/>
              </w:rPr>
            </w:pPr>
            <w:r>
              <w:rPr>
                <w:rFonts w:ascii="Arial" w:cs="Arial" w:eastAsia="Arial" w:hAnsi="Arial"/>
                <w:sz w:val="20"/>
                <w:szCs w:val="20"/>
                <w:color w:val="auto"/>
              </w:rPr>
              <w:t>36.1%</w:t>
            </w:r>
          </w:p>
        </w:tc>
      </w:tr>
      <w:tr>
        <w:trPr>
          <w:trHeight w:val="243"/>
        </w:trPr>
        <w:tc>
          <w:tcPr>
            <w:tcW w:w="1560" w:type="dxa"/>
            <w:vAlign w:val="bottom"/>
          </w:tcPr>
          <w:p>
            <w:pPr>
              <w:jc w:val="right"/>
              <w:ind w:right="141"/>
              <w:spacing w:after="0"/>
              <w:rPr>
                <w:sz w:val="20"/>
                <w:szCs w:val="20"/>
                <w:color w:val="auto"/>
              </w:rPr>
            </w:pPr>
            <w:r>
              <w:rPr>
                <w:rFonts w:ascii="Arial" w:cs="Arial" w:eastAsia="Arial" w:hAnsi="Arial"/>
                <w:sz w:val="20"/>
                <w:szCs w:val="20"/>
                <w:color w:val="auto"/>
              </w:rPr>
              <w:t>1.7%</w:t>
            </w:r>
          </w:p>
        </w:tc>
        <w:tc>
          <w:tcPr>
            <w:tcW w:w="280" w:type="dxa"/>
            <w:vAlign w:val="bottom"/>
          </w:tcPr>
          <w:p>
            <w:pPr>
              <w:spacing w:after="0"/>
              <w:rPr>
                <w:sz w:val="21"/>
                <w:szCs w:val="21"/>
                <w:color w:val="auto"/>
              </w:rPr>
            </w:pPr>
          </w:p>
        </w:tc>
        <w:tc>
          <w:tcPr>
            <w:tcW w:w="1560" w:type="dxa"/>
            <w:vAlign w:val="bottom"/>
          </w:tcPr>
          <w:p>
            <w:pPr>
              <w:jc w:val="right"/>
              <w:ind w:right="141"/>
              <w:spacing w:after="0"/>
              <w:rPr>
                <w:sz w:val="20"/>
                <w:szCs w:val="20"/>
                <w:color w:val="auto"/>
              </w:rPr>
            </w:pPr>
            <w:r>
              <w:rPr>
                <w:rFonts w:ascii="Arial" w:cs="Arial" w:eastAsia="Arial" w:hAnsi="Arial"/>
                <w:sz w:val="20"/>
                <w:szCs w:val="20"/>
                <w:color w:val="auto"/>
              </w:rPr>
              <w:t>1.1%</w:t>
            </w:r>
          </w:p>
        </w:tc>
        <w:tc>
          <w:tcPr>
            <w:tcW w:w="300" w:type="dxa"/>
            <w:vAlign w:val="bottom"/>
          </w:tcPr>
          <w:p>
            <w:pPr>
              <w:spacing w:after="0"/>
              <w:rPr>
                <w:sz w:val="21"/>
                <w:szCs w:val="21"/>
                <w:color w:val="auto"/>
              </w:rPr>
            </w:pPr>
          </w:p>
        </w:tc>
        <w:tc>
          <w:tcPr>
            <w:tcW w:w="1580" w:type="dxa"/>
            <w:vAlign w:val="bottom"/>
          </w:tcPr>
          <w:p>
            <w:pPr>
              <w:jc w:val="right"/>
              <w:ind w:right="161"/>
              <w:spacing w:after="0"/>
              <w:rPr>
                <w:sz w:val="20"/>
                <w:szCs w:val="20"/>
                <w:color w:val="auto"/>
              </w:rPr>
            </w:pPr>
            <w:r>
              <w:rPr>
                <w:rFonts w:ascii="Arial" w:cs="Arial" w:eastAsia="Arial" w:hAnsi="Arial"/>
                <w:sz w:val="20"/>
                <w:szCs w:val="20"/>
                <w:color w:val="auto"/>
              </w:rPr>
              <w:t>2.1%</w:t>
            </w:r>
          </w:p>
        </w:tc>
        <w:tc>
          <w:tcPr>
            <w:tcW w:w="280" w:type="dxa"/>
            <w:vAlign w:val="bottom"/>
          </w:tcPr>
          <w:p>
            <w:pPr>
              <w:spacing w:after="0"/>
              <w:rPr>
                <w:sz w:val="21"/>
                <w:szCs w:val="21"/>
                <w:color w:val="auto"/>
              </w:rPr>
            </w:pPr>
          </w:p>
        </w:tc>
        <w:tc>
          <w:tcPr>
            <w:tcW w:w="1580" w:type="dxa"/>
            <w:vAlign w:val="bottom"/>
          </w:tcPr>
          <w:p>
            <w:pPr>
              <w:jc w:val="right"/>
              <w:ind w:right="141"/>
              <w:spacing w:after="0"/>
              <w:rPr>
                <w:sz w:val="20"/>
                <w:szCs w:val="20"/>
                <w:color w:val="auto"/>
              </w:rPr>
            </w:pPr>
            <w:r>
              <w:rPr>
                <w:rFonts w:ascii="Arial" w:cs="Arial" w:eastAsia="Arial" w:hAnsi="Arial"/>
                <w:sz w:val="20"/>
                <w:szCs w:val="20"/>
                <w:color w:val="auto"/>
              </w:rPr>
              <w:t>1.4%</w:t>
            </w:r>
          </w:p>
        </w:tc>
      </w:tr>
      <w:tr>
        <w:trPr>
          <w:trHeight w:val="250"/>
        </w:trPr>
        <w:tc>
          <w:tcPr>
            <w:tcW w:w="1840" w:type="dxa"/>
            <w:vAlign w:val="bottom"/>
            <w:gridSpan w:val="2"/>
          </w:tcPr>
          <w:p>
            <w:pPr>
              <w:ind w:left="600"/>
              <w:spacing w:after="0"/>
              <w:rPr>
                <w:sz w:val="20"/>
                <w:szCs w:val="20"/>
                <w:color w:val="auto"/>
              </w:rPr>
            </w:pPr>
            <w:r>
              <w:rPr>
                <w:rFonts w:ascii="Arial" w:cs="Arial" w:eastAsia="Arial" w:hAnsi="Arial"/>
                <w:sz w:val="20"/>
                <w:szCs w:val="20"/>
                <w:color w:val="auto"/>
              </w:rPr>
              <w:t>5.9 years</w:t>
            </w:r>
          </w:p>
        </w:tc>
        <w:tc>
          <w:tcPr>
            <w:tcW w:w="1860" w:type="dxa"/>
            <w:vAlign w:val="bottom"/>
            <w:gridSpan w:val="2"/>
          </w:tcPr>
          <w:p>
            <w:pPr>
              <w:ind w:left="600"/>
              <w:spacing w:after="0"/>
              <w:rPr>
                <w:sz w:val="20"/>
                <w:szCs w:val="20"/>
                <w:color w:val="auto"/>
              </w:rPr>
            </w:pPr>
            <w:r>
              <w:rPr>
                <w:rFonts w:ascii="Arial" w:cs="Arial" w:eastAsia="Arial" w:hAnsi="Arial"/>
                <w:sz w:val="20"/>
                <w:szCs w:val="20"/>
                <w:color w:val="auto"/>
              </w:rPr>
              <w:t>6.4 years</w:t>
            </w:r>
          </w:p>
        </w:tc>
        <w:tc>
          <w:tcPr>
            <w:tcW w:w="1860" w:type="dxa"/>
            <w:vAlign w:val="bottom"/>
            <w:gridSpan w:val="2"/>
          </w:tcPr>
          <w:p>
            <w:pPr>
              <w:ind w:left="620"/>
              <w:spacing w:after="0"/>
              <w:rPr>
                <w:sz w:val="20"/>
                <w:szCs w:val="20"/>
                <w:color w:val="auto"/>
              </w:rPr>
            </w:pPr>
            <w:r>
              <w:rPr>
                <w:rFonts w:ascii="Arial" w:cs="Arial" w:eastAsia="Arial" w:hAnsi="Arial"/>
                <w:sz w:val="20"/>
                <w:szCs w:val="20"/>
                <w:color w:val="auto"/>
              </w:rPr>
              <w:t>6.1 years</w:t>
            </w:r>
          </w:p>
        </w:tc>
        <w:tc>
          <w:tcPr>
            <w:tcW w:w="1580" w:type="dxa"/>
            <w:vAlign w:val="bottom"/>
          </w:tcPr>
          <w:p>
            <w:pPr>
              <w:jc w:val="right"/>
              <w:ind w:right="141"/>
              <w:spacing w:after="0"/>
              <w:rPr>
                <w:sz w:val="20"/>
                <w:szCs w:val="20"/>
                <w:color w:val="auto"/>
              </w:rPr>
            </w:pPr>
            <w:r>
              <w:rPr>
                <w:rFonts w:ascii="Arial" w:cs="Arial" w:eastAsia="Arial" w:hAnsi="Arial"/>
                <w:sz w:val="20"/>
                <w:szCs w:val="20"/>
                <w:color w:val="auto"/>
              </w:rPr>
              <w:t>6.3 years</w:t>
            </w:r>
          </w:p>
        </w:tc>
      </w:tr>
    </w:tbl>
    <w:p>
      <w:pPr>
        <w:spacing w:after="0" w:line="200" w:lineRule="exact"/>
        <w:rPr>
          <w:sz w:val="20"/>
          <w:szCs w:val="20"/>
          <w:color w:val="auto"/>
        </w:rPr>
      </w:pPr>
    </w:p>
    <w:p>
      <w:pPr>
        <w:sectPr>
          <w:pgSz w:w="11900" w:h="16838" w:orient="portrait"/>
          <w:cols w:equalWidth="0" w:num="2">
            <w:col w:w="2820" w:space="720"/>
            <w:col w:w="7880"/>
          </w:cols>
          <w:pgMar w:left="240" w:top="125" w:right="239" w:bottom="0" w:gutter="0" w:footer="0" w:header="0"/>
          <w:type w:val="continuous"/>
        </w:sectPr>
      </w:pPr>
    </w:p>
    <w:p>
      <w:pPr>
        <w:spacing w:after="0" w:line="8"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The Company uses historical volatility as it provides a reasonable estimate of the expected volatility. Historical</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is based on the most recent volatility of the stock price over a period of time equivalent to the expected term of the option.</w:t>
      </w:r>
    </w:p>
    <w:p>
      <w:pPr>
        <w:spacing w:after="0" w:line="144"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i w:val="1"/>
          <w:iCs w:val="1"/>
          <w:color w:val="auto"/>
        </w:rPr>
        <w:t>Risk-Free Interest Rate</w:t>
      </w:r>
      <w:r>
        <w:rPr>
          <w:rFonts w:ascii="Arial" w:cs="Arial" w:eastAsia="Arial" w:hAnsi="Arial"/>
          <w:sz w:val="20"/>
          <w:szCs w:val="20"/>
          <w:color w:val="auto"/>
        </w:rPr>
        <w:t>: The risk-free interest rate is based on the U.S. Treasury zero coupon yield curve in effect at the time of grant</w:t>
      </w:r>
      <w:r>
        <w:rPr>
          <w:rFonts w:ascii="Arial" w:cs="Arial" w:eastAsia="Arial" w:hAnsi="Arial"/>
          <w:sz w:val="20"/>
          <w:szCs w:val="20"/>
          <w:i w:val="1"/>
          <w:iCs w:val="1"/>
          <w:color w:val="auto"/>
        </w:rPr>
        <w:t xml:space="preserve"> </w:t>
      </w:r>
      <w:r>
        <w:rPr>
          <w:rFonts w:ascii="Arial" w:cs="Arial" w:eastAsia="Arial" w:hAnsi="Arial"/>
          <w:sz w:val="20"/>
          <w:szCs w:val="20"/>
          <w:color w:val="auto"/>
        </w:rPr>
        <w:t>for the expected term of the option.</w:t>
      </w:r>
    </w:p>
    <w:p>
      <w:pPr>
        <w:spacing w:after="0" w:line="19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Expected Term</w:t>
      </w:r>
      <w:r>
        <w:rPr>
          <w:rFonts w:ascii="Arial" w:cs="Arial" w:eastAsia="Arial" w:hAnsi="Arial"/>
          <w:sz w:val="16"/>
          <w:szCs w:val="16"/>
          <w:color w:val="auto"/>
        </w:rPr>
        <w:t>: The Company’s expected term represents the weighted-average period that the Company’s stock options are expected</w:t>
      </w:r>
      <w:r>
        <w:rPr>
          <w:rFonts w:ascii="Arial" w:cs="Arial" w:eastAsia="Arial" w:hAnsi="Arial"/>
          <w:sz w:val="16"/>
          <w:szCs w:val="16"/>
          <w:i w:val="1"/>
          <w:iCs w:val="1"/>
          <w:color w:val="auto"/>
        </w:rPr>
        <w:t xml:space="preserve"> </w:t>
      </w:r>
      <w:r>
        <w:rPr>
          <w:rFonts w:ascii="Arial" w:cs="Arial" w:eastAsia="Arial" w:hAnsi="Arial"/>
          <w:sz w:val="16"/>
          <w:szCs w:val="16"/>
          <w:color w:val="auto"/>
        </w:rPr>
        <w:t>to be outstanding. The expected term is based on expected time to post-vesting exercise of options by employees. The Company uses historical exercise patterns of previously granted options to derive employee behavioral patterns used to forecast expected exercise patterns.</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summarizes the Company’s activities with respect to its stock option plans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gridSpan w:val="2"/>
          </w:tcPr>
          <w:p>
            <w:pPr>
              <w:jc w:val="center"/>
              <w:ind w:right="300"/>
              <w:spacing w:after="0"/>
              <w:rPr>
                <w:sz w:val="20"/>
                <w:szCs w:val="20"/>
                <w:color w:val="auto"/>
              </w:rPr>
            </w:pPr>
            <w:r>
              <w:rPr>
                <w:rFonts w:ascii="Arial" w:cs="Arial" w:eastAsia="Arial" w:hAnsi="Arial"/>
                <w:sz w:val="20"/>
                <w:szCs w:val="20"/>
                <w:color w:val="auto"/>
                <w:w w:val="89"/>
              </w:rPr>
              <w:t>Weighted-</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gridSpan w:val="2"/>
          </w:tcPr>
          <w:p>
            <w:pPr>
              <w:jc w:val="center"/>
              <w:ind w:right="560"/>
              <w:spacing w:after="0"/>
              <w:rPr>
                <w:sz w:val="20"/>
                <w:szCs w:val="20"/>
                <w:color w:val="auto"/>
              </w:rPr>
            </w:pPr>
            <w:r>
              <w:rPr>
                <w:rFonts w:ascii="Arial" w:cs="Arial" w:eastAsia="Arial" w:hAnsi="Arial"/>
                <w:sz w:val="20"/>
                <w:szCs w:val="20"/>
                <w:color w:val="auto"/>
                <w:w w:val="89"/>
              </w:rPr>
              <w:t>Weighted-</w:t>
            </w:r>
          </w:p>
        </w:tc>
        <w:tc>
          <w:tcPr>
            <w:tcW w:w="1880" w:type="dxa"/>
            <w:vAlign w:val="bottom"/>
            <w:gridSpan w:val="2"/>
          </w:tcPr>
          <w:p>
            <w:pPr>
              <w:jc w:val="center"/>
              <w:ind w:right="280"/>
              <w:spacing w:after="0"/>
              <w:rPr>
                <w:sz w:val="20"/>
                <w:szCs w:val="20"/>
                <w:color w:val="auto"/>
              </w:rPr>
            </w:pPr>
            <w:r>
              <w:rPr>
                <w:rFonts w:ascii="Arial" w:cs="Arial" w:eastAsia="Arial" w:hAnsi="Arial"/>
                <w:sz w:val="20"/>
                <w:szCs w:val="20"/>
                <w:color w:val="auto"/>
                <w:w w:val="85"/>
              </w:rPr>
              <w:t>Average</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gridSpan w:val="2"/>
          </w:tcPr>
          <w:p>
            <w:pPr>
              <w:jc w:val="center"/>
              <w:ind w:right="560"/>
              <w:spacing w:after="0"/>
              <w:rPr>
                <w:sz w:val="20"/>
                <w:szCs w:val="20"/>
                <w:color w:val="auto"/>
              </w:rPr>
            </w:pPr>
            <w:r>
              <w:rPr>
                <w:rFonts w:ascii="Arial" w:cs="Arial" w:eastAsia="Arial" w:hAnsi="Arial"/>
                <w:sz w:val="20"/>
                <w:szCs w:val="20"/>
                <w:color w:val="auto"/>
                <w:w w:val="88"/>
              </w:rPr>
              <w:t>Average</w:t>
            </w:r>
          </w:p>
        </w:tc>
        <w:tc>
          <w:tcPr>
            <w:tcW w:w="1880" w:type="dxa"/>
            <w:vAlign w:val="bottom"/>
            <w:gridSpan w:val="2"/>
          </w:tcPr>
          <w:p>
            <w:pPr>
              <w:jc w:val="center"/>
              <w:ind w:right="280"/>
              <w:spacing w:after="0"/>
              <w:rPr>
                <w:sz w:val="20"/>
                <w:szCs w:val="20"/>
                <w:color w:val="auto"/>
              </w:rPr>
            </w:pPr>
            <w:r>
              <w:rPr>
                <w:rFonts w:ascii="Arial" w:cs="Arial" w:eastAsia="Arial" w:hAnsi="Arial"/>
                <w:sz w:val="20"/>
                <w:szCs w:val="20"/>
                <w:color w:val="auto"/>
                <w:w w:val="92"/>
              </w:rPr>
              <w:t>Remaining</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20"/>
                <w:szCs w:val="20"/>
                <w:color w:val="auto"/>
                <w:w w:val="92"/>
              </w:rPr>
              <w:t>Number of</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gridSpan w:val="2"/>
          </w:tcPr>
          <w:p>
            <w:pPr>
              <w:jc w:val="center"/>
              <w:ind w:right="580"/>
              <w:spacing w:after="0"/>
              <w:rPr>
                <w:sz w:val="20"/>
                <w:szCs w:val="20"/>
                <w:color w:val="auto"/>
              </w:rPr>
            </w:pPr>
            <w:r>
              <w:rPr>
                <w:rFonts w:ascii="Arial" w:cs="Arial" w:eastAsia="Arial" w:hAnsi="Arial"/>
                <w:sz w:val="20"/>
                <w:szCs w:val="20"/>
                <w:color w:val="auto"/>
                <w:w w:val="88"/>
              </w:rPr>
              <w:t>Exercise</w:t>
            </w:r>
          </w:p>
        </w:tc>
        <w:tc>
          <w:tcPr>
            <w:tcW w:w="1880" w:type="dxa"/>
            <w:vAlign w:val="bottom"/>
            <w:gridSpan w:val="2"/>
          </w:tcPr>
          <w:p>
            <w:pPr>
              <w:jc w:val="center"/>
              <w:ind w:right="280"/>
              <w:spacing w:after="0"/>
              <w:rPr>
                <w:sz w:val="20"/>
                <w:szCs w:val="20"/>
                <w:color w:val="auto"/>
              </w:rPr>
            </w:pPr>
            <w:r>
              <w:rPr>
                <w:rFonts w:ascii="Arial" w:cs="Arial" w:eastAsia="Arial" w:hAnsi="Arial"/>
                <w:sz w:val="20"/>
                <w:szCs w:val="20"/>
                <w:color w:val="auto"/>
                <w:w w:val="89"/>
              </w:rPr>
              <w:t>Contractual</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20"/>
                <w:szCs w:val="20"/>
                <w:color w:val="auto"/>
                <w:w w:val="86"/>
              </w:rPr>
              <w:t>Shares (In</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gridSpan w:val="2"/>
          </w:tcPr>
          <w:p>
            <w:pPr>
              <w:jc w:val="center"/>
              <w:ind w:right="580"/>
              <w:spacing w:after="0"/>
              <w:rPr>
                <w:sz w:val="20"/>
                <w:szCs w:val="20"/>
                <w:color w:val="auto"/>
              </w:rPr>
            </w:pPr>
            <w:r>
              <w:rPr>
                <w:rFonts w:ascii="Arial" w:cs="Arial" w:eastAsia="Arial" w:hAnsi="Arial"/>
                <w:sz w:val="20"/>
                <w:szCs w:val="20"/>
                <w:color w:val="auto"/>
                <w:w w:val="87"/>
              </w:rPr>
              <w:t>Price Per</w:t>
            </w:r>
          </w:p>
        </w:tc>
        <w:tc>
          <w:tcPr>
            <w:tcW w:w="1880" w:type="dxa"/>
            <w:vAlign w:val="bottom"/>
            <w:gridSpan w:val="2"/>
          </w:tcPr>
          <w:p>
            <w:pPr>
              <w:jc w:val="center"/>
              <w:ind w:right="280"/>
              <w:spacing w:after="0"/>
              <w:rPr>
                <w:sz w:val="20"/>
                <w:szCs w:val="20"/>
                <w:color w:val="auto"/>
              </w:rPr>
            </w:pPr>
            <w:r>
              <w:rPr>
                <w:rFonts w:ascii="Arial" w:cs="Arial" w:eastAsia="Arial" w:hAnsi="Arial"/>
                <w:sz w:val="20"/>
                <w:szCs w:val="20"/>
                <w:color w:val="auto"/>
                <w:w w:val="89"/>
              </w:rPr>
              <w:t>Term (In</w:t>
            </w:r>
          </w:p>
        </w:tc>
        <w:tc>
          <w:tcPr>
            <w:tcW w:w="200" w:type="dxa"/>
            <w:vAlign w:val="bottom"/>
          </w:tcPr>
          <w:p>
            <w:pPr>
              <w:spacing w:after="0"/>
              <w:rPr>
                <w:sz w:val="19"/>
                <w:szCs w:val="19"/>
                <w:color w:val="auto"/>
              </w:rPr>
            </w:pPr>
          </w:p>
        </w:tc>
        <w:tc>
          <w:tcPr>
            <w:tcW w:w="1400" w:type="dxa"/>
            <w:vAlign w:val="bottom"/>
          </w:tcPr>
          <w:p>
            <w:pPr>
              <w:jc w:val="right"/>
              <w:ind w:right="301"/>
              <w:spacing w:after="0"/>
              <w:rPr>
                <w:sz w:val="20"/>
                <w:szCs w:val="20"/>
                <w:color w:val="auto"/>
              </w:rPr>
            </w:pPr>
            <w:r>
              <w:rPr>
                <w:rFonts w:ascii="Arial" w:cs="Arial" w:eastAsia="Arial" w:hAnsi="Arial"/>
                <w:sz w:val="20"/>
                <w:szCs w:val="20"/>
                <w:color w:val="auto"/>
              </w:rPr>
              <w:t>Aggregate</w:t>
            </w:r>
          </w:p>
        </w:tc>
      </w:tr>
      <w:tr>
        <w:trPr>
          <w:trHeight w:val="246"/>
        </w:trPr>
        <w:tc>
          <w:tcPr>
            <w:tcW w:w="20" w:type="dxa"/>
            <w:vAlign w:val="bottom"/>
          </w:tcPr>
          <w:p>
            <w:pPr>
              <w:spacing w:after="0"/>
              <w:rPr>
                <w:sz w:val="21"/>
                <w:szCs w:val="21"/>
                <w:color w:val="auto"/>
              </w:rPr>
            </w:pPr>
          </w:p>
        </w:tc>
        <w:tc>
          <w:tcPr>
            <w:tcW w:w="4060" w:type="dxa"/>
            <w:vAlign w:val="bottom"/>
            <w:gridSpan w:val="2"/>
          </w:tcPr>
          <w:p>
            <w:pPr>
              <w:ind w:left="1560"/>
              <w:spacing w:after="0"/>
              <w:rPr>
                <w:sz w:val="20"/>
                <w:szCs w:val="20"/>
                <w:color w:val="auto"/>
              </w:rPr>
            </w:pPr>
            <w:r>
              <w:rPr>
                <w:rFonts w:ascii="Arial" w:cs="Arial" w:eastAsia="Arial" w:hAnsi="Arial"/>
                <w:sz w:val="20"/>
                <w:szCs w:val="20"/>
                <w:color w:val="auto"/>
              </w:rPr>
              <w:t>Options</w:t>
            </w:r>
          </w:p>
        </w:tc>
        <w:tc>
          <w:tcPr>
            <w:tcW w:w="1600" w:type="dxa"/>
            <w:vAlign w:val="bottom"/>
          </w:tcPr>
          <w:p>
            <w:pPr>
              <w:jc w:val="center"/>
              <w:spacing w:after="0"/>
              <w:rPr>
                <w:sz w:val="20"/>
                <w:szCs w:val="20"/>
                <w:color w:val="auto"/>
              </w:rPr>
            </w:pPr>
            <w:r>
              <w:rPr>
                <w:rFonts w:ascii="Arial" w:cs="Arial" w:eastAsia="Arial" w:hAnsi="Arial"/>
                <w:sz w:val="20"/>
                <w:szCs w:val="20"/>
                <w:color w:val="auto"/>
                <w:w w:val="86"/>
              </w:rPr>
              <w:t>thousands)</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80" w:type="dxa"/>
            <w:vAlign w:val="bottom"/>
            <w:gridSpan w:val="2"/>
          </w:tcPr>
          <w:p>
            <w:pPr>
              <w:jc w:val="center"/>
              <w:ind w:right="560"/>
              <w:spacing w:after="0"/>
              <w:rPr>
                <w:sz w:val="20"/>
                <w:szCs w:val="20"/>
                <w:color w:val="auto"/>
              </w:rPr>
            </w:pPr>
            <w:r>
              <w:rPr>
                <w:rFonts w:ascii="Arial" w:cs="Arial" w:eastAsia="Arial" w:hAnsi="Arial"/>
                <w:sz w:val="20"/>
                <w:szCs w:val="20"/>
                <w:color w:val="auto"/>
                <w:w w:val="86"/>
              </w:rPr>
              <w:t>Share</w:t>
            </w:r>
          </w:p>
        </w:tc>
        <w:tc>
          <w:tcPr>
            <w:tcW w:w="1880" w:type="dxa"/>
            <w:vAlign w:val="bottom"/>
            <w:gridSpan w:val="2"/>
          </w:tcPr>
          <w:p>
            <w:pPr>
              <w:jc w:val="center"/>
              <w:ind w:right="280"/>
              <w:spacing w:after="0"/>
              <w:rPr>
                <w:sz w:val="20"/>
                <w:szCs w:val="20"/>
                <w:color w:val="auto"/>
              </w:rPr>
            </w:pPr>
            <w:r>
              <w:rPr>
                <w:rFonts w:ascii="Arial" w:cs="Arial" w:eastAsia="Arial" w:hAnsi="Arial"/>
                <w:sz w:val="20"/>
                <w:szCs w:val="20"/>
                <w:color w:val="auto"/>
                <w:w w:val="86"/>
              </w:rPr>
              <w:t>years)</w:t>
            </w:r>
          </w:p>
        </w:tc>
        <w:tc>
          <w:tcPr>
            <w:tcW w:w="200" w:type="dxa"/>
            <w:vAlign w:val="bottom"/>
          </w:tcPr>
          <w:p>
            <w:pPr>
              <w:spacing w:after="0"/>
              <w:rPr>
                <w:sz w:val="21"/>
                <w:szCs w:val="21"/>
                <w:color w:val="auto"/>
              </w:rPr>
            </w:pPr>
          </w:p>
        </w:tc>
        <w:tc>
          <w:tcPr>
            <w:tcW w:w="1400" w:type="dxa"/>
            <w:vAlign w:val="bottom"/>
          </w:tcPr>
          <w:p>
            <w:pPr>
              <w:jc w:val="right"/>
              <w:ind w:right="121"/>
              <w:spacing w:after="0"/>
              <w:rPr>
                <w:sz w:val="20"/>
                <w:szCs w:val="20"/>
                <w:color w:val="auto"/>
              </w:rPr>
            </w:pPr>
            <w:r>
              <w:rPr>
                <w:rFonts w:ascii="Arial" w:cs="Arial" w:eastAsia="Arial" w:hAnsi="Arial"/>
                <w:sz w:val="20"/>
                <w:szCs w:val="20"/>
                <w:color w:val="auto"/>
                <w:w w:val="92"/>
              </w:rPr>
              <w:t>Intrinsic Value</w:t>
            </w:r>
          </w:p>
        </w:tc>
      </w:tr>
      <w:tr>
        <w:trPr>
          <w:trHeight w:val="206"/>
        </w:trPr>
        <w:tc>
          <w:tcPr>
            <w:tcW w:w="20" w:type="dxa"/>
            <w:vAlign w:val="bottom"/>
          </w:tcPr>
          <w:p>
            <w:pPr>
              <w:spacing w:after="0"/>
              <w:rPr>
                <w:sz w:val="17"/>
                <w:szCs w:val="17"/>
                <w:color w:val="auto"/>
              </w:rPr>
            </w:pPr>
          </w:p>
        </w:tc>
        <w:tc>
          <w:tcPr>
            <w:tcW w:w="376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Outstanding at January 1, 2017</w:t>
            </w:r>
          </w:p>
        </w:tc>
        <w:tc>
          <w:tcPr>
            <w:tcW w:w="300" w:type="dxa"/>
            <w:vAlign w:val="bottom"/>
          </w:tcPr>
          <w:p>
            <w:pPr>
              <w:spacing w:after="0"/>
              <w:rPr>
                <w:sz w:val="17"/>
                <w:szCs w:val="17"/>
                <w:color w:val="auto"/>
              </w:rPr>
            </w:pPr>
          </w:p>
        </w:tc>
        <w:tc>
          <w:tcPr>
            <w:tcW w:w="160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22,643</w:t>
            </w:r>
          </w:p>
        </w:tc>
        <w:tc>
          <w:tcPr>
            <w:tcW w:w="300" w:type="dxa"/>
            <w:vAlign w:val="bottom"/>
          </w:tcPr>
          <w:p>
            <w:pPr>
              <w:spacing w:after="0"/>
              <w:rPr>
                <w:sz w:val="17"/>
                <w:szCs w:val="17"/>
                <w:color w:val="auto"/>
              </w:rPr>
            </w:pPr>
          </w:p>
        </w:tc>
        <w:tc>
          <w:tcPr>
            <w:tcW w:w="28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30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23.55</w:t>
            </w:r>
          </w:p>
        </w:tc>
        <w:tc>
          <w:tcPr>
            <w:tcW w:w="280" w:type="dxa"/>
            <w:vAlign w:val="bottom"/>
          </w:tcPr>
          <w:p>
            <w:pPr>
              <w:spacing w:after="0"/>
              <w:rPr>
                <w:sz w:val="17"/>
                <w:szCs w:val="17"/>
                <w:color w:val="auto"/>
              </w:rPr>
            </w:pPr>
          </w:p>
        </w:tc>
        <w:tc>
          <w:tcPr>
            <w:tcW w:w="160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5.8</w:t>
            </w:r>
          </w:p>
        </w:tc>
        <w:tc>
          <w:tcPr>
            <w:tcW w:w="280" w:type="dxa"/>
            <w:vAlign w:val="bottom"/>
          </w:tcPr>
          <w:p>
            <w:pPr>
              <w:spacing w:after="0"/>
              <w:rPr>
                <w:sz w:val="17"/>
                <w:szCs w:val="17"/>
                <w:color w:val="auto"/>
              </w:rPr>
            </w:pPr>
          </w:p>
        </w:tc>
        <w:tc>
          <w:tcPr>
            <w:tcW w:w="20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400" w:type="dxa"/>
            <w:vAlign w:val="bottom"/>
            <w:tcBorders>
              <w:top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rPr>
              <w:t>474,739</w:t>
            </w:r>
          </w:p>
        </w:tc>
      </w:tr>
      <w:tr>
        <w:trPr>
          <w:trHeight w:val="230"/>
        </w:trPr>
        <w:tc>
          <w:tcPr>
            <w:tcW w:w="20" w:type="dxa"/>
            <w:vAlign w:val="bottom"/>
          </w:tcPr>
          <w:p>
            <w:pPr>
              <w:spacing w:after="0"/>
              <w:rPr>
                <w:sz w:val="19"/>
                <w:szCs w:val="19"/>
                <w:color w:val="auto"/>
              </w:rPr>
            </w:pPr>
          </w:p>
        </w:tc>
        <w:tc>
          <w:tcPr>
            <w:tcW w:w="4060" w:type="dxa"/>
            <w:vAlign w:val="bottom"/>
            <w:gridSpan w:val="2"/>
          </w:tcPr>
          <w:p>
            <w:pPr>
              <w:ind w:left="380"/>
              <w:spacing w:after="0"/>
              <w:rPr>
                <w:sz w:val="20"/>
                <w:szCs w:val="20"/>
                <w:color w:val="auto"/>
              </w:rPr>
            </w:pPr>
            <w:r>
              <w:rPr>
                <w:rFonts w:ascii="Arial" w:cs="Arial" w:eastAsia="Arial" w:hAnsi="Arial"/>
                <w:sz w:val="20"/>
                <w:szCs w:val="20"/>
                <w:color w:val="auto"/>
              </w:rPr>
              <w:t>Granted 01/01/17 - 03/31/17</w:t>
            </w:r>
          </w:p>
        </w:tc>
        <w:tc>
          <w:tcPr>
            <w:tcW w:w="1600" w:type="dxa"/>
            <w:vAlign w:val="bottom"/>
          </w:tcPr>
          <w:p>
            <w:pPr>
              <w:jc w:val="right"/>
              <w:ind w:right="1"/>
              <w:spacing w:after="0"/>
              <w:rPr>
                <w:sz w:val="20"/>
                <w:szCs w:val="20"/>
                <w:color w:val="auto"/>
              </w:rPr>
            </w:pPr>
            <w:r>
              <w:rPr>
                <w:rFonts w:ascii="Arial" w:cs="Arial" w:eastAsia="Arial" w:hAnsi="Arial"/>
                <w:sz w:val="20"/>
                <w:szCs w:val="20"/>
                <w:color w:val="auto"/>
              </w:rPr>
              <w:t>1,319</w:t>
            </w:r>
          </w:p>
        </w:tc>
        <w:tc>
          <w:tcPr>
            <w:tcW w:w="5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00" w:type="dxa"/>
            <w:vAlign w:val="bottom"/>
          </w:tcPr>
          <w:p>
            <w:pPr>
              <w:jc w:val="right"/>
              <w:ind w:right="1"/>
              <w:spacing w:after="0"/>
              <w:rPr>
                <w:sz w:val="20"/>
                <w:szCs w:val="20"/>
                <w:color w:val="auto"/>
              </w:rPr>
            </w:pPr>
            <w:r>
              <w:rPr>
                <w:rFonts w:ascii="Arial" w:cs="Arial" w:eastAsia="Arial" w:hAnsi="Arial"/>
                <w:sz w:val="20"/>
                <w:szCs w:val="20"/>
                <w:color w:val="auto"/>
              </w:rPr>
              <w:t>45.94</w:t>
            </w: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60" w:type="dxa"/>
            <w:vAlign w:val="bottom"/>
            <w:gridSpan w:val="2"/>
          </w:tcPr>
          <w:p>
            <w:pPr>
              <w:ind w:left="380"/>
              <w:spacing w:after="0"/>
              <w:rPr>
                <w:sz w:val="20"/>
                <w:szCs w:val="20"/>
                <w:color w:val="auto"/>
              </w:rPr>
            </w:pPr>
            <w:r>
              <w:rPr>
                <w:rFonts w:ascii="Arial" w:cs="Arial" w:eastAsia="Arial" w:hAnsi="Arial"/>
                <w:sz w:val="20"/>
                <w:szCs w:val="20"/>
                <w:color w:val="auto"/>
              </w:rPr>
              <w:t>Granted 04/01/17 - 06/30/17</w:t>
            </w:r>
          </w:p>
        </w:tc>
        <w:tc>
          <w:tcPr>
            <w:tcW w:w="1600" w:type="dxa"/>
            <w:vAlign w:val="bottom"/>
          </w:tcPr>
          <w:p>
            <w:pPr>
              <w:jc w:val="right"/>
              <w:ind w:right="1"/>
              <w:spacing w:after="0"/>
              <w:rPr>
                <w:sz w:val="20"/>
                <w:szCs w:val="20"/>
                <w:color w:val="auto"/>
              </w:rPr>
            </w:pPr>
            <w:r>
              <w:rPr>
                <w:rFonts w:ascii="Arial" w:cs="Arial" w:eastAsia="Arial" w:hAnsi="Arial"/>
                <w:sz w:val="20"/>
                <w:szCs w:val="20"/>
                <w:color w:val="auto"/>
              </w:rPr>
              <w:t>26</w:t>
            </w:r>
          </w:p>
        </w:tc>
        <w:tc>
          <w:tcPr>
            <w:tcW w:w="5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00" w:type="dxa"/>
            <w:vAlign w:val="bottom"/>
          </w:tcPr>
          <w:p>
            <w:pPr>
              <w:jc w:val="right"/>
              <w:ind w:right="1"/>
              <w:spacing w:after="0"/>
              <w:rPr>
                <w:sz w:val="20"/>
                <w:szCs w:val="20"/>
                <w:color w:val="auto"/>
              </w:rPr>
            </w:pPr>
            <w:r>
              <w:rPr>
                <w:rFonts w:ascii="Arial" w:cs="Arial" w:eastAsia="Arial" w:hAnsi="Arial"/>
                <w:sz w:val="20"/>
                <w:szCs w:val="20"/>
                <w:color w:val="auto"/>
              </w:rPr>
              <w:t>49.71</w:t>
            </w: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60" w:type="dxa"/>
            <w:vAlign w:val="bottom"/>
            <w:gridSpan w:val="2"/>
          </w:tcPr>
          <w:p>
            <w:pPr>
              <w:ind w:left="380"/>
              <w:spacing w:after="0"/>
              <w:rPr>
                <w:sz w:val="20"/>
                <w:szCs w:val="20"/>
                <w:color w:val="auto"/>
              </w:rPr>
            </w:pPr>
            <w:r>
              <w:rPr>
                <w:rFonts w:ascii="Arial" w:cs="Arial" w:eastAsia="Arial" w:hAnsi="Arial"/>
                <w:sz w:val="20"/>
                <w:szCs w:val="20"/>
                <w:color w:val="auto"/>
              </w:rPr>
              <w:t>Granted 07/01/17 - 09/30/17</w:t>
            </w:r>
          </w:p>
        </w:tc>
        <w:tc>
          <w:tcPr>
            <w:tcW w:w="1600" w:type="dxa"/>
            <w:vAlign w:val="bottom"/>
          </w:tcPr>
          <w:p>
            <w:pPr>
              <w:jc w:val="right"/>
              <w:ind w:right="1"/>
              <w:spacing w:after="0"/>
              <w:rPr>
                <w:sz w:val="20"/>
                <w:szCs w:val="20"/>
                <w:color w:val="auto"/>
              </w:rPr>
            </w:pPr>
            <w:r>
              <w:rPr>
                <w:rFonts w:ascii="Arial" w:cs="Arial" w:eastAsia="Arial" w:hAnsi="Arial"/>
                <w:sz w:val="20"/>
                <w:szCs w:val="20"/>
                <w:color w:val="auto"/>
              </w:rPr>
              <w:t>12</w:t>
            </w:r>
          </w:p>
        </w:tc>
        <w:tc>
          <w:tcPr>
            <w:tcW w:w="5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00" w:type="dxa"/>
            <w:vAlign w:val="bottom"/>
          </w:tcPr>
          <w:p>
            <w:pPr>
              <w:jc w:val="right"/>
              <w:ind w:right="1"/>
              <w:spacing w:after="0"/>
              <w:rPr>
                <w:sz w:val="20"/>
                <w:szCs w:val="20"/>
                <w:color w:val="auto"/>
              </w:rPr>
            </w:pPr>
            <w:r>
              <w:rPr>
                <w:rFonts w:ascii="Arial" w:cs="Arial" w:eastAsia="Arial" w:hAnsi="Arial"/>
                <w:sz w:val="20"/>
                <w:szCs w:val="20"/>
                <w:color w:val="auto"/>
              </w:rPr>
              <w:t>56.08</w:t>
            </w: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60" w:type="dxa"/>
            <w:vAlign w:val="bottom"/>
            <w:gridSpan w:val="2"/>
          </w:tcPr>
          <w:p>
            <w:pPr>
              <w:ind w:left="380"/>
              <w:spacing w:after="0"/>
              <w:rPr>
                <w:sz w:val="20"/>
                <w:szCs w:val="20"/>
                <w:color w:val="auto"/>
              </w:rPr>
            </w:pPr>
            <w:r>
              <w:rPr>
                <w:rFonts w:ascii="Arial" w:cs="Arial" w:eastAsia="Arial" w:hAnsi="Arial"/>
                <w:sz w:val="20"/>
                <w:szCs w:val="20"/>
                <w:color w:val="auto"/>
              </w:rPr>
              <w:t>Exercised</w:t>
            </w:r>
          </w:p>
        </w:tc>
        <w:tc>
          <w:tcPr>
            <w:tcW w:w="1600" w:type="dxa"/>
            <w:vAlign w:val="bottom"/>
          </w:tcPr>
          <w:p>
            <w:pPr>
              <w:jc w:val="right"/>
              <w:spacing w:after="0"/>
              <w:rPr>
                <w:sz w:val="20"/>
                <w:szCs w:val="20"/>
                <w:color w:val="auto"/>
              </w:rPr>
            </w:pPr>
            <w:r>
              <w:rPr>
                <w:rFonts w:ascii="Arial" w:cs="Arial" w:eastAsia="Arial" w:hAnsi="Arial"/>
                <w:sz w:val="20"/>
                <w:szCs w:val="20"/>
                <w:color w:val="auto"/>
              </w:rPr>
              <w:t>(1,643)</w:t>
            </w:r>
          </w:p>
        </w:tc>
        <w:tc>
          <w:tcPr>
            <w:tcW w:w="5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00" w:type="dxa"/>
            <w:vAlign w:val="bottom"/>
          </w:tcPr>
          <w:p>
            <w:pPr>
              <w:jc w:val="right"/>
              <w:ind w:right="1"/>
              <w:spacing w:after="0"/>
              <w:rPr>
                <w:sz w:val="20"/>
                <w:szCs w:val="20"/>
                <w:color w:val="auto"/>
              </w:rPr>
            </w:pPr>
            <w:r>
              <w:rPr>
                <w:rFonts w:ascii="Arial" w:cs="Arial" w:eastAsia="Arial" w:hAnsi="Arial"/>
                <w:sz w:val="20"/>
                <w:szCs w:val="20"/>
                <w:color w:val="auto"/>
              </w:rPr>
              <w:t>16.30</w:t>
            </w: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40"/>
        </w:trPr>
        <w:tc>
          <w:tcPr>
            <w:tcW w:w="20" w:type="dxa"/>
            <w:vAlign w:val="bottom"/>
          </w:tcPr>
          <w:p>
            <w:pPr>
              <w:spacing w:after="0"/>
              <w:rPr>
                <w:sz w:val="20"/>
                <w:szCs w:val="20"/>
                <w:color w:val="auto"/>
              </w:rPr>
            </w:pPr>
          </w:p>
        </w:tc>
        <w:tc>
          <w:tcPr>
            <w:tcW w:w="4060" w:type="dxa"/>
            <w:vAlign w:val="bottom"/>
            <w:gridSpan w:val="2"/>
          </w:tcPr>
          <w:p>
            <w:pPr>
              <w:ind w:left="380"/>
              <w:spacing w:after="0"/>
              <w:rPr>
                <w:sz w:val="20"/>
                <w:szCs w:val="20"/>
                <w:color w:val="auto"/>
              </w:rPr>
            </w:pPr>
            <w:r>
              <w:rPr>
                <w:rFonts w:ascii="Arial" w:cs="Arial" w:eastAsia="Arial" w:hAnsi="Arial"/>
                <w:sz w:val="20"/>
                <w:szCs w:val="20"/>
                <w:color w:val="auto"/>
              </w:rPr>
              <w:t>Cancelled or forfeited</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(391)</w:t>
            </w:r>
          </w:p>
        </w:tc>
        <w:tc>
          <w:tcPr>
            <w:tcW w:w="5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00" w:type="dxa"/>
            <w:vAlign w:val="bottom"/>
          </w:tcPr>
          <w:p>
            <w:pPr>
              <w:jc w:val="right"/>
              <w:ind w:right="1"/>
              <w:spacing w:after="0"/>
              <w:rPr>
                <w:sz w:val="20"/>
                <w:szCs w:val="20"/>
                <w:color w:val="auto"/>
              </w:rPr>
            </w:pPr>
            <w:r>
              <w:rPr>
                <w:rFonts w:ascii="Arial" w:cs="Arial" w:eastAsia="Arial" w:hAnsi="Arial"/>
                <w:sz w:val="20"/>
                <w:szCs w:val="20"/>
                <w:color w:val="auto"/>
              </w:rPr>
              <w:t>39.32</w:t>
            </w:r>
          </w:p>
        </w:tc>
        <w:tc>
          <w:tcPr>
            <w:tcW w:w="2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13"/>
        </w:trPr>
        <w:tc>
          <w:tcPr>
            <w:tcW w:w="4080" w:type="dxa"/>
            <w:vAlign w:val="bottom"/>
            <w:gridSpan w:val="3"/>
          </w:tcPr>
          <w:p>
            <w:pPr>
              <w:spacing w:after="0" w:line="213" w:lineRule="exact"/>
              <w:rPr>
                <w:sz w:val="20"/>
                <w:szCs w:val="20"/>
                <w:color w:val="auto"/>
              </w:rPr>
            </w:pPr>
            <w:r>
              <w:rPr>
                <w:rFonts w:ascii="Arial" w:cs="Arial" w:eastAsia="Arial" w:hAnsi="Arial"/>
                <w:sz w:val="20"/>
                <w:szCs w:val="20"/>
                <w:color w:val="auto"/>
              </w:rPr>
              <w:t>Outstanding at September 30, 2017</w:t>
            </w:r>
          </w:p>
        </w:tc>
        <w:tc>
          <w:tcPr>
            <w:tcW w:w="1600" w:type="dxa"/>
            <w:vAlign w:val="bottom"/>
          </w:tcPr>
          <w:p>
            <w:pPr>
              <w:jc w:val="right"/>
              <w:ind w:right="1"/>
              <w:spacing w:after="0" w:line="213" w:lineRule="exact"/>
              <w:rPr>
                <w:sz w:val="20"/>
                <w:szCs w:val="20"/>
                <w:color w:val="auto"/>
              </w:rPr>
            </w:pPr>
            <w:r>
              <w:rPr>
                <w:rFonts w:ascii="Arial" w:cs="Arial" w:eastAsia="Arial" w:hAnsi="Arial"/>
                <w:sz w:val="20"/>
                <w:szCs w:val="20"/>
                <w:color w:val="auto"/>
              </w:rPr>
              <w:t>21,966</w:t>
            </w:r>
          </w:p>
        </w:tc>
        <w:tc>
          <w:tcPr>
            <w:tcW w:w="580" w:type="dxa"/>
            <w:vAlign w:val="bottom"/>
            <w:gridSpan w:val="2"/>
          </w:tcPr>
          <w:p>
            <w:pPr>
              <w:jc w:val="right"/>
              <w:spacing w:after="0" w:line="213" w:lineRule="exact"/>
              <w:rPr>
                <w:sz w:val="20"/>
                <w:szCs w:val="20"/>
                <w:color w:val="auto"/>
              </w:rPr>
            </w:pPr>
            <w:r>
              <w:rPr>
                <w:rFonts w:ascii="Arial" w:cs="Arial" w:eastAsia="Arial" w:hAnsi="Arial"/>
                <w:sz w:val="20"/>
                <w:szCs w:val="20"/>
                <w:color w:val="auto"/>
              </w:rPr>
              <w:t>$</w:t>
            </w:r>
          </w:p>
        </w:tc>
        <w:tc>
          <w:tcPr>
            <w:tcW w:w="1300" w:type="dxa"/>
            <w:vAlign w:val="bottom"/>
          </w:tcPr>
          <w:p>
            <w:pPr>
              <w:jc w:val="right"/>
              <w:ind w:right="1"/>
              <w:spacing w:after="0" w:line="213" w:lineRule="exact"/>
              <w:rPr>
                <w:sz w:val="20"/>
                <w:szCs w:val="20"/>
                <w:color w:val="auto"/>
              </w:rPr>
            </w:pPr>
            <w:r>
              <w:rPr>
                <w:rFonts w:ascii="Arial" w:cs="Arial" w:eastAsia="Arial" w:hAnsi="Arial"/>
                <w:sz w:val="20"/>
                <w:szCs w:val="20"/>
                <w:color w:val="auto"/>
              </w:rPr>
              <w:t>25.20</w:t>
            </w:r>
          </w:p>
        </w:tc>
        <w:tc>
          <w:tcPr>
            <w:tcW w:w="280" w:type="dxa"/>
            <w:vAlign w:val="bottom"/>
          </w:tcPr>
          <w:p>
            <w:pPr>
              <w:spacing w:after="0"/>
              <w:rPr>
                <w:sz w:val="18"/>
                <w:szCs w:val="18"/>
                <w:color w:val="auto"/>
              </w:rPr>
            </w:pPr>
          </w:p>
        </w:tc>
        <w:tc>
          <w:tcPr>
            <w:tcW w:w="1600" w:type="dxa"/>
            <w:vAlign w:val="bottom"/>
          </w:tcPr>
          <w:p>
            <w:pPr>
              <w:jc w:val="right"/>
              <w:ind w:right="1"/>
              <w:spacing w:after="0" w:line="213" w:lineRule="exact"/>
              <w:rPr>
                <w:sz w:val="20"/>
                <w:szCs w:val="20"/>
                <w:color w:val="auto"/>
              </w:rPr>
            </w:pPr>
            <w:r>
              <w:rPr>
                <w:rFonts w:ascii="Arial" w:cs="Arial" w:eastAsia="Arial" w:hAnsi="Arial"/>
                <w:sz w:val="20"/>
                <w:szCs w:val="20"/>
                <w:color w:val="auto"/>
              </w:rPr>
              <w:t>5.4</w:t>
            </w:r>
          </w:p>
        </w:tc>
        <w:tc>
          <w:tcPr>
            <w:tcW w:w="280" w:type="dxa"/>
            <w:vAlign w:val="bottom"/>
          </w:tcPr>
          <w:p>
            <w:pPr>
              <w:spacing w:after="0"/>
              <w:rPr>
                <w:sz w:val="18"/>
                <w:szCs w:val="18"/>
                <w:color w:val="auto"/>
              </w:rPr>
            </w:pPr>
          </w:p>
        </w:tc>
        <w:tc>
          <w:tcPr>
            <w:tcW w:w="200" w:type="dxa"/>
            <w:vAlign w:val="bottom"/>
          </w:tcPr>
          <w:p>
            <w:pPr>
              <w:jc w:val="right"/>
              <w:spacing w:after="0" w:line="213" w:lineRule="exact"/>
              <w:rPr>
                <w:sz w:val="20"/>
                <w:szCs w:val="20"/>
                <w:color w:val="auto"/>
              </w:rPr>
            </w:pPr>
            <w:r>
              <w:rPr>
                <w:rFonts w:ascii="Arial" w:cs="Arial" w:eastAsia="Arial" w:hAnsi="Arial"/>
                <w:sz w:val="20"/>
                <w:szCs w:val="20"/>
                <w:color w:val="auto"/>
              </w:rPr>
              <w:t>$</w:t>
            </w:r>
          </w:p>
        </w:tc>
        <w:tc>
          <w:tcPr>
            <w:tcW w:w="1400" w:type="dxa"/>
            <w:vAlign w:val="bottom"/>
          </w:tcPr>
          <w:p>
            <w:pPr>
              <w:jc w:val="right"/>
              <w:ind w:right="21"/>
              <w:spacing w:after="0" w:line="213" w:lineRule="exact"/>
              <w:rPr>
                <w:sz w:val="20"/>
                <w:szCs w:val="20"/>
                <w:color w:val="auto"/>
              </w:rPr>
            </w:pPr>
            <w:r>
              <w:rPr>
                <w:rFonts w:ascii="Arial" w:cs="Arial" w:eastAsia="Arial" w:hAnsi="Arial"/>
                <w:sz w:val="20"/>
                <w:szCs w:val="20"/>
                <w:color w:val="auto"/>
              </w:rPr>
              <w:t>659,989</w:t>
            </w:r>
          </w:p>
        </w:tc>
      </w:tr>
      <w:tr>
        <w:trPr>
          <w:trHeight w:val="230"/>
        </w:trPr>
        <w:tc>
          <w:tcPr>
            <w:tcW w:w="4080" w:type="dxa"/>
            <w:vAlign w:val="bottom"/>
            <w:gridSpan w:val="3"/>
          </w:tcPr>
          <w:p>
            <w:pPr>
              <w:spacing w:after="0"/>
              <w:rPr>
                <w:sz w:val="20"/>
                <w:szCs w:val="20"/>
                <w:color w:val="auto"/>
              </w:rPr>
            </w:pPr>
            <w:r>
              <w:rPr>
                <w:rFonts w:ascii="Arial" w:cs="Arial" w:eastAsia="Arial" w:hAnsi="Arial"/>
                <w:sz w:val="20"/>
                <w:szCs w:val="20"/>
                <w:color w:val="auto"/>
              </w:rPr>
              <w:t>Vested and expected to vest in the</w:t>
            </w:r>
          </w:p>
        </w:tc>
        <w:tc>
          <w:tcPr>
            <w:tcW w:w="1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60" w:type="dxa"/>
            <w:vAlign w:val="bottom"/>
            <w:gridSpan w:val="2"/>
          </w:tcPr>
          <w:p>
            <w:pPr>
              <w:ind w:left="180"/>
              <w:spacing w:after="0"/>
              <w:rPr>
                <w:sz w:val="20"/>
                <w:szCs w:val="20"/>
                <w:color w:val="auto"/>
              </w:rPr>
            </w:pPr>
            <w:r>
              <w:rPr>
                <w:rFonts w:ascii="Arial" w:cs="Arial" w:eastAsia="Arial" w:hAnsi="Arial"/>
                <w:sz w:val="20"/>
                <w:szCs w:val="20"/>
                <w:color w:val="auto"/>
              </w:rPr>
              <w:t>future at September 30, 2017</w:t>
            </w:r>
          </w:p>
        </w:tc>
        <w:tc>
          <w:tcPr>
            <w:tcW w:w="1600" w:type="dxa"/>
            <w:vAlign w:val="bottom"/>
          </w:tcPr>
          <w:p>
            <w:pPr>
              <w:jc w:val="right"/>
              <w:ind w:right="1"/>
              <w:spacing w:after="0"/>
              <w:rPr>
                <w:sz w:val="20"/>
                <w:szCs w:val="20"/>
                <w:color w:val="auto"/>
              </w:rPr>
            </w:pPr>
            <w:r>
              <w:rPr>
                <w:rFonts w:ascii="Arial" w:cs="Arial" w:eastAsia="Arial" w:hAnsi="Arial"/>
                <w:sz w:val="20"/>
                <w:szCs w:val="20"/>
                <w:color w:val="auto"/>
              </w:rPr>
              <w:t>20,870</w:t>
            </w:r>
          </w:p>
        </w:tc>
        <w:tc>
          <w:tcPr>
            <w:tcW w:w="5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00" w:type="dxa"/>
            <w:vAlign w:val="bottom"/>
          </w:tcPr>
          <w:p>
            <w:pPr>
              <w:jc w:val="right"/>
              <w:ind w:right="1"/>
              <w:spacing w:after="0"/>
              <w:rPr>
                <w:sz w:val="20"/>
                <w:szCs w:val="20"/>
                <w:color w:val="auto"/>
              </w:rPr>
            </w:pPr>
            <w:r>
              <w:rPr>
                <w:rFonts w:ascii="Arial" w:cs="Arial" w:eastAsia="Arial" w:hAnsi="Arial"/>
                <w:sz w:val="20"/>
                <w:szCs w:val="20"/>
                <w:color w:val="auto"/>
              </w:rPr>
              <w:t>24.26</w:t>
            </w:r>
          </w:p>
        </w:tc>
        <w:tc>
          <w:tcPr>
            <w:tcW w:w="280" w:type="dxa"/>
            <w:vAlign w:val="bottom"/>
          </w:tcPr>
          <w:p>
            <w:pPr>
              <w:spacing w:after="0"/>
              <w:rPr>
                <w:sz w:val="19"/>
                <w:szCs w:val="19"/>
                <w:color w:val="auto"/>
              </w:rPr>
            </w:pPr>
          </w:p>
        </w:tc>
        <w:tc>
          <w:tcPr>
            <w:tcW w:w="1600" w:type="dxa"/>
            <w:vAlign w:val="bottom"/>
          </w:tcPr>
          <w:p>
            <w:pPr>
              <w:jc w:val="right"/>
              <w:ind w:right="1"/>
              <w:spacing w:after="0"/>
              <w:rPr>
                <w:sz w:val="20"/>
                <w:szCs w:val="20"/>
                <w:color w:val="auto"/>
              </w:rPr>
            </w:pPr>
            <w:r>
              <w:rPr>
                <w:rFonts w:ascii="Arial" w:cs="Arial" w:eastAsia="Arial" w:hAnsi="Arial"/>
                <w:sz w:val="20"/>
                <w:szCs w:val="20"/>
                <w:color w:val="auto"/>
              </w:rPr>
              <w:t>5.2</w:t>
            </w:r>
          </w:p>
        </w:tc>
        <w:tc>
          <w:tcPr>
            <w:tcW w:w="2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400" w:type="dxa"/>
            <w:vAlign w:val="bottom"/>
          </w:tcPr>
          <w:p>
            <w:pPr>
              <w:jc w:val="right"/>
              <w:ind w:right="21"/>
              <w:spacing w:after="0"/>
              <w:rPr>
                <w:sz w:val="20"/>
                <w:szCs w:val="20"/>
                <w:color w:val="auto"/>
              </w:rPr>
            </w:pPr>
            <w:r>
              <w:rPr>
                <w:rFonts w:ascii="Arial" w:cs="Arial" w:eastAsia="Arial" w:hAnsi="Arial"/>
                <w:sz w:val="20"/>
                <w:szCs w:val="20"/>
                <w:color w:val="auto"/>
              </w:rPr>
              <w:t>646,739</w:t>
            </w:r>
          </w:p>
        </w:tc>
      </w:tr>
      <w:tr>
        <w:trPr>
          <w:trHeight w:val="250"/>
        </w:trPr>
        <w:tc>
          <w:tcPr>
            <w:tcW w:w="4080" w:type="dxa"/>
            <w:vAlign w:val="bottom"/>
            <w:gridSpan w:val="3"/>
          </w:tcPr>
          <w:p>
            <w:pPr>
              <w:spacing w:after="0"/>
              <w:rPr>
                <w:sz w:val="20"/>
                <w:szCs w:val="20"/>
                <w:color w:val="auto"/>
              </w:rPr>
            </w:pPr>
            <w:r>
              <w:rPr>
                <w:rFonts w:ascii="Arial" w:cs="Arial" w:eastAsia="Arial" w:hAnsi="Arial"/>
                <w:sz w:val="20"/>
                <w:szCs w:val="20"/>
                <w:color w:val="auto"/>
              </w:rPr>
              <w:t>Exercisable at September 30, 2017</w:t>
            </w:r>
          </w:p>
        </w:tc>
        <w:tc>
          <w:tcPr>
            <w:tcW w:w="1600" w:type="dxa"/>
            <w:vAlign w:val="bottom"/>
          </w:tcPr>
          <w:p>
            <w:pPr>
              <w:jc w:val="right"/>
              <w:ind w:right="1"/>
              <w:spacing w:after="0"/>
              <w:rPr>
                <w:sz w:val="20"/>
                <w:szCs w:val="20"/>
                <w:color w:val="auto"/>
              </w:rPr>
            </w:pPr>
            <w:r>
              <w:rPr>
                <w:rFonts w:ascii="Arial" w:cs="Arial" w:eastAsia="Arial" w:hAnsi="Arial"/>
                <w:sz w:val="20"/>
                <w:szCs w:val="20"/>
                <w:color w:val="auto"/>
              </w:rPr>
              <w:t>13,030</w:t>
            </w:r>
          </w:p>
        </w:tc>
        <w:tc>
          <w:tcPr>
            <w:tcW w:w="5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00" w:type="dxa"/>
            <w:vAlign w:val="bottom"/>
          </w:tcPr>
          <w:p>
            <w:pPr>
              <w:jc w:val="right"/>
              <w:ind w:right="1"/>
              <w:spacing w:after="0"/>
              <w:rPr>
                <w:sz w:val="20"/>
                <w:szCs w:val="20"/>
                <w:color w:val="auto"/>
              </w:rPr>
            </w:pPr>
            <w:r>
              <w:rPr>
                <w:rFonts w:ascii="Arial" w:cs="Arial" w:eastAsia="Arial" w:hAnsi="Arial"/>
                <w:sz w:val="20"/>
                <w:szCs w:val="20"/>
                <w:color w:val="auto"/>
              </w:rPr>
              <w:t>14.29</w:t>
            </w:r>
          </w:p>
        </w:tc>
        <w:tc>
          <w:tcPr>
            <w:tcW w:w="280" w:type="dxa"/>
            <w:vAlign w:val="bottom"/>
          </w:tcPr>
          <w:p>
            <w:pPr>
              <w:spacing w:after="0"/>
              <w:rPr>
                <w:sz w:val="21"/>
                <w:szCs w:val="21"/>
                <w:color w:val="auto"/>
              </w:rPr>
            </w:pPr>
          </w:p>
        </w:tc>
        <w:tc>
          <w:tcPr>
            <w:tcW w:w="1600" w:type="dxa"/>
            <w:vAlign w:val="bottom"/>
          </w:tcPr>
          <w:p>
            <w:pPr>
              <w:jc w:val="right"/>
              <w:ind w:right="1"/>
              <w:spacing w:after="0"/>
              <w:rPr>
                <w:sz w:val="20"/>
                <w:szCs w:val="20"/>
                <w:color w:val="auto"/>
              </w:rPr>
            </w:pPr>
            <w:r>
              <w:rPr>
                <w:rFonts w:ascii="Arial" w:cs="Arial" w:eastAsia="Arial" w:hAnsi="Arial"/>
                <w:sz w:val="20"/>
                <w:szCs w:val="20"/>
                <w:color w:val="auto"/>
              </w:rPr>
              <w:t>3.4</w:t>
            </w:r>
          </w:p>
        </w:tc>
        <w:tc>
          <w:tcPr>
            <w:tcW w:w="2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400" w:type="dxa"/>
            <w:vAlign w:val="bottom"/>
          </w:tcPr>
          <w:p>
            <w:pPr>
              <w:jc w:val="right"/>
              <w:ind w:right="21"/>
              <w:spacing w:after="0"/>
              <w:rPr>
                <w:sz w:val="20"/>
                <w:szCs w:val="20"/>
                <w:color w:val="auto"/>
              </w:rPr>
            </w:pPr>
            <w:r>
              <w:rPr>
                <w:rFonts w:ascii="Arial" w:cs="Arial" w:eastAsia="Arial" w:hAnsi="Arial"/>
                <w:sz w:val="20"/>
                <w:szCs w:val="20"/>
                <w:color w:val="auto"/>
              </w:rPr>
              <w:t>533,683</w:t>
            </w:r>
          </w:p>
        </w:tc>
      </w:tr>
    </w:tbl>
    <w:p>
      <w:pPr>
        <w:spacing w:after="0" w:line="20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The weighted-average grant-date fair value of options granted during the three-months ended September 30, 2017 and 2016 was $20.61 per share and $19.74 per share, respectively. The weighted-average grant-date fair value of options granted during the nine-months ended September 30, 2017 and 2016 was $18.04 per share and $16.94 per share, respectively. The total intrinsic value of options exercised during the three-months ended September 30, 2017 and 2016 was $12.5 million and $9.1 million, respectively. The total intrinsic value of options exercised during the nine-months ended September 30, 2017 and 2016 was $53.4 million and $30.6 million, respectively.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Cash received from option exercises under all plans for the three-months ended September 30, 2017 and 2016 was approximately $7.7 million and $2.4 million, respectively. Cash received from option exercises under all plans for the nine-months ended September 30, 2017 and 2016 was approximately $26.8 million and $10.6 million, respectively.</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At September 30, 2017, there was $91.8 million of total unrecognized compensation expense related to non-vested options granted to employees under the Company’s share-based payment plans. That cost is expected to be recognized over a weighted-average period of 2.8 years.</w:t>
      </w:r>
    </w:p>
    <w:p>
      <w:pPr>
        <w:sectPr>
          <w:pgSz w:w="11900" w:h="16838" w:orient="portrait"/>
          <w:cols w:equalWidth="0" w:num="1">
            <w:col w:w="11420"/>
          </w:cols>
          <w:pgMar w:left="240" w:top="125" w:right="239" w:bottom="0" w:gutter="0" w:footer="0" w:header="0"/>
          <w:type w:val="continuous"/>
        </w:sectPr>
      </w:pP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Restricted Stock Awards and Restricted Stock Units</w:t>
      </w:r>
    </w:p>
    <w:p>
      <w:pPr>
        <w:sectPr>
          <w:pgSz w:w="11900" w:h="16838" w:orient="portrait"/>
          <w:cols w:equalWidth="0" w:num="1">
            <w:col w:w="11420"/>
          </w:cols>
          <w:pgMar w:left="240" w:top="125" w:right="239" w:bottom="0" w:gutter="0" w:footer="0" w:header="0"/>
          <w:type w:val="continuous"/>
        </w:sectPr>
      </w:pPr>
    </w:p>
    <w:bookmarkStart w:id="14" w:name="page15"/>
    <w:bookmarkEnd w:id="14"/>
    <w:p>
      <w:pPr>
        <w:jc w:val="both"/>
        <w:ind w:firstLine="648"/>
        <w:spacing w:after="0" w:line="250" w:lineRule="auto"/>
        <w:rPr>
          <w:sz w:val="20"/>
          <w:szCs w:val="20"/>
          <w:color w:val="auto"/>
        </w:rPr>
      </w:pPr>
      <w:r>
        <w:rPr>
          <w:rFonts w:ascii="Arial" w:cs="Arial" w:eastAsia="Arial" w:hAnsi="Arial"/>
          <w:sz w:val="20"/>
          <w:szCs w:val="20"/>
          <w:color w:val="auto"/>
        </w:rPr>
        <w:t>The cost of stock-based compensation for restricted stock awards and restricted stock units is measured based on the closing fair market value of the Company’s common stock at the date of grant. In the event that the Company has the option and intent to settle a restricted stock unit in cash, the award is classified as a liability and revalued at each balance sheet date.</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following table summarizes the Company’s activities with respect to non-vested restricted stock awards and non-vested restricted stock units as follows:</w:t>
      </w:r>
    </w:p>
    <w:p>
      <w:pPr>
        <w:spacing w:after="0" w:line="190"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center"/>
              <w:ind w:right="121"/>
              <w:spacing w:after="0"/>
              <w:rPr>
                <w:sz w:val="20"/>
                <w:szCs w:val="20"/>
                <w:color w:val="auto"/>
              </w:rPr>
            </w:pPr>
            <w:r>
              <w:rPr>
                <w:rFonts w:ascii="Arial" w:cs="Arial" w:eastAsia="Arial" w:hAnsi="Arial"/>
                <w:sz w:val="20"/>
                <w:szCs w:val="20"/>
                <w:color w:val="auto"/>
                <w:w w:val="89"/>
              </w:rPr>
              <w:t>Weighted</w:t>
            </w:r>
          </w:p>
        </w:tc>
        <w:tc>
          <w:tcPr>
            <w:tcW w:w="0" w:type="dxa"/>
            <w:vAlign w:val="bottom"/>
          </w:tcPr>
          <w:p>
            <w:pPr>
              <w:spacing w:after="0"/>
              <w:rPr>
                <w:sz w:val="1"/>
                <w:szCs w:val="1"/>
                <w:color w:val="auto"/>
              </w:rPr>
            </w:pPr>
          </w:p>
        </w:tc>
      </w:tr>
      <w:tr>
        <w:trPr>
          <w:trHeight w:val="230"/>
        </w:trPr>
        <w:tc>
          <w:tcPr>
            <w:tcW w:w="44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20"/>
                <w:szCs w:val="20"/>
                <w:color w:val="auto"/>
                <w:w w:val="92"/>
              </w:rPr>
              <w:t>Number of</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center"/>
              <w:ind w:right="141"/>
              <w:spacing w:after="0"/>
              <w:rPr>
                <w:sz w:val="20"/>
                <w:szCs w:val="20"/>
                <w:color w:val="auto"/>
              </w:rPr>
            </w:pPr>
            <w:r>
              <w:rPr>
                <w:rFonts w:ascii="Arial" w:cs="Arial" w:eastAsia="Arial" w:hAnsi="Arial"/>
                <w:sz w:val="20"/>
                <w:szCs w:val="20"/>
                <w:color w:val="auto"/>
                <w:w w:val="88"/>
              </w:rPr>
              <w:t>Average</w:t>
            </w:r>
          </w:p>
        </w:tc>
        <w:tc>
          <w:tcPr>
            <w:tcW w:w="0" w:type="dxa"/>
            <w:vAlign w:val="bottom"/>
          </w:tcPr>
          <w:p>
            <w:pPr>
              <w:spacing w:after="0"/>
              <w:rPr>
                <w:sz w:val="1"/>
                <w:szCs w:val="1"/>
                <w:color w:val="auto"/>
              </w:rPr>
            </w:pPr>
          </w:p>
        </w:tc>
      </w:tr>
      <w:tr>
        <w:trPr>
          <w:trHeight w:val="230"/>
        </w:trPr>
        <w:tc>
          <w:tcPr>
            <w:tcW w:w="44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20"/>
                <w:szCs w:val="20"/>
                <w:color w:val="auto"/>
                <w:w w:val="87"/>
              </w:rPr>
              <w:t>Shares (in</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center"/>
              <w:ind w:right="121"/>
              <w:spacing w:after="0"/>
              <w:rPr>
                <w:sz w:val="20"/>
                <w:szCs w:val="20"/>
                <w:color w:val="auto"/>
              </w:rPr>
            </w:pPr>
            <w:r>
              <w:rPr>
                <w:rFonts w:ascii="Arial" w:cs="Arial" w:eastAsia="Arial" w:hAnsi="Arial"/>
                <w:sz w:val="20"/>
                <w:szCs w:val="20"/>
                <w:color w:val="auto"/>
                <w:w w:val="88"/>
              </w:rPr>
              <w:t>Grant-Date</w:t>
            </w:r>
          </w:p>
        </w:tc>
        <w:tc>
          <w:tcPr>
            <w:tcW w:w="0" w:type="dxa"/>
            <w:vAlign w:val="bottom"/>
          </w:tcPr>
          <w:p>
            <w:pPr>
              <w:spacing w:after="0"/>
              <w:rPr>
                <w:sz w:val="1"/>
                <w:szCs w:val="1"/>
                <w:color w:val="auto"/>
              </w:rPr>
            </w:pPr>
          </w:p>
        </w:tc>
      </w:tr>
      <w:tr>
        <w:trPr>
          <w:trHeight w:val="246"/>
        </w:trPr>
        <w:tc>
          <w:tcPr>
            <w:tcW w:w="4420" w:type="dxa"/>
            <w:vAlign w:val="bottom"/>
            <w:vMerge w:val="restart"/>
          </w:tcPr>
          <w:p>
            <w:pPr>
              <w:spacing w:after="0"/>
              <w:rPr>
                <w:sz w:val="20"/>
                <w:szCs w:val="20"/>
                <w:color w:val="auto"/>
              </w:rPr>
            </w:pPr>
            <w:r>
              <w:rPr>
                <w:rFonts w:ascii="Arial" w:cs="Arial" w:eastAsia="Arial" w:hAnsi="Arial"/>
                <w:sz w:val="20"/>
                <w:szCs w:val="20"/>
                <w:color w:val="auto"/>
              </w:rPr>
              <w:t>Non-vested at January 1, 2017</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6"/>
              </w:rPr>
              <w:t>thousands)</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141"/>
              <w:spacing w:after="0"/>
              <w:rPr>
                <w:sz w:val="20"/>
                <w:szCs w:val="20"/>
                <w:color w:val="auto"/>
              </w:rPr>
            </w:pPr>
            <w:r>
              <w:rPr>
                <w:rFonts w:ascii="Arial" w:cs="Arial" w:eastAsia="Arial" w:hAnsi="Arial"/>
                <w:sz w:val="20"/>
                <w:szCs w:val="20"/>
                <w:color w:val="auto"/>
                <w:w w:val="89"/>
              </w:rPr>
              <w:t>Fair Value</w:t>
            </w:r>
          </w:p>
        </w:tc>
        <w:tc>
          <w:tcPr>
            <w:tcW w:w="0" w:type="dxa"/>
            <w:vAlign w:val="bottom"/>
          </w:tcPr>
          <w:p>
            <w:pPr>
              <w:spacing w:after="0"/>
              <w:rPr>
                <w:sz w:val="1"/>
                <w:szCs w:val="1"/>
                <w:color w:val="auto"/>
              </w:rPr>
            </w:pPr>
          </w:p>
        </w:tc>
      </w:tr>
      <w:tr>
        <w:trPr>
          <w:trHeight w:val="206"/>
        </w:trPr>
        <w:tc>
          <w:tcPr>
            <w:tcW w:w="4420" w:type="dxa"/>
            <w:vAlign w:val="bottom"/>
            <w:vMerge w:val="continue"/>
          </w:tcPr>
          <w:p>
            <w:pPr>
              <w:spacing w:after="0"/>
              <w:rPr>
                <w:sz w:val="17"/>
                <w:szCs w:val="17"/>
                <w:color w:val="auto"/>
              </w:rPr>
            </w:pPr>
          </w:p>
        </w:tc>
        <w:tc>
          <w:tcPr>
            <w:tcW w:w="1380" w:type="dxa"/>
            <w:vAlign w:val="bottom"/>
          </w:tcPr>
          <w:p>
            <w:pPr>
              <w:jc w:val="right"/>
              <w:ind w:right="21"/>
              <w:spacing w:after="0" w:line="207" w:lineRule="exact"/>
              <w:rPr>
                <w:sz w:val="20"/>
                <w:szCs w:val="20"/>
                <w:color w:val="auto"/>
              </w:rPr>
            </w:pPr>
            <w:r>
              <w:rPr>
                <w:rFonts w:ascii="Arial" w:cs="Arial" w:eastAsia="Arial" w:hAnsi="Arial"/>
                <w:sz w:val="20"/>
                <w:szCs w:val="20"/>
                <w:color w:val="auto"/>
              </w:rPr>
              <w:t>556</w:t>
            </w:r>
          </w:p>
        </w:tc>
        <w:tc>
          <w:tcPr>
            <w:tcW w:w="260" w:type="dxa"/>
            <w:vAlign w:val="bottom"/>
          </w:tcPr>
          <w:p>
            <w:pPr>
              <w:spacing w:after="0"/>
              <w:rPr>
                <w:sz w:val="17"/>
                <w:szCs w:val="17"/>
                <w:color w:val="auto"/>
              </w:rPr>
            </w:pPr>
          </w:p>
        </w:tc>
        <w:tc>
          <w:tcPr>
            <w:tcW w:w="22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1140" w:type="dxa"/>
            <w:vAlign w:val="bottom"/>
          </w:tcPr>
          <w:p>
            <w:pPr>
              <w:jc w:val="right"/>
              <w:ind w:right="21"/>
              <w:spacing w:after="0" w:line="207" w:lineRule="exact"/>
              <w:rPr>
                <w:sz w:val="20"/>
                <w:szCs w:val="20"/>
                <w:color w:val="auto"/>
              </w:rPr>
            </w:pPr>
            <w:r>
              <w:rPr>
                <w:rFonts w:ascii="Arial" w:cs="Arial" w:eastAsia="Arial" w:hAnsi="Arial"/>
                <w:sz w:val="20"/>
                <w:szCs w:val="20"/>
                <w:color w:val="auto"/>
              </w:rPr>
              <w:t>39.95</w:t>
            </w:r>
          </w:p>
        </w:tc>
        <w:tc>
          <w:tcPr>
            <w:tcW w:w="0" w:type="dxa"/>
            <w:vAlign w:val="bottom"/>
          </w:tcPr>
          <w:p>
            <w:pPr>
              <w:spacing w:after="0"/>
              <w:rPr>
                <w:sz w:val="1"/>
                <w:szCs w:val="1"/>
                <w:color w:val="auto"/>
              </w:rPr>
            </w:pPr>
          </w:p>
        </w:tc>
      </w:tr>
      <w:tr>
        <w:trPr>
          <w:trHeight w:val="230"/>
        </w:trPr>
        <w:tc>
          <w:tcPr>
            <w:tcW w:w="4420" w:type="dxa"/>
            <w:vAlign w:val="bottom"/>
          </w:tcPr>
          <w:p>
            <w:pPr>
              <w:ind w:left="360"/>
              <w:spacing w:after="0"/>
              <w:rPr>
                <w:sz w:val="20"/>
                <w:szCs w:val="20"/>
                <w:color w:val="auto"/>
              </w:rPr>
            </w:pPr>
            <w:r>
              <w:rPr>
                <w:rFonts w:ascii="Arial" w:cs="Arial" w:eastAsia="Arial" w:hAnsi="Arial"/>
                <w:sz w:val="20"/>
                <w:szCs w:val="20"/>
                <w:color w:val="auto"/>
              </w:rPr>
              <w:t>Granted 01/01/17- 03/31/17</w:t>
            </w:r>
          </w:p>
        </w:tc>
        <w:tc>
          <w:tcPr>
            <w:tcW w:w="1380" w:type="dxa"/>
            <w:vAlign w:val="bottom"/>
          </w:tcPr>
          <w:p>
            <w:pPr>
              <w:jc w:val="right"/>
              <w:ind w:right="21"/>
              <w:spacing w:after="0"/>
              <w:rPr>
                <w:sz w:val="20"/>
                <w:szCs w:val="20"/>
                <w:color w:val="auto"/>
              </w:rPr>
            </w:pPr>
            <w:r>
              <w:rPr>
                <w:rFonts w:ascii="Arial" w:cs="Arial" w:eastAsia="Arial" w:hAnsi="Arial"/>
                <w:sz w:val="20"/>
                <w:szCs w:val="20"/>
                <w:color w:val="auto"/>
              </w:rPr>
              <w:t>252</w:t>
            </w:r>
          </w:p>
        </w:tc>
        <w:tc>
          <w:tcPr>
            <w:tcW w:w="4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21"/>
              <w:spacing w:after="0"/>
              <w:rPr>
                <w:sz w:val="20"/>
                <w:szCs w:val="20"/>
                <w:color w:val="auto"/>
              </w:rPr>
            </w:pPr>
            <w:r>
              <w:rPr>
                <w:rFonts w:ascii="Arial" w:cs="Arial" w:eastAsia="Arial" w:hAnsi="Arial"/>
                <w:sz w:val="20"/>
                <w:szCs w:val="20"/>
                <w:color w:val="auto"/>
              </w:rPr>
              <w:t>46.27</w:t>
            </w:r>
          </w:p>
        </w:tc>
        <w:tc>
          <w:tcPr>
            <w:tcW w:w="0" w:type="dxa"/>
            <w:vAlign w:val="bottom"/>
          </w:tcPr>
          <w:p>
            <w:pPr>
              <w:spacing w:after="0"/>
              <w:rPr>
                <w:sz w:val="1"/>
                <w:szCs w:val="1"/>
                <w:color w:val="auto"/>
              </w:rPr>
            </w:pPr>
          </w:p>
        </w:tc>
      </w:tr>
      <w:tr>
        <w:trPr>
          <w:trHeight w:val="230"/>
        </w:trPr>
        <w:tc>
          <w:tcPr>
            <w:tcW w:w="4420" w:type="dxa"/>
            <w:vAlign w:val="bottom"/>
          </w:tcPr>
          <w:p>
            <w:pPr>
              <w:ind w:left="360"/>
              <w:spacing w:after="0"/>
              <w:rPr>
                <w:sz w:val="20"/>
                <w:szCs w:val="20"/>
                <w:color w:val="auto"/>
              </w:rPr>
            </w:pPr>
            <w:r>
              <w:rPr>
                <w:rFonts w:ascii="Arial" w:cs="Arial" w:eastAsia="Arial" w:hAnsi="Arial"/>
                <w:sz w:val="20"/>
                <w:szCs w:val="20"/>
                <w:color w:val="auto"/>
              </w:rPr>
              <w:t>Granted 04/01/17- 06/30/17</w:t>
            </w:r>
          </w:p>
        </w:tc>
        <w:tc>
          <w:tcPr>
            <w:tcW w:w="1380" w:type="dxa"/>
            <w:vAlign w:val="bottom"/>
          </w:tcPr>
          <w:p>
            <w:pPr>
              <w:jc w:val="right"/>
              <w:ind w:right="21"/>
              <w:spacing w:after="0"/>
              <w:rPr>
                <w:sz w:val="20"/>
                <w:szCs w:val="20"/>
                <w:color w:val="auto"/>
              </w:rPr>
            </w:pPr>
            <w:r>
              <w:rPr>
                <w:rFonts w:ascii="Arial" w:cs="Arial" w:eastAsia="Arial" w:hAnsi="Arial"/>
                <w:sz w:val="20"/>
                <w:szCs w:val="20"/>
                <w:color w:val="auto"/>
              </w:rPr>
              <w:t>23</w:t>
            </w:r>
          </w:p>
        </w:tc>
        <w:tc>
          <w:tcPr>
            <w:tcW w:w="4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21"/>
              <w:spacing w:after="0"/>
              <w:rPr>
                <w:sz w:val="20"/>
                <w:szCs w:val="20"/>
                <w:color w:val="auto"/>
              </w:rPr>
            </w:pPr>
            <w:r>
              <w:rPr>
                <w:rFonts w:ascii="Arial" w:cs="Arial" w:eastAsia="Arial" w:hAnsi="Arial"/>
                <w:sz w:val="20"/>
                <w:szCs w:val="20"/>
                <w:color w:val="auto"/>
              </w:rPr>
              <w:t>50.86</w:t>
            </w:r>
          </w:p>
        </w:tc>
        <w:tc>
          <w:tcPr>
            <w:tcW w:w="0" w:type="dxa"/>
            <w:vAlign w:val="bottom"/>
          </w:tcPr>
          <w:p>
            <w:pPr>
              <w:spacing w:after="0"/>
              <w:rPr>
                <w:sz w:val="1"/>
                <w:szCs w:val="1"/>
                <w:color w:val="auto"/>
              </w:rPr>
            </w:pPr>
          </w:p>
        </w:tc>
      </w:tr>
      <w:tr>
        <w:trPr>
          <w:trHeight w:val="230"/>
        </w:trPr>
        <w:tc>
          <w:tcPr>
            <w:tcW w:w="4420" w:type="dxa"/>
            <w:vAlign w:val="bottom"/>
          </w:tcPr>
          <w:p>
            <w:pPr>
              <w:ind w:left="360"/>
              <w:spacing w:after="0"/>
              <w:rPr>
                <w:sz w:val="20"/>
                <w:szCs w:val="20"/>
                <w:color w:val="auto"/>
              </w:rPr>
            </w:pPr>
            <w:r>
              <w:rPr>
                <w:rFonts w:ascii="Arial" w:cs="Arial" w:eastAsia="Arial" w:hAnsi="Arial"/>
                <w:sz w:val="20"/>
                <w:szCs w:val="20"/>
                <w:color w:val="auto"/>
              </w:rPr>
              <w:t>Granted 07/01/17- 09/30/17</w:t>
            </w:r>
          </w:p>
        </w:tc>
        <w:tc>
          <w:tcPr>
            <w:tcW w:w="138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4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4420" w:type="dxa"/>
            <w:vAlign w:val="bottom"/>
          </w:tcPr>
          <w:p>
            <w:pPr>
              <w:ind w:left="360"/>
              <w:spacing w:after="0"/>
              <w:rPr>
                <w:sz w:val="20"/>
                <w:szCs w:val="20"/>
                <w:color w:val="auto"/>
              </w:rPr>
            </w:pPr>
            <w:r>
              <w:rPr>
                <w:rFonts w:ascii="Arial" w:cs="Arial" w:eastAsia="Arial" w:hAnsi="Arial"/>
                <w:sz w:val="20"/>
                <w:szCs w:val="20"/>
                <w:color w:val="auto"/>
              </w:rPr>
              <w:t>Vested</w:t>
            </w:r>
          </w:p>
        </w:tc>
        <w:tc>
          <w:tcPr>
            <w:tcW w:w="1380" w:type="dxa"/>
            <w:vAlign w:val="bottom"/>
          </w:tcPr>
          <w:p>
            <w:pPr>
              <w:jc w:val="right"/>
              <w:spacing w:after="0"/>
              <w:rPr>
                <w:sz w:val="20"/>
                <w:szCs w:val="20"/>
                <w:color w:val="auto"/>
              </w:rPr>
            </w:pPr>
            <w:r>
              <w:rPr>
                <w:rFonts w:ascii="Arial" w:cs="Arial" w:eastAsia="Arial" w:hAnsi="Arial"/>
                <w:sz w:val="20"/>
                <w:szCs w:val="20"/>
                <w:color w:val="auto"/>
              </w:rPr>
              <w:t>(289)</w:t>
            </w:r>
          </w:p>
        </w:tc>
        <w:tc>
          <w:tcPr>
            <w:tcW w:w="4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21"/>
              <w:spacing w:after="0"/>
              <w:rPr>
                <w:sz w:val="20"/>
                <w:szCs w:val="20"/>
                <w:color w:val="auto"/>
              </w:rPr>
            </w:pPr>
            <w:r>
              <w:rPr>
                <w:rFonts w:ascii="Arial" w:cs="Arial" w:eastAsia="Arial" w:hAnsi="Arial"/>
                <w:sz w:val="20"/>
                <w:szCs w:val="20"/>
                <w:color w:val="auto"/>
              </w:rPr>
              <w:t>37.64</w:t>
            </w:r>
          </w:p>
        </w:tc>
        <w:tc>
          <w:tcPr>
            <w:tcW w:w="0" w:type="dxa"/>
            <w:vAlign w:val="bottom"/>
          </w:tcPr>
          <w:p>
            <w:pPr>
              <w:spacing w:after="0"/>
              <w:rPr>
                <w:sz w:val="1"/>
                <w:szCs w:val="1"/>
                <w:color w:val="auto"/>
              </w:rPr>
            </w:pPr>
          </w:p>
        </w:tc>
      </w:tr>
      <w:tr>
        <w:trPr>
          <w:trHeight w:val="240"/>
        </w:trPr>
        <w:tc>
          <w:tcPr>
            <w:tcW w:w="4420" w:type="dxa"/>
            <w:vAlign w:val="bottom"/>
          </w:tcPr>
          <w:p>
            <w:pPr>
              <w:ind w:left="360"/>
              <w:spacing w:after="0"/>
              <w:rPr>
                <w:sz w:val="20"/>
                <w:szCs w:val="20"/>
                <w:color w:val="auto"/>
              </w:rPr>
            </w:pPr>
            <w:r>
              <w:rPr>
                <w:rFonts w:ascii="Arial" w:cs="Arial" w:eastAsia="Arial" w:hAnsi="Arial"/>
                <w:sz w:val="20"/>
                <w:szCs w:val="20"/>
                <w:color w:val="auto"/>
              </w:rPr>
              <w:t>Forfeited/cancelled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w:t>
            </w:r>
          </w:p>
        </w:tc>
        <w:tc>
          <w:tcPr>
            <w:tcW w:w="4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21"/>
              <w:spacing w:after="0"/>
              <w:rPr>
                <w:sz w:val="20"/>
                <w:szCs w:val="20"/>
                <w:color w:val="auto"/>
              </w:rPr>
            </w:pPr>
            <w:r>
              <w:rPr>
                <w:rFonts w:ascii="Arial" w:cs="Arial" w:eastAsia="Arial" w:hAnsi="Arial"/>
                <w:sz w:val="20"/>
                <w:szCs w:val="20"/>
                <w:color w:val="auto"/>
              </w:rPr>
              <w:t>20.69</w:t>
            </w:r>
          </w:p>
        </w:tc>
        <w:tc>
          <w:tcPr>
            <w:tcW w:w="0" w:type="dxa"/>
            <w:vAlign w:val="bottom"/>
          </w:tcPr>
          <w:p>
            <w:pPr>
              <w:spacing w:after="0"/>
              <w:rPr>
                <w:sz w:val="1"/>
                <w:szCs w:val="1"/>
                <w:color w:val="auto"/>
              </w:rPr>
            </w:pPr>
          </w:p>
        </w:tc>
      </w:tr>
      <w:tr>
        <w:trPr>
          <w:trHeight w:val="230"/>
        </w:trPr>
        <w:tc>
          <w:tcPr>
            <w:tcW w:w="4420" w:type="dxa"/>
            <w:vAlign w:val="bottom"/>
          </w:tcPr>
          <w:p>
            <w:pPr>
              <w:spacing w:after="0" w:line="220" w:lineRule="exact"/>
              <w:rPr>
                <w:sz w:val="20"/>
                <w:szCs w:val="20"/>
                <w:color w:val="auto"/>
              </w:rPr>
            </w:pPr>
            <w:r>
              <w:rPr>
                <w:rFonts w:ascii="Arial" w:cs="Arial" w:eastAsia="Arial" w:hAnsi="Arial"/>
                <w:sz w:val="20"/>
                <w:szCs w:val="20"/>
                <w:color w:val="auto"/>
              </w:rPr>
              <w:t>Non-vested at September 30, 2017</w:t>
            </w:r>
          </w:p>
        </w:tc>
        <w:tc>
          <w:tcPr>
            <w:tcW w:w="138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540</w:t>
            </w:r>
          </w:p>
        </w:tc>
        <w:tc>
          <w:tcPr>
            <w:tcW w:w="4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21"/>
              <w:spacing w:after="0"/>
              <w:rPr>
                <w:sz w:val="20"/>
                <w:szCs w:val="20"/>
                <w:color w:val="auto"/>
              </w:rPr>
            </w:pPr>
            <w:r>
              <w:rPr>
                <w:rFonts w:ascii="Arial" w:cs="Arial" w:eastAsia="Arial" w:hAnsi="Arial"/>
                <w:sz w:val="20"/>
                <w:szCs w:val="20"/>
                <w:color w:val="auto"/>
              </w:rPr>
              <w:t>44.67</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No restricted stock units or restricted stock awards were granted during the three-months ended September 30, 2017 and September 30, 2016. The weighted-average grant-date fair value of restricted stock units and restricted stock awards granted during the nine-months ended September 30, 2017 and 2016 was $46.65 per share and $44.71 per share, respectively. As of September 30, 2017, 0.5 million of restricted stock units and restricted stock awards are expected to vest over their respective terms.</w:t>
      </w:r>
    </w:p>
    <w:p>
      <w:pPr>
        <w:spacing w:after="0" w:line="190"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At September 30, 2017, total unrecognized compensation expense relating to non-vested restricted stock awards and non-vested restricted stock units was $17.3 million, which is expected to be recognized over a weighted-average period of 1.7 years.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left="640" w:hanging="632"/>
        <w:spacing w:after="0"/>
        <w:tabs>
          <w:tab w:leader="none" w:pos="6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INCOME TAXES</w:t>
      </w:r>
    </w:p>
    <w:p>
      <w:pPr>
        <w:spacing w:after="0" w:line="22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 following is a roll-forward of the Company’s total gross unrecognized tax benefits, not including interest and penalties, for the nine-months ended September 30, 2017:</w:t>
      </w:r>
    </w:p>
    <w:p>
      <w:pPr>
        <w:spacing w:after="0" w:line="190"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4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20" w:type="dxa"/>
            <w:vAlign w:val="bottom"/>
          </w:tcPr>
          <w:p>
            <w:pPr>
              <w:jc w:val="right"/>
              <w:ind w:right="201"/>
              <w:spacing w:after="0"/>
              <w:rPr>
                <w:sz w:val="20"/>
                <w:szCs w:val="20"/>
                <w:color w:val="auto"/>
              </w:rPr>
            </w:pPr>
            <w:r>
              <w:rPr>
                <w:rFonts w:ascii="Arial" w:cs="Arial" w:eastAsia="Arial" w:hAnsi="Arial"/>
                <w:sz w:val="20"/>
                <w:szCs w:val="20"/>
                <w:color w:val="auto"/>
                <w:w w:val="90"/>
              </w:rPr>
              <w:t>Gross Unrecognized Tax</w:t>
            </w:r>
          </w:p>
        </w:tc>
        <w:tc>
          <w:tcPr>
            <w:tcW w:w="0" w:type="dxa"/>
            <w:vAlign w:val="bottom"/>
          </w:tcPr>
          <w:p>
            <w:pPr>
              <w:spacing w:after="0"/>
              <w:rPr>
                <w:sz w:val="1"/>
                <w:szCs w:val="1"/>
                <w:color w:val="auto"/>
              </w:rPr>
            </w:pPr>
          </w:p>
        </w:tc>
      </w:tr>
      <w:tr>
        <w:trPr>
          <w:trHeight w:val="246"/>
        </w:trPr>
        <w:tc>
          <w:tcPr>
            <w:tcW w:w="4260" w:type="dxa"/>
            <w:vAlign w:val="bottom"/>
            <w:vMerge w:val="restart"/>
          </w:tcPr>
          <w:p>
            <w:pPr>
              <w:spacing w:after="0"/>
              <w:rPr>
                <w:sz w:val="20"/>
                <w:szCs w:val="20"/>
                <w:color w:val="auto"/>
              </w:rPr>
            </w:pPr>
            <w:r>
              <w:rPr>
                <w:rFonts w:ascii="Arial" w:cs="Arial" w:eastAsia="Arial" w:hAnsi="Arial"/>
                <w:sz w:val="20"/>
                <w:szCs w:val="20"/>
                <w:color w:val="auto"/>
              </w:rPr>
              <w:t>Balance at December 31, 2016</w:t>
            </w:r>
          </w:p>
        </w:tc>
        <w:tc>
          <w:tcPr>
            <w:tcW w:w="26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tcPr>
          <w:p>
            <w:pPr>
              <w:jc w:val="right"/>
              <w:ind w:right="861"/>
              <w:spacing w:after="0"/>
              <w:rPr>
                <w:sz w:val="20"/>
                <w:szCs w:val="20"/>
                <w:color w:val="auto"/>
              </w:rPr>
            </w:pPr>
            <w:r>
              <w:rPr>
                <w:rFonts w:ascii="Arial" w:cs="Arial" w:eastAsia="Arial" w:hAnsi="Arial"/>
                <w:sz w:val="20"/>
                <w:szCs w:val="20"/>
                <w:color w:val="auto"/>
              </w:rPr>
              <w:t>Benefits</w:t>
            </w:r>
          </w:p>
        </w:tc>
        <w:tc>
          <w:tcPr>
            <w:tcW w:w="0" w:type="dxa"/>
            <w:vAlign w:val="bottom"/>
          </w:tcPr>
          <w:p>
            <w:pPr>
              <w:spacing w:after="0"/>
              <w:rPr>
                <w:sz w:val="1"/>
                <w:szCs w:val="1"/>
                <w:color w:val="auto"/>
              </w:rPr>
            </w:pPr>
          </w:p>
        </w:tc>
      </w:tr>
      <w:tr>
        <w:trPr>
          <w:trHeight w:val="206"/>
        </w:trPr>
        <w:tc>
          <w:tcPr>
            <w:tcW w:w="4260" w:type="dxa"/>
            <w:vAlign w:val="bottom"/>
            <w:vMerge w:val="continue"/>
          </w:tcPr>
          <w:p>
            <w:pPr>
              <w:spacing w:after="0"/>
              <w:rPr>
                <w:sz w:val="17"/>
                <w:szCs w:val="17"/>
                <w:color w:val="auto"/>
              </w:rPr>
            </w:pPr>
          </w:p>
        </w:tc>
        <w:tc>
          <w:tcPr>
            <w:tcW w:w="26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2320" w:type="dxa"/>
            <w:vAlign w:val="bottom"/>
          </w:tcPr>
          <w:p>
            <w:pPr>
              <w:jc w:val="right"/>
              <w:ind w:right="1"/>
              <w:spacing w:after="0" w:line="207" w:lineRule="exact"/>
              <w:rPr>
                <w:sz w:val="20"/>
                <w:szCs w:val="20"/>
                <w:color w:val="auto"/>
              </w:rPr>
            </w:pPr>
            <w:r>
              <w:rPr>
                <w:rFonts w:ascii="Arial" w:cs="Arial" w:eastAsia="Arial" w:hAnsi="Arial"/>
                <w:sz w:val="20"/>
                <w:szCs w:val="20"/>
                <w:color w:val="auto"/>
              </w:rPr>
              <w:t>9</w:t>
            </w: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20"/>
                <w:szCs w:val="20"/>
                <w:color w:val="auto"/>
              </w:rPr>
              <w:t>Additions for tax positions related to the current</w:t>
            </w:r>
          </w:p>
        </w:tc>
        <w:tc>
          <w:tcPr>
            <w:tcW w:w="2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180"/>
              <w:spacing w:after="0"/>
              <w:rPr>
                <w:sz w:val="20"/>
                <w:szCs w:val="20"/>
                <w:color w:val="auto"/>
              </w:rPr>
            </w:pPr>
            <w:r>
              <w:rPr>
                <w:rFonts w:ascii="Arial" w:cs="Arial" w:eastAsia="Arial" w:hAnsi="Arial"/>
                <w:sz w:val="20"/>
                <w:szCs w:val="20"/>
                <w:color w:val="auto"/>
              </w:rPr>
              <w:t>year</w:t>
            </w:r>
          </w:p>
        </w:tc>
        <w:tc>
          <w:tcPr>
            <w:tcW w:w="260" w:type="dxa"/>
            <w:vAlign w:val="bottom"/>
          </w:tcPr>
          <w:p>
            <w:pPr>
              <w:spacing w:after="0"/>
              <w:rPr>
                <w:sz w:val="19"/>
                <w:szCs w:val="19"/>
                <w:color w:val="auto"/>
              </w:rPr>
            </w:pPr>
          </w:p>
        </w:tc>
        <w:tc>
          <w:tcPr>
            <w:tcW w:w="232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20"/>
                <w:szCs w:val="20"/>
                <w:color w:val="auto"/>
              </w:rPr>
              <w:t>Additions for tax positions related to the prior</w:t>
            </w:r>
          </w:p>
        </w:tc>
        <w:tc>
          <w:tcPr>
            <w:tcW w:w="2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180"/>
              <w:spacing w:after="0"/>
              <w:rPr>
                <w:sz w:val="20"/>
                <w:szCs w:val="20"/>
                <w:color w:val="auto"/>
              </w:rPr>
            </w:pPr>
            <w:r>
              <w:rPr>
                <w:rFonts w:ascii="Arial" w:cs="Arial" w:eastAsia="Arial" w:hAnsi="Arial"/>
                <w:sz w:val="20"/>
                <w:szCs w:val="20"/>
                <w:color w:val="auto"/>
              </w:rPr>
              <w:t>year</w:t>
            </w:r>
          </w:p>
        </w:tc>
        <w:tc>
          <w:tcPr>
            <w:tcW w:w="260" w:type="dxa"/>
            <w:vAlign w:val="bottom"/>
          </w:tcPr>
          <w:p>
            <w:pPr>
              <w:spacing w:after="0"/>
              <w:rPr>
                <w:sz w:val="19"/>
                <w:szCs w:val="19"/>
                <w:color w:val="auto"/>
              </w:rPr>
            </w:pPr>
          </w:p>
        </w:tc>
        <w:tc>
          <w:tcPr>
            <w:tcW w:w="2320" w:type="dxa"/>
            <w:vAlign w:val="bottom"/>
          </w:tcPr>
          <w:p>
            <w:pPr>
              <w:jc w:val="right"/>
              <w:ind w:right="1"/>
              <w:spacing w:after="0"/>
              <w:rPr>
                <w:sz w:val="20"/>
                <w:szCs w:val="20"/>
                <w:color w:val="auto"/>
              </w:rPr>
            </w:pPr>
            <w:r>
              <w:rPr>
                <w:rFonts w:ascii="Arial" w:cs="Arial" w:eastAsia="Arial" w:hAnsi="Arial"/>
                <w:sz w:val="20"/>
                <w:szCs w:val="20"/>
                <w:color w:val="auto"/>
              </w:rPr>
              <w:t>6,540</w:t>
            </w: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20"/>
                <w:szCs w:val="20"/>
                <w:color w:val="auto"/>
              </w:rPr>
              <w:t>Decreases related to settlement with taxing</w:t>
            </w:r>
          </w:p>
        </w:tc>
        <w:tc>
          <w:tcPr>
            <w:tcW w:w="2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260" w:type="dxa"/>
            <w:vAlign w:val="bottom"/>
          </w:tcPr>
          <w:p>
            <w:pPr>
              <w:ind w:left="180"/>
              <w:spacing w:after="0"/>
              <w:rPr>
                <w:sz w:val="20"/>
                <w:szCs w:val="20"/>
                <w:color w:val="auto"/>
              </w:rPr>
            </w:pPr>
            <w:r>
              <w:rPr>
                <w:rFonts w:ascii="Arial" w:cs="Arial" w:eastAsia="Arial" w:hAnsi="Arial"/>
                <w:sz w:val="20"/>
                <w:szCs w:val="20"/>
                <w:color w:val="auto"/>
              </w:rPr>
              <w:t>authority</w:t>
            </w:r>
          </w:p>
        </w:tc>
        <w:tc>
          <w:tcPr>
            <w:tcW w:w="2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w:t>
            </w:r>
          </w:p>
        </w:tc>
        <w:tc>
          <w:tcPr>
            <w:tcW w:w="0" w:type="dxa"/>
            <w:vAlign w:val="bottom"/>
          </w:tcPr>
          <w:p>
            <w:pPr>
              <w:spacing w:after="0"/>
              <w:rPr>
                <w:sz w:val="1"/>
                <w:szCs w:val="1"/>
                <w:color w:val="auto"/>
              </w:rPr>
            </w:pPr>
          </w:p>
        </w:tc>
      </w:tr>
      <w:tr>
        <w:trPr>
          <w:trHeight w:val="230"/>
        </w:trPr>
        <w:tc>
          <w:tcPr>
            <w:tcW w:w="4260" w:type="dxa"/>
            <w:vAlign w:val="bottom"/>
          </w:tcPr>
          <w:p>
            <w:pPr>
              <w:spacing w:after="0" w:line="220" w:lineRule="exact"/>
              <w:rPr>
                <w:sz w:val="20"/>
                <w:szCs w:val="20"/>
                <w:color w:val="auto"/>
              </w:rPr>
            </w:pPr>
            <w:r>
              <w:rPr>
                <w:rFonts w:ascii="Arial" w:cs="Arial" w:eastAsia="Arial" w:hAnsi="Arial"/>
                <w:sz w:val="20"/>
                <w:szCs w:val="20"/>
                <w:color w:val="auto"/>
              </w:rPr>
              <w:t>Balance at September 30, 2017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3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6,540</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Company recognizes accrued interest and penalties related to unrecognized tax benefits in the provision for income taxes in the Company’s condensed consolidated financial statements. As of September 30, 2017, the Company had approximately $1.2 million in accrued interest and penalties related to unrecognized tax benefits. If the Company were to prevail on all uncertain tax positions, the resultant impact on the Company’s effective tax rate would not be significant. It is expected that any change in the amount of unrecognized tax benefits within the next 12 months will not be significant.</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 is subject to U.S. federal income tax as well as to income tax in multiple state and foreign jurisdictions.</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On August 7, 2015, the Internal Revenue Service (the “IRS”) began its examination of the Company’s U.S. federal income tax returns for the years ended December 31, 2012 and 2013. On October 18, 2016, the IRS began its examination of the Company’s U.S. federal income tax return for the year ended December 31, 2014. On March 27, 2017, the IRS began its examination of the Company’s U.S. federal income tax return for the year ended December 31, 2015.</w:t>
      </w:r>
    </w:p>
    <w:p>
      <w:pPr>
        <w:spacing w:after="0" w:line="2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is in various stages of examination with certain states and certain foreign jurisdictions. The Company’s 2012 through 2016 U.S. federal income tax returns are subject to examination by the IRS. The Company’s state income tax returns are subject to examination for the 2012 through 2016 tax years.</w:t>
      </w:r>
    </w:p>
    <w:p>
      <w:pPr>
        <w:spacing w:after="0" w:line="200" w:lineRule="exact"/>
        <w:rPr>
          <w:sz w:val="20"/>
          <w:szCs w:val="20"/>
          <w:color w:val="auto"/>
        </w:rPr>
      </w:pPr>
    </w:p>
    <w:p>
      <w:pPr>
        <w:ind w:left="640" w:hanging="632"/>
        <w:spacing w:after="0"/>
        <w:tabs>
          <w:tab w:leader="none" w:pos="6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EARNINGS PER SHARE</w:t>
      </w:r>
    </w:p>
    <w:p>
      <w:pPr>
        <w:sectPr>
          <w:pgSz w:w="11900" w:h="16838" w:orient="portrait"/>
          <w:cols w:equalWidth="0" w:num="1">
            <w:col w:w="11420"/>
          </w:cols>
          <w:pgMar w:left="240" w:top="352" w:right="239" w:bottom="0" w:gutter="0" w:footer="0" w:header="0"/>
        </w:sectPr>
      </w:pPr>
    </w:p>
    <w:bookmarkStart w:id="15" w:name="page16"/>
    <w:bookmarkEnd w:id="15"/>
    <w:p>
      <w:pPr>
        <w:jc w:val="both"/>
        <w:ind w:right="40" w:firstLine="648"/>
        <w:spacing w:after="0" w:line="260" w:lineRule="auto"/>
        <w:rPr>
          <w:sz w:val="20"/>
          <w:szCs w:val="20"/>
          <w:color w:val="auto"/>
        </w:rPr>
      </w:pPr>
      <w:r>
        <w:rPr>
          <w:rFonts w:ascii="Arial" w:cs="Arial" w:eastAsia="Arial" w:hAnsi="Arial"/>
          <w:sz w:val="20"/>
          <w:szCs w:val="20"/>
          <w:color w:val="auto"/>
        </w:rPr>
        <w:t>A reconciliation of the weighted-average shares used in the basic and diluted earnings per common share computations is presented below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19"/>
                <w:szCs w:val="19"/>
                <w:color w:val="auto"/>
              </w:rPr>
            </w:pPr>
          </w:p>
        </w:tc>
        <w:tc>
          <w:tcPr>
            <w:tcW w:w="3320" w:type="dxa"/>
            <w:vAlign w:val="bottom"/>
            <w:gridSpan w:val="5"/>
          </w:tcPr>
          <w:p>
            <w:pPr>
              <w:jc w:val="center"/>
              <w:ind w:right="280"/>
              <w:spacing w:after="0"/>
              <w:rPr>
                <w:sz w:val="20"/>
                <w:szCs w:val="20"/>
                <w:color w:val="auto"/>
              </w:rPr>
            </w:pPr>
            <w:r>
              <w:rPr>
                <w:rFonts w:ascii="Arial" w:cs="Arial" w:eastAsia="Arial" w:hAnsi="Arial"/>
                <w:sz w:val="20"/>
                <w:szCs w:val="20"/>
                <w:color w:val="auto"/>
                <w:w w:val="89"/>
              </w:rPr>
              <w:t>Three-Months Ended</w:t>
            </w:r>
          </w:p>
        </w:tc>
        <w:tc>
          <w:tcPr>
            <w:tcW w:w="3000" w:type="dxa"/>
            <w:vAlign w:val="bottom"/>
            <w:gridSpan w:val="4"/>
          </w:tcPr>
          <w:p>
            <w:pPr>
              <w:jc w:val="center"/>
              <w:spacing w:after="0"/>
              <w:rPr>
                <w:sz w:val="20"/>
                <w:szCs w:val="20"/>
                <w:color w:val="auto"/>
              </w:rPr>
            </w:pPr>
            <w:r>
              <w:rPr>
                <w:rFonts w:ascii="Arial" w:cs="Arial" w:eastAsia="Arial" w:hAnsi="Arial"/>
                <w:sz w:val="20"/>
                <w:szCs w:val="20"/>
                <w:color w:val="auto"/>
                <w:w w:val="90"/>
              </w:rPr>
              <w:t>Nine-Months Ended</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460" w:type="dxa"/>
            <w:vAlign w:val="bottom"/>
          </w:tcPr>
          <w:p>
            <w:pPr>
              <w:spacing w:after="0"/>
              <w:rPr>
                <w:sz w:val="21"/>
                <w:szCs w:val="21"/>
                <w:color w:val="auto"/>
              </w:rPr>
            </w:pPr>
          </w:p>
        </w:tc>
        <w:tc>
          <w:tcPr>
            <w:tcW w:w="2120" w:type="dxa"/>
            <w:vAlign w:val="bottom"/>
            <w:tcBorders>
              <w:bottom w:val="single" w:sz="8" w:color="auto"/>
            </w:tcBorders>
            <w:gridSpan w:val="3"/>
          </w:tcPr>
          <w:p>
            <w:pPr>
              <w:jc w:val="center"/>
              <w:ind w:left="802"/>
              <w:spacing w:after="0"/>
              <w:rPr>
                <w:sz w:val="20"/>
                <w:szCs w:val="20"/>
                <w:color w:val="auto"/>
              </w:rPr>
            </w:pPr>
            <w:r>
              <w:rPr>
                <w:rFonts w:ascii="Arial" w:cs="Arial" w:eastAsia="Arial" w:hAnsi="Arial"/>
                <w:sz w:val="20"/>
                <w:szCs w:val="20"/>
                <w:color w:val="auto"/>
                <w:w w:val="86"/>
              </w:rPr>
              <w:t>September 30,</w:t>
            </w:r>
          </w:p>
        </w:tc>
        <w:tc>
          <w:tcPr>
            <w:tcW w:w="90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100" w:type="dxa"/>
            <w:vAlign w:val="bottom"/>
            <w:tcBorders>
              <w:bottom w:val="single" w:sz="8" w:color="auto"/>
            </w:tcBorders>
            <w:gridSpan w:val="3"/>
          </w:tcPr>
          <w:p>
            <w:pPr>
              <w:jc w:val="center"/>
              <w:ind w:left="781"/>
              <w:spacing w:after="0"/>
              <w:rPr>
                <w:sz w:val="20"/>
                <w:szCs w:val="20"/>
                <w:color w:val="auto"/>
              </w:rPr>
            </w:pPr>
            <w:r>
              <w:rPr>
                <w:rFonts w:ascii="Arial" w:cs="Arial" w:eastAsia="Arial" w:hAnsi="Arial"/>
                <w:sz w:val="20"/>
                <w:szCs w:val="20"/>
                <w:color w:val="auto"/>
                <w:w w:val="86"/>
              </w:rPr>
              <w:t>September 30,</w:t>
            </w:r>
          </w:p>
        </w:tc>
        <w:tc>
          <w:tcPr>
            <w:tcW w:w="900" w:type="dxa"/>
            <w:vAlign w:val="bottom"/>
            <w:tcBorders>
              <w:bottom w:val="single" w:sz="8" w:color="auto"/>
            </w:tcBorders>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460" w:type="dxa"/>
            <w:vAlign w:val="bottom"/>
            <w:vMerge w:val="restart"/>
          </w:tcPr>
          <w:p>
            <w:pPr>
              <w:ind w:left="400"/>
              <w:spacing w:after="0"/>
              <w:rPr>
                <w:sz w:val="20"/>
                <w:szCs w:val="20"/>
                <w:color w:val="auto"/>
              </w:rPr>
            </w:pPr>
            <w:r>
              <w:rPr>
                <w:rFonts w:ascii="Arial" w:cs="Arial" w:eastAsia="Arial" w:hAnsi="Arial"/>
                <w:sz w:val="20"/>
                <w:szCs w:val="20"/>
                <w:color w:val="auto"/>
              </w:rPr>
              <w:t>Weighted-average shares outstanding:</w:t>
            </w:r>
          </w:p>
        </w:tc>
        <w:tc>
          <w:tcPr>
            <w:tcW w:w="1380" w:type="dxa"/>
            <w:vAlign w:val="bottom"/>
            <w:tcBorders>
              <w:bottom w:val="single" w:sz="8" w:color="auto"/>
            </w:tcBorders>
          </w:tcPr>
          <w:p>
            <w:pPr>
              <w:jc w:val="right"/>
              <w:ind w:right="402"/>
              <w:spacing w:after="0" w:line="223" w:lineRule="exact"/>
              <w:rPr>
                <w:sz w:val="20"/>
                <w:szCs w:val="20"/>
                <w:color w:val="auto"/>
              </w:rPr>
            </w:pPr>
            <w:r>
              <w:rPr>
                <w:rFonts w:ascii="Arial" w:cs="Arial" w:eastAsia="Arial" w:hAnsi="Arial"/>
                <w:sz w:val="20"/>
                <w:szCs w:val="20"/>
                <w:color w:val="auto"/>
              </w:rPr>
              <w:t>2017</w:t>
            </w:r>
          </w:p>
        </w:tc>
        <w:tc>
          <w:tcPr>
            <w:tcW w:w="2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w w:val="89"/>
              </w:rPr>
              <w:t>2016</w:t>
            </w:r>
          </w:p>
        </w:tc>
        <w:tc>
          <w:tcPr>
            <w:tcW w:w="300" w:type="dxa"/>
            <w:vAlign w:val="bottom"/>
          </w:tcPr>
          <w:p>
            <w:pPr>
              <w:spacing w:after="0"/>
              <w:rPr>
                <w:sz w:val="19"/>
                <w:szCs w:val="19"/>
                <w:color w:val="auto"/>
              </w:rPr>
            </w:pPr>
          </w:p>
        </w:tc>
        <w:tc>
          <w:tcPr>
            <w:tcW w:w="1360" w:type="dxa"/>
            <w:vAlign w:val="bottom"/>
            <w:tcBorders>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rPr>
              <w:t>2017</w:t>
            </w:r>
          </w:p>
        </w:tc>
        <w:tc>
          <w:tcPr>
            <w:tcW w:w="2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w w:val="89"/>
              </w:rPr>
              <w:t>2016</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4460" w:type="dxa"/>
            <w:vAlign w:val="bottom"/>
            <w:vMerge w:val="continue"/>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580"/>
              <w:spacing w:after="0"/>
              <w:rPr>
                <w:sz w:val="20"/>
                <w:szCs w:val="20"/>
                <w:color w:val="auto"/>
              </w:rPr>
            </w:pPr>
            <w:r>
              <w:rPr>
                <w:rFonts w:ascii="Arial" w:cs="Arial" w:eastAsia="Arial" w:hAnsi="Arial"/>
                <w:sz w:val="20"/>
                <w:szCs w:val="20"/>
                <w:color w:val="auto"/>
              </w:rPr>
              <w:t>Basic</w:t>
            </w:r>
          </w:p>
        </w:tc>
        <w:tc>
          <w:tcPr>
            <w:tcW w:w="1380" w:type="dxa"/>
            <w:vAlign w:val="bottom"/>
          </w:tcPr>
          <w:p>
            <w:pPr>
              <w:jc w:val="right"/>
              <w:spacing w:after="0"/>
              <w:rPr>
                <w:sz w:val="20"/>
                <w:szCs w:val="20"/>
                <w:color w:val="auto"/>
              </w:rPr>
            </w:pPr>
            <w:r>
              <w:rPr>
                <w:rFonts w:ascii="Arial" w:cs="Arial" w:eastAsia="Arial" w:hAnsi="Arial"/>
                <w:sz w:val="20"/>
                <w:szCs w:val="20"/>
                <w:color w:val="auto"/>
              </w:rPr>
              <w:t>567,878</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571,137</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567,550</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594,219</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460" w:type="dxa"/>
            <w:vAlign w:val="bottom"/>
          </w:tcPr>
          <w:p>
            <w:pPr>
              <w:ind w:left="580"/>
              <w:spacing w:after="0"/>
              <w:rPr>
                <w:sz w:val="20"/>
                <w:szCs w:val="20"/>
                <w:color w:val="auto"/>
              </w:rPr>
            </w:pPr>
            <w:r>
              <w:rPr>
                <w:rFonts w:ascii="Arial" w:cs="Arial" w:eastAsia="Arial" w:hAnsi="Arial"/>
                <w:sz w:val="20"/>
                <w:szCs w:val="20"/>
                <w:color w:val="auto"/>
              </w:rPr>
              <w:t>Dilutive</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10,490</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12,156</w:t>
            </w:r>
          </w:p>
        </w:tc>
        <w:tc>
          <w:tcPr>
            <w:tcW w:w="30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10,414</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12,060</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580"/>
              <w:spacing w:after="0" w:line="220" w:lineRule="exact"/>
              <w:rPr>
                <w:sz w:val="20"/>
                <w:szCs w:val="20"/>
                <w:color w:val="auto"/>
              </w:rPr>
            </w:pPr>
            <w:r>
              <w:rPr>
                <w:rFonts w:ascii="Arial" w:cs="Arial" w:eastAsia="Arial" w:hAnsi="Arial"/>
                <w:sz w:val="20"/>
                <w:szCs w:val="20"/>
                <w:color w:val="auto"/>
              </w:rPr>
              <w:t>Diluted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578,368</w:t>
            </w:r>
          </w:p>
        </w:tc>
        <w:tc>
          <w:tcPr>
            <w:tcW w:w="2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583,293</w:t>
            </w:r>
          </w:p>
        </w:tc>
        <w:tc>
          <w:tcPr>
            <w:tcW w:w="30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577,964</w:t>
            </w:r>
          </w:p>
        </w:tc>
        <w:tc>
          <w:tcPr>
            <w:tcW w:w="2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606,279</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46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8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jc w:val="both"/>
        <w:ind w:right="40" w:firstLine="648"/>
        <w:spacing w:after="0" w:line="246" w:lineRule="auto"/>
        <w:rPr>
          <w:sz w:val="20"/>
          <w:szCs w:val="20"/>
          <w:color w:val="auto"/>
        </w:rPr>
      </w:pPr>
      <w:r>
        <w:rPr>
          <w:rFonts w:ascii="Arial" w:cs="Arial" w:eastAsia="Arial" w:hAnsi="Arial"/>
          <w:sz w:val="20"/>
          <w:szCs w:val="20"/>
          <w:color w:val="auto"/>
        </w:rPr>
        <w:t>For the three-months ended September 30, 2017 and 2016, options and awards outstanding totaling 5.9 million shares and 1.9 million shares, respectively, were excluded from the calculations as their effect would have been antidilutive. For the nine-months ended September 30, 2017 and 2016, options and awards outstanding totaling 8.4 million shares and 1.7 million shares, respectively, were excluded from the calculations as their effect would have been antidilutive.</w:t>
      </w:r>
    </w:p>
    <w:p>
      <w:pPr>
        <w:spacing w:after="0" w:line="205" w:lineRule="exact"/>
        <w:rPr>
          <w:sz w:val="20"/>
          <w:szCs w:val="20"/>
          <w:color w:val="auto"/>
        </w:rPr>
      </w:pPr>
    </w:p>
    <w:p>
      <w:pPr>
        <w:ind w:left="640" w:hanging="632"/>
        <w:spacing w:after="0"/>
        <w:tabs>
          <w:tab w:leader="none" w:pos="6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SEGMENT INFORMATION</w:t>
      </w:r>
    </w:p>
    <w:p>
      <w:pPr>
        <w:spacing w:after="0" w:line="229" w:lineRule="exact"/>
        <w:rPr>
          <w:sz w:val="20"/>
          <w:szCs w:val="20"/>
          <w:color w:val="auto"/>
        </w:rPr>
      </w:pPr>
    </w:p>
    <w:p>
      <w:pPr>
        <w:jc w:val="both"/>
        <w:ind w:right="40" w:firstLine="648"/>
        <w:spacing w:after="0" w:line="244" w:lineRule="auto"/>
        <w:rPr>
          <w:sz w:val="20"/>
          <w:szCs w:val="20"/>
          <w:color w:val="auto"/>
        </w:rPr>
      </w:pPr>
      <w:r>
        <w:rPr>
          <w:rFonts w:ascii="Arial" w:cs="Arial" w:eastAsia="Arial" w:hAnsi="Arial"/>
          <w:sz w:val="20"/>
          <w:szCs w:val="20"/>
          <w:color w:val="auto"/>
        </w:rPr>
        <w:t>The Company has three operating and reportable segments, (i) Monster Energy® Drinks segment (“Monster Energy® Drinks”), which is comprised of the Company’s Monster Energy® drinks, Monster Hydro</w:t>
      </w:r>
      <w:r>
        <w:rPr>
          <w:rFonts w:ascii="Arial" w:cs="Arial" w:eastAsia="Arial" w:hAnsi="Arial"/>
          <w:sz w:val="12"/>
          <w:szCs w:val="12"/>
          <w:color w:val="auto"/>
        </w:rPr>
        <w:t>TM</w:t>
      </w:r>
      <w:r>
        <w:rPr>
          <w:rFonts w:ascii="Arial" w:cs="Arial" w:eastAsia="Arial" w:hAnsi="Arial"/>
          <w:sz w:val="20"/>
          <w:szCs w:val="20"/>
          <w:color w:val="auto"/>
        </w:rPr>
        <w:t xml:space="preserve"> energy drinks and Mutant® Super Soda drinks, (ii) Strategic Brands segment (“Strategic Brands”), which is comprised of the various energy drink brands acquired from The Coca-Cola Company (“TCCC”) in 2015 and (iii) Other segment (“Other”), which is comprised of certain products sold by American Fruits &amp; Flavors LLC, a wholly-owned subsidiary of the Company, to independent third-party customers.</w:t>
      </w:r>
    </w:p>
    <w:p>
      <w:pPr>
        <w:spacing w:after="0" w:line="208" w:lineRule="exact"/>
        <w:rPr>
          <w:sz w:val="20"/>
          <w:szCs w:val="20"/>
          <w:color w:val="auto"/>
        </w:rPr>
      </w:pPr>
    </w:p>
    <w:p>
      <w:pPr>
        <w:jc w:val="both"/>
        <w:ind w:right="40" w:firstLine="648"/>
        <w:spacing w:after="0" w:line="250" w:lineRule="auto"/>
        <w:rPr>
          <w:sz w:val="20"/>
          <w:szCs w:val="20"/>
          <w:color w:val="auto"/>
        </w:rPr>
      </w:pPr>
      <w:r>
        <w:rPr>
          <w:rFonts w:ascii="Arial" w:cs="Arial" w:eastAsia="Arial" w:hAnsi="Arial"/>
          <w:sz w:val="20"/>
          <w:szCs w:val="20"/>
          <w:color w:val="auto"/>
        </w:rPr>
        <w:t>The Company’s Monster Energy® Drinks segment generates net operating revenues by selling ready-to-drink packaged drinks primarily to bottlers and full service beverage distributors. In some cases, the Company sells directly to retail grocery and specialty chains, wholesalers, club stores, mass merchandisers, convenience chains, food service customers and the military.</w:t>
      </w:r>
    </w:p>
    <w:p>
      <w:pPr>
        <w:spacing w:after="0" w:line="200" w:lineRule="exact"/>
        <w:rPr>
          <w:sz w:val="20"/>
          <w:szCs w:val="20"/>
          <w:color w:val="auto"/>
        </w:rPr>
      </w:pPr>
    </w:p>
    <w:p>
      <w:pPr>
        <w:jc w:val="both"/>
        <w:ind w:right="40" w:firstLine="689"/>
        <w:spacing w:after="0" w:line="276" w:lineRule="auto"/>
        <w:rPr>
          <w:sz w:val="20"/>
          <w:szCs w:val="20"/>
          <w:color w:val="auto"/>
        </w:rPr>
      </w:pPr>
      <w:r>
        <w:rPr>
          <w:rFonts w:ascii="Arial" w:cs="Arial" w:eastAsia="Arial" w:hAnsi="Arial"/>
          <w:sz w:val="18"/>
          <w:szCs w:val="18"/>
          <w:color w:val="auto"/>
        </w:rPr>
        <w:t>The Company’s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 drinks are then sold to other bottlers, full service distributors or retailers, including, retail grocery and specialty chains, wholesalers, club stores, mass merchandisers, convenience chains, food service customers, drug stores and the military. To a lesser extent, the Company’s Strategic Brands segment generates net operating revenues by selling ready-to-drink packaged energy drinks to bottlers and full service beverage distributors.</w:t>
      </w:r>
    </w:p>
    <w:p>
      <w:pPr>
        <w:spacing w:after="0" w:line="179" w:lineRule="exact"/>
        <w:rPr>
          <w:sz w:val="20"/>
          <w:szCs w:val="20"/>
          <w:color w:val="auto"/>
        </w:rPr>
      </w:pPr>
    </w:p>
    <w:p>
      <w:pPr>
        <w:jc w:val="both"/>
        <w:ind w:right="40" w:firstLine="648"/>
        <w:spacing w:after="0" w:line="260" w:lineRule="auto"/>
        <w:rPr>
          <w:sz w:val="20"/>
          <w:szCs w:val="20"/>
          <w:color w:val="auto"/>
        </w:rPr>
      </w:pPr>
      <w:r>
        <w:rPr>
          <w:rFonts w:ascii="Arial" w:cs="Arial" w:eastAsia="Arial" w:hAnsi="Arial"/>
          <w:sz w:val="20"/>
          <w:szCs w:val="20"/>
          <w:color w:val="auto"/>
        </w:rPr>
        <w:t>Generally, the Monster Energy® Drinks segment generates higher per case net operating revenues, but lower per case gross profit margins than the Strategic Brands segment.</w:t>
      </w:r>
    </w:p>
    <w:p>
      <w:pPr>
        <w:spacing w:after="0" w:line="190" w:lineRule="exact"/>
        <w:rPr>
          <w:sz w:val="20"/>
          <w:szCs w:val="20"/>
          <w:color w:val="auto"/>
        </w:rPr>
      </w:pPr>
    </w:p>
    <w:p>
      <w:pPr>
        <w:jc w:val="both"/>
        <w:ind w:right="40" w:firstLine="648"/>
        <w:spacing w:after="0" w:line="250" w:lineRule="auto"/>
        <w:rPr>
          <w:sz w:val="20"/>
          <w:szCs w:val="20"/>
          <w:color w:val="auto"/>
        </w:rPr>
      </w:pPr>
      <w:r>
        <w:rPr>
          <w:rFonts w:ascii="Arial" w:cs="Arial" w:eastAsia="Arial" w:hAnsi="Arial"/>
          <w:sz w:val="20"/>
          <w:szCs w:val="20"/>
          <w:color w:val="auto"/>
        </w:rPr>
        <w:t>Corporate and unallocated amounts that do not relate to a reportable segment have been allocated to “Corporate &amp; Unallocated.” No asset information, other than goodwill and other intangible assets, has been provided for in the Company’s reportable segments as management does not measure or allocate such assets on a segment basis.</w:t>
      </w: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8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7"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The net revenues derived from the Company’s reportable segments and other financial information related thereto for the three- and nine-months ended September 30, 2017 and 2016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960" w:type="dxa"/>
            <w:vAlign w:val="bottom"/>
            <w:gridSpan w:val="5"/>
          </w:tcPr>
          <w:p>
            <w:pPr>
              <w:jc w:val="center"/>
              <w:ind w:right="640"/>
              <w:spacing w:after="0"/>
              <w:rPr>
                <w:sz w:val="20"/>
                <w:szCs w:val="20"/>
                <w:color w:val="auto"/>
              </w:rPr>
            </w:pPr>
            <w:r>
              <w:rPr>
                <w:rFonts w:ascii="Arial" w:cs="Arial" w:eastAsia="Arial" w:hAnsi="Arial"/>
                <w:sz w:val="20"/>
                <w:szCs w:val="20"/>
                <w:color w:val="auto"/>
                <w:w w:val="89"/>
              </w:rPr>
              <w:t>Three-Months Ended</w:t>
            </w:r>
          </w:p>
        </w:tc>
        <w:tc>
          <w:tcPr>
            <w:tcW w:w="2980" w:type="dxa"/>
            <w:vAlign w:val="bottom"/>
            <w:gridSpan w:val="4"/>
          </w:tcPr>
          <w:p>
            <w:pPr>
              <w:jc w:val="center"/>
              <w:spacing w:after="0"/>
              <w:rPr>
                <w:sz w:val="20"/>
                <w:szCs w:val="20"/>
                <w:color w:val="auto"/>
              </w:rPr>
            </w:pPr>
            <w:r>
              <w:rPr>
                <w:rFonts w:ascii="Arial" w:cs="Arial" w:eastAsia="Arial" w:hAnsi="Arial"/>
                <w:sz w:val="20"/>
                <w:szCs w:val="20"/>
                <w:color w:val="auto"/>
                <w:w w:val="90"/>
              </w:rPr>
              <w:t>Nine-Months Ended</w:t>
            </w:r>
          </w:p>
        </w:tc>
        <w:tc>
          <w:tcPr>
            <w:tcW w:w="0" w:type="dxa"/>
            <w:vAlign w:val="bottom"/>
          </w:tcPr>
          <w:p>
            <w:pPr>
              <w:spacing w:after="0"/>
              <w:rPr>
                <w:sz w:val="1"/>
                <w:szCs w:val="1"/>
                <w:color w:val="auto"/>
              </w:rPr>
            </w:pPr>
          </w:p>
        </w:tc>
      </w:tr>
      <w:tr>
        <w:trPr>
          <w:trHeight w:val="246"/>
        </w:trPr>
        <w:tc>
          <w:tcPr>
            <w:tcW w:w="42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jc w:val="center"/>
              <w:ind w:left="461"/>
              <w:spacing w:after="0"/>
              <w:rPr>
                <w:sz w:val="20"/>
                <w:szCs w:val="20"/>
                <w:color w:val="auto"/>
              </w:rPr>
            </w:pPr>
            <w:r>
              <w:rPr>
                <w:rFonts w:ascii="Arial" w:cs="Arial" w:eastAsia="Arial" w:hAnsi="Arial"/>
                <w:sz w:val="20"/>
                <w:szCs w:val="20"/>
                <w:color w:val="auto"/>
                <w:w w:val="88"/>
              </w:rPr>
              <w:t>September 30,</w:t>
            </w:r>
          </w:p>
        </w:tc>
        <w:tc>
          <w:tcPr>
            <w:tcW w:w="90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tcBorders>
              <w:bottom w:val="single" w:sz="8" w:color="auto"/>
            </w:tcBorders>
            <w:gridSpan w:val="3"/>
          </w:tcPr>
          <w:p>
            <w:pPr>
              <w:jc w:val="center"/>
              <w:ind w:left="801"/>
              <w:spacing w:after="0"/>
              <w:rPr>
                <w:sz w:val="20"/>
                <w:szCs w:val="20"/>
                <w:color w:val="auto"/>
              </w:rPr>
            </w:pPr>
            <w:r>
              <w:rPr>
                <w:rFonts w:ascii="Arial" w:cs="Arial" w:eastAsia="Arial" w:hAnsi="Arial"/>
                <w:sz w:val="20"/>
                <w:szCs w:val="20"/>
                <w:color w:val="auto"/>
                <w:w w:val="86"/>
              </w:rPr>
              <w:t>September 30,</w:t>
            </w:r>
          </w:p>
        </w:tc>
        <w:tc>
          <w:tcPr>
            <w:tcW w:w="9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240" w:type="dxa"/>
            <w:vAlign w:val="bottom"/>
            <w:vMerge w:val="restart"/>
          </w:tcPr>
          <w:p>
            <w:pPr>
              <w:spacing w:after="0"/>
              <w:rPr>
                <w:sz w:val="20"/>
                <w:szCs w:val="20"/>
                <w:color w:val="auto"/>
              </w:rPr>
            </w:pPr>
            <w:r>
              <w:rPr>
                <w:rFonts w:ascii="Arial" w:cs="Arial" w:eastAsia="Arial" w:hAnsi="Arial"/>
                <w:sz w:val="20"/>
                <w:szCs w:val="20"/>
                <w:color w:val="auto"/>
              </w:rPr>
              <w:t>Net sales:</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01"/>
              <w:spacing w:after="0" w:line="223" w:lineRule="exact"/>
              <w:rPr>
                <w:sz w:val="20"/>
                <w:szCs w:val="20"/>
                <w:color w:val="auto"/>
              </w:rPr>
            </w:pPr>
            <w:r>
              <w:rPr>
                <w:rFonts w:ascii="Arial" w:cs="Arial" w:eastAsia="Arial" w:hAnsi="Arial"/>
                <w:sz w:val="20"/>
                <w:szCs w:val="20"/>
                <w:color w:val="auto"/>
              </w:rPr>
              <w:t>2017</w:t>
            </w:r>
          </w:p>
        </w:tc>
        <w:tc>
          <w:tcPr>
            <w:tcW w:w="2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w w:val="89"/>
              </w:rPr>
              <w:t>2016</w:t>
            </w:r>
          </w:p>
        </w:tc>
        <w:tc>
          <w:tcPr>
            <w:tcW w:w="300" w:type="dxa"/>
            <w:vAlign w:val="bottom"/>
          </w:tcPr>
          <w:p>
            <w:pPr>
              <w:spacing w:after="0"/>
              <w:rPr>
                <w:sz w:val="19"/>
                <w:szCs w:val="19"/>
                <w:color w:val="auto"/>
              </w:rPr>
            </w:pPr>
          </w:p>
        </w:tc>
        <w:tc>
          <w:tcPr>
            <w:tcW w:w="1340" w:type="dxa"/>
            <w:vAlign w:val="bottom"/>
            <w:tcBorders>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rPr>
              <w:t>2017</w:t>
            </w:r>
          </w:p>
        </w:tc>
        <w:tc>
          <w:tcPr>
            <w:tcW w:w="2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w w:val="89"/>
              </w:rPr>
              <w:t>2016</w:t>
            </w:r>
          </w:p>
        </w:tc>
        <w:tc>
          <w:tcPr>
            <w:tcW w:w="0" w:type="dxa"/>
            <w:vAlign w:val="bottom"/>
          </w:tcPr>
          <w:p>
            <w:pPr>
              <w:spacing w:after="0"/>
              <w:rPr>
                <w:sz w:val="1"/>
                <w:szCs w:val="1"/>
                <w:color w:val="auto"/>
              </w:rPr>
            </w:pPr>
          </w:p>
        </w:tc>
      </w:tr>
      <w:tr>
        <w:trPr>
          <w:trHeight w:val="193"/>
        </w:trPr>
        <w:tc>
          <w:tcPr>
            <w:tcW w:w="42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00"/>
              <w:spacing w:after="0"/>
              <w:rPr>
                <w:sz w:val="20"/>
                <w:szCs w:val="20"/>
                <w:color w:val="auto"/>
              </w:rPr>
            </w:pPr>
            <w:r>
              <w:rPr>
                <w:rFonts w:ascii="Arial" w:cs="Arial" w:eastAsia="Arial" w:hAnsi="Arial"/>
                <w:sz w:val="20"/>
                <w:szCs w:val="20"/>
                <w:color w:val="auto"/>
              </w:rPr>
              <w:t>Monster Energy® Drinks</w:t>
            </w:r>
            <w:r>
              <w:rPr>
                <w:rFonts w:ascii="Arial" w:cs="Arial" w:eastAsia="Arial" w:hAnsi="Arial"/>
                <w:sz w:val="12"/>
                <w:szCs w:val="12"/>
                <w:color w:val="auto"/>
              </w:rPr>
              <w:t>(1)</w:t>
            </w:r>
          </w:p>
        </w:tc>
        <w:tc>
          <w:tcPr>
            <w:tcW w:w="34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827,690</w:t>
            </w:r>
          </w:p>
        </w:tc>
        <w:tc>
          <w:tcPr>
            <w:tcW w:w="280" w:type="dxa"/>
            <w:vAlign w:val="bottom"/>
          </w:tcPr>
          <w:p>
            <w:pPr>
              <w:spacing w:after="0"/>
              <w:rPr>
                <w:sz w:val="19"/>
                <w:szCs w:val="19"/>
                <w:color w:val="auto"/>
              </w:rPr>
            </w:pPr>
          </w:p>
        </w:tc>
        <w:tc>
          <w:tcPr>
            <w:tcW w:w="44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710,130</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   2,311,521</w:t>
            </w:r>
          </w:p>
        </w:tc>
        <w:tc>
          <w:tcPr>
            <w:tcW w:w="280" w:type="dxa"/>
            <w:vAlign w:val="bottom"/>
          </w:tcPr>
          <w:p>
            <w:pPr>
              <w:spacing w:after="0"/>
              <w:rPr>
                <w:sz w:val="19"/>
                <w:szCs w:val="19"/>
                <w:color w:val="auto"/>
              </w:rPr>
            </w:pPr>
          </w:p>
        </w:tc>
        <w:tc>
          <w:tcPr>
            <w:tcW w:w="46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w w:val="89"/>
              </w:rPr>
              <w:t>2,075,511</w:t>
            </w:r>
          </w:p>
        </w:tc>
        <w:tc>
          <w:tcPr>
            <w:tcW w:w="0" w:type="dxa"/>
            <w:vAlign w:val="bottom"/>
          </w:tcPr>
          <w:p>
            <w:pPr>
              <w:spacing w:after="0"/>
              <w:rPr>
                <w:sz w:val="1"/>
                <w:szCs w:val="1"/>
                <w:color w:val="auto"/>
              </w:rPr>
            </w:pPr>
          </w:p>
        </w:tc>
      </w:tr>
      <w:tr>
        <w:trPr>
          <w:trHeight w:val="230"/>
        </w:trPr>
        <w:tc>
          <w:tcPr>
            <w:tcW w:w="4240" w:type="dxa"/>
            <w:vAlign w:val="bottom"/>
          </w:tcPr>
          <w:p>
            <w:pPr>
              <w:ind w:left="200"/>
              <w:spacing w:after="0"/>
              <w:rPr>
                <w:sz w:val="20"/>
                <w:szCs w:val="20"/>
                <w:color w:val="auto"/>
              </w:rPr>
            </w:pPr>
            <w:r>
              <w:rPr>
                <w:rFonts w:ascii="Arial" w:cs="Arial" w:eastAsia="Arial" w:hAnsi="Arial"/>
                <w:sz w:val="20"/>
                <w:szCs w:val="20"/>
                <w:color w:val="auto"/>
              </w:rPr>
              <w:t>Strategic Brands</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76,586</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72,138</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230,255</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207,990</w:t>
            </w:r>
          </w:p>
        </w:tc>
        <w:tc>
          <w:tcPr>
            <w:tcW w:w="0" w:type="dxa"/>
            <w:vAlign w:val="bottom"/>
          </w:tcPr>
          <w:p>
            <w:pPr>
              <w:spacing w:after="0"/>
              <w:rPr>
                <w:sz w:val="1"/>
                <w:szCs w:val="1"/>
                <w:color w:val="auto"/>
              </w:rPr>
            </w:pPr>
          </w:p>
        </w:tc>
      </w:tr>
      <w:tr>
        <w:trPr>
          <w:trHeight w:val="250"/>
        </w:trPr>
        <w:tc>
          <w:tcPr>
            <w:tcW w:w="4240" w:type="dxa"/>
            <w:vAlign w:val="bottom"/>
          </w:tcPr>
          <w:p>
            <w:pPr>
              <w:ind w:left="200"/>
              <w:spacing w:after="0"/>
              <w:rPr>
                <w:sz w:val="20"/>
                <w:szCs w:val="20"/>
                <w:color w:val="auto"/>
              </w:rPr>
            </w:pPr>
            <w:r>
              <w:rPr>
                <w:rFonts w:ascii="Arial" w:cs="Arial" w:eastAsia="Arial" w:hAnsi="Arial"/>
                <w:sz w:val="20"/>
                <w:szCs w:val="20"/>
                <w:color w:val="auto"/>
              </w:rPr>
              <w:t>Other</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5,200</w:t>
            </w: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5,686</w:t>
            </w:r>
          </w:p>
        </w:tc>
        <w:tc>
          <w:tcPr>
            <w:tcW w:w="3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16,914</w:t>
            </w: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12,127</w:t>
            </w:r>
          </w:p>
        </w:tc>
        <w:tc>
          <w:tcPr>
            <w:tcW w:w="0" w:type="dxa"/>
            <w:vAlign w:val="bottom"/>
          </w:tcPr>
          <w:p>
            <w:pPr>
              <w:spacing w:after="0"/>
              <w:rPr>
                <w:sz w:val="1"/>
                <w:szCs w:val="1"/>
                <w:color w:val="auto"/>
              </w:rPr>
            </w:pPr>
          </w:p>
        </w:tc>
      </w:tr>
    </w:tbl>
    <w:p>
      <w:pPr>
        <w:sectPr>
          <w:pgSz w:w="11900" w:h="16838" w:orient="portrait"/>
          <w:cols w:equalWidth="0" w:num="1">
            <w:col w:w="11460"/>
          </w:cols>
          <w:pgMar w:left="240" w:top="352" w:right="199" w:bottom="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240" w:type="dxa"/>
            <w:vAlign w:val="bottom"/>
          </w:tcPr>
          <w:p>
            <w:pPr>
              <w:ind w:left="200"/>
              <w:spacing w:after="0"/>
              <w:rPr>
                <w:sz w:val="20"/>
                <w:szCs w:val="20"/>
                <w:color w:val="auto"/>
              </w:rPr>
            </w:pPr>
            <w:r>
              <w:rPr>
                <w:rFonts w:ascii="Arial" w:cs="Arial" w:eastAsia="Arial" w:hAnsi="Arial"/>
                <w:sz w:val="20"/>
                <w:szCs w:val="20"/>
                <w:color w:val="auto"/>
              </w:rPr>
              <w:t>Corporate and unallocated</w:t>
            </w: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19"/>
                <w:szCs w:val="19"/>
                <w:color w:val="auto"/>
              </w:rPr>
            </w:pPr>
          </w:p>
        </w:tc>
        <w:tc>
          <w:tcPr>
            <w:tcW w:w="34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909,476</w:t>
            </w:r>
          </w:p>
        </w:tc>
        <w:tc>
          <w:tcPr>
            <w:tcW w:w="280" w:type="dxa"/>
            <w:vAlign w:val="bottom"/>
          </w:tcPr>
          <w:p>
            <w:pPr>
              <w:spacing w:after="0"/>
              <w:rPr>
                <w:sz w:val="19"/>
                <w:szCs w:val="19"/>
                <w:color w:val="auto"/>
              </w:rPr>
            </w:pPr>
          </w:p>
        </w:tc>
        <w:tc>
          <w:tcPr>
            <w:tcW w:w="440" w:type="dxa"/>
            <w:vAlign w:val="bottom"/>
            <w:tcBorders>
              <w:bottom w:val="single" w:sz="8" w:color="auto"/>
            </w:tcBorders>
            <w:gridSpan w:val="2"/>
          </w:tcPr>
          <w:p>
            <w:pPr>
              <w:jc w:val="right"/>
              <w:ind w:right="141"/>
              <w:spacing w:after="0" w:line="223" w:lineRule="exact"/>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787,954</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Borders>
              <w:bottom w:val="single" w:sz="8" w:color="auto"/>
            </w:tcBorders>
            <w:gridSpan w:val="2"/>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2,558,690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Borders>
              <w:bottom w:val="single" w:sz="8" w:color="auto"/>
            </w:tcBorders>
            <w:gridSpan w:val="2"/>
          </w:tcPr>
          <w:p>
            <w:pPr>
              <w:jc w:val="right"/>
              <w:ind w:right="161"/>
              <w:spacing w:after="0" w:line="223" w:lineRule="exact"/>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89"/>
              </w:rPr>
              <w:t>2,295,628</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4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60" w:type="dxa"/>
            <w:vAlign w:val="bottom"/>
            <w:gridSpan w:val="7"/>
          </w:tcPr>
          <w:p>
            <w:pPr>
              <w:jc w:val="center"/>
              <w:ind w:right="640"/>
              <w:spacing w:after="0"/>
              <w:rPr>
                <w:sz w:val="20"/>
                <w:szCs w:val="20"/>
                <w:color w:val="auto"/>
              </w:rPr>
            </w:pPr>
            <w:r>
              <w:rPr>
                <w:rFonts w:ascii="Arial" w:cs="Arial" w:eastAsia="Arial" w:hAnsi="Arial"/>
                <w:sz w:val="20"/>
                <w:szCs w:val="20"/>
                <w:color w:val="auto"/>
                <w:w w:val="89"/>
              </w:rPr>
              <w:t>Three-Months Ended</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40" w:type="dxa"/>
            <w:vAlign w:val="bottom"/>
            <w:gridSpan w:val="6"/>
          </w:tcPr>
          <w:p>
            <w:pPr>
              <w:jc w:val="center"/>
              <w:ind w:right="261"/>
              <w:spacing w:after="0"/>
              <w:rPr>
                <w:sz w:val="20"/>
                <w:szCs w:val="20"/>
                <w:color w:val="auto"/>
              </w:rPr>
            </w:pPr>
            <w:r>
              <w:rPr>
                <w:rFonts w:ascii="Arial" w:cs="Arial" w:eastAsia="Arial" w:hAnsi="Arial"/>
                <w:sz w:val="20"/>
                <w:szCs w:val="20"/>
                <w:color w:val="auto"/>
                <w:w w:val="90"/>
              </w:rPr>
              <w:t>Nine-Months Ended</w:t>
            </w:r>
          </w:p>
        </w:tc>
        <w:tc>
          <w:tcPr>
            <w:tcW w:w="0" w:type="dxa"/>
            <w:vAlign w:val="bottom"/>
          </w:tcPr>
          <w:p>
            <w:pPr>
              <w:spacing w:after="0"/>
              <w:rPr>
                <w:sz w:val="1"/>
                <w:szCs w:val="1"/>
                <w:color w:val="auto"/>
              </w:rPr>
            </w:pPr>
          </w:p>
        </w:tc>
      </w:tr>
      <w:tr>
        <w:trPr>
          <w:trHeight w:val="246"/>
        </w:trPr>
        <w:tc>
          <w:tcPr>
            <w:tcW w:w="42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4"/>
          </w:tcPr>
          <w:p>
            <w:pPr>
              <w:jc w:val="center"/>
              <w:ind w:left="461"/>
              <w:spacing w:after="0"/>
              <w:rPr>
                <w:sz w:val="20"/>
                <w:szCs w:val="20"/>
                <w:color w:val="auto"/>
              </w:rPr>
            </w:pPr>
            <w:r>
              <w:rPr>
                <w:rFonts w:ascii="Arial" w:cs="Arial" w:eastAsia="Arial" w:hAnsi="Arial"/>
                <w:sz w:val="20"/>
                <w:szCs w:val="20"/>
                <w:color w:val="auto"/>
                <w:w w:val="88"/>
              </w:rPr>
              <w:t>September 30,</w:t>
            </w:r>
          </w:p>
        </w:tc>
        <w:tc>
          <w:tcPr>
            <w:tcW w:w="9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5"/>
          </w:tcPr>
          <w:p>
            <w:pPr>
              <w:jc w:val="center"/>
              <w:ind w:left="461"/>
              <w:spacing w:after="0"/>
              <w:rPr>
                <w:sz w:val="20"/>
                <w:szCs w:val="20"/>
                <w:color w:val="auto"/>
              </w:rPr>
            </w:pPr>
            <w:r>
              <w:rPr>
                <w:rFonts w:ascii="Arial" w:cs="Arial" w:eastAsia="Arial" w:hAnsi="Arial"/>
                <w:sz w:val="20"/>
                <w:szCs w:val="20"/>
                <w:color w:val="auto"/>
                <w:w w:val="86"/>
              </w:rPr>
              <w:t>September 30,</w:t>
            </w:r>
          </w:p>
        </w:tc>
        <w:tc>
          <w:tcPr>
            <w:tcW w:w="9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240" w:type="dxa"/>
            <w:vAlign w:val="bottom"/>
            <w:vMerge w:val="restart"/>
          </w:tcPr>
          <w:p>
            <w:pPr>
              <w:spacing w:after="0"/>
              <w:rPr>
                <w:sz w:val="20"/>
                <w:szCs w:val="20"/>
                <w:color w:val="auto"/>
              </w:rPr>
            </w:pPr>
            <w:r>
              <w:rPr>
                <w:rFonts w:ascii="Arial" w:cs="Arial" w:eastAsia="Arial" w:hAnsi="Arial"/>
                <w:sz w:val="20"/>
                <w:szCs w:val="20"/>
                <w:color w:val="auto"/>
              </w:rPr>
              <w:t>Operating Income:</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01"/>
              <w:spacing w:after="0" w:line="223" w:lineRule="exact"/>
              <w:rPr>
                <w:sz w:val="20"/>
                <w:szCs w:val="20"/>
                <w:color w:val="auto"/>
              </w:rPr>
            </w:pPr>
            <w:r>
              <w:rPr>
                <w:rFonts w:ascii="Arial" w:cs="Arial" w:eastAsia="Arial" w:hAnsi="Arial"/>
                <w:sz w:val="20"/>
                <w:szCs w:val="20"/>
                <w:color w:val="auto"/>
              </w:rPr>
              <w:t>2017</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w w:val="89"/>
              </w:rPr>
              <w:t>2016</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rPr>
              <w:t>2017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w w:val="89"/>
              </w:rPr>
              <w:t>2016</w:t>
            </w:r>
          </w:p>
        </w:tc>
        <w:tc>
          <w:tcPr>
            <w:tcW w:w="0" w:type="dxa"/>
            <w:vAlign w:val="bottom"/>
          </w:tcPr>
          <w:p>
            <w:pPr>
              <w:spacing w:after="0"/>
              <w:rPr>
                <w:sz w:val="1"/>
                <w:szCs w:val="1"/>
                <w:color w:val="auto"/>
              </w:rPr>
            </w:pPr>
          </w:p>
        </w:tc>
      </w:tr>
      <w:tr>
        <w:trPr>
          <w:trHeight w:val="193"/>
        </w:trPr>
        <w:tc>
          <w:tcPr>
            <w:tcW w:w="42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00"/>
              <w:spacing w:after="0"/>
              <w:rPr>
                <w:sz w:val="20"/>
                <w:szCs w:val="20"/>
                <w:color w:val="auto"/>
              </w:rPr>
            </w:pPr>
            <w:r>
              <w:rPr>
                <w:rFonts w:ascii="Arial" w:cs="Arial" w:eastAsia="Arial" w:hAnsi="Arial"/>
                <w:sz w:val="20"/>
                <w:szCs w:val="20"/>
                <w:color w:val="auto"/>
              </w:rPr>
              <w:t>Monster Energy® Drinks</w:t>
            </w:r>
            <w:r>
              <w:rPr>
                <w:rFonts w:ascii="Arial" w:cs="Arial" w:eastAsia="Arial" w:hAnsi="Arial"/>
                <w:sz w:val="12"/>
                <w:szCs w:val="12"/>
                <w:color w:val="auto"/>
              </w:rPr>
              <w:t>(1) (2)</w:t>
            </w:r>
          </w:p>
        </w:tc>
        <w:tc>
          <w:tcPr>
            <w:tcW w:w="34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333,210</w:t>
            </w:r>
          </w:p>
        </w:tc>
        <w:tc>
          <w:tcPr>
            <w:tcW w:w="280" w:type="dxa"/>
            <w:vAlign w:val="bottom"/>
          </w:tcPr>
          <w:p>
            <w:pPr>
              <w:spacing w:after="0"/>
              <w:rPr>
                <w:sz w:val="19"/>
                <w:szCs w:val="19"/>
                <w:color w:val="auto"/>
              </w:rPr>
            </w:pPr>
          </w:p>
        </w:tc>
        <w:tc>
          <w:tcPr>
            <w:tcW w:w="440" w:type="dxa"/>
            <w:vAlign w:val="bottom"/>
            <w:gridSpan w:val="2"/>
          </w:tcPr>
          <w:p>
            <w:pPr>
              <w:jc w:val="right"/>
              <w:ind w:right="141"/>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308,493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gridSpan w:val="2"/>
          </w:tcPr>
          <w:p>
            <w:pPr>
              <w:jc w:val="right"/>
              <w:ind w:right="61"/>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968,864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gridSpan w:val="2"/>
          </w:tcPr>
          <w:p>
            <w:pPr>
              <w:jc w:val="right"/>
              <w:ind w:right="161"/>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874,822</w:t>
            </w:r>
          </w:p>
        </w:tc>
        <w:tc>
          <w:tcPr>
            <w:tcW w:w="0" w:type="dxa"/>
            <w:vAlign w:val="bottom"/>
          </w:tcPr>
          <w:p>
            <w:pPr>
              <w:spacing w:after="0"/>
              <w:rPr>
                <w:sz w:val="1"/>
                <w:szCs w:val="1"/>
                <w:color w:val="auto"/>
              </w:rPr>
            </w:pPr>
          </w:p>
        </w:tc>
      </w:tr>
      <w:tr>
        <w:trPr>
          <w:trHeight w:val="230"/>
        </w:trPr>
        <w:tc>
          <w:tcPr>
            <w:tcW w:w="4240" w:type="dxa"/>
            <w:vAlign w:val="bottom"/>
          </w:tcPr>
          <w:p>
            <w:pPr>
              <w:ind w:left="200"/>
              <w:spacing w:after="0"/>
              <w:rPr>
                <w:sz w:val="20"/>
                <w:szCs w:val="20"/>
                <w:color w:val="auto"/>
              </w:rPr>
            </w:pPr>
            <w:r>
              <w:rPr>
                <w:rFonts w:ascii="Arial" w:cs="Arial" w:eastAsia="Arial" w:hAnsi="Arial"/>
                <w:sz w:val="20"/>
                <w:szCs w:val="20"/>
                <w:color w:val="auto"/>
              </w:rPr>
              <w:t>Strategic Brands</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42,663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40,075</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137,945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127,169</w:t>
            </w:r>
          </w:p>
        </w:tc>
        <w:tc>
          <w:tcPr>
            <w:tcW w:w="0" w:type="dxa"/>
            <w:vAlign w:val="bottom"/>
          </w:tcPr>
          <w:p>
            <w:pPr>
              <w:spacing w:after="0"/>
              <w:rPr>
                <w:sz w:val="1"/>
                <w:szCs w:val="1"/>
                <w:color w:val="auto"/>
              </w:rPr>
            </w:pPr>
          </w:p>
        </w:tc>
      </w:tr>
      <w:tr>
        <w:trPr>
          <w:trHeight w:val="230"/>
        </w:trPr>
        <w:tc>
          <w:tcPr>
            <w:tcW w:w="4240" w:type="dxa"/>
            <w:vAlign w:val="bottom"/>
          </w:tcPr>
          <w:p>
            <w:pPr>
              <w:ind w:left="200"/>
              <w:spacing w:after="0"/>
              <w:rPr>
                <w:sz w:val="20"/>
                <w:szCs w:val="20"/>
                <w:color w:val="auto"/>
              </w:rPr>
            </w:pPr>
            <w:r>
              <w:rPr>
                <w:rFonts w:ascii="Arial" w:cs="Arial" w:eastAsia="Arial" w:hAnsi="Arial"/>
                <w:sz w:val="20"/>
                <w:szCs w:val="20"/>
                <w:color w:val="auto"/>
              </w:rPr>
              <w:t>Other</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1,451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1,186</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4,585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1,528</w:t>
            </w:r>
          </w:p>
        </w:tc>
        <w:tc>
          <w:tcPr>
            <w:tcW w:w="0" w:type="dxa"/>
            <w:vAlign w:val="bottom"/>
          </w:tcPr>
          <w:p>
            <w:pPr>
              <w:spacing w:after="0"/>
              <w:rPr>
                <w:sz w:val="1"/>
                <w:szCs w:val="1"/>
                <w:color w:val="auto"/>
              </w:rPr>
            </w:pPr>
          </w:p>
        </w:tc>
      </w:tr>
      <w:tr>
        <w:trPr>
          <w:trHeight w:val="246"/>
        </w:trPr>
        <w:tc>
          <w:tcPr>
            <w:tcW w:w="4240" w:type="dxa"/>
            <w:vAlign w:val="bottom"/>
          </w:tcPr>
          <w:p>
            <w:pPr>
              <w:ind w:left="200"/>
              <w:spacing w:after="0"/>
              <w:rPr>
                <w:sz w:val="20"/>
                <w:szCs w:val="20"/>
                <w:color w:val="auto"/>
              </w:rPr>
            </w:pPr>
            <w:r>
              <w:rPr>
                <w:rFonts w:ascii="Arial" w:cs="Arial" w:eastAsia="Arial" w:hAnsi="Arial"/>
                <w:sz w:val="20"/>
                <w:szCs w:val="20"/>
                <w:color w:val="auto"/>
              </w:rPr>
              <w:t>Corporate and unallocated</w:t>
            </w: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(59,952)</w:t>
            </w:r>
          </w:p>
        </w:tc>
        <w:tc>
          <w:tcPr>
            <w:tcW w:w="2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(59,379)</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(179,719)</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(169,909)</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19"/>
                <w:szCs w:val="19"/>
                <w:color w:val="auto"/>
              </w:rPr>
            </w:pPr>
          </w:p>
        </w:tc>
        <w:tc>
          <w:tcPr>
            <w:tcW w:w="34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317,372</w:t>
            </w:r>
          </w:p>
        </w:tc>
        <w:tc>
          <w:tcPr>
            <w:tcW w:w="280" w:type="dxa"/>
            <w:vAlign w:val="bottom"/>
          </w:tcPr>
          <w:p>
            <w:pPr>
              <w:spacing w:after="0"/>
              <w:rPr>
                <w:sz w:val="19"/>
                <w:szCs w:val="19"/>
                <w:color w:val="auto"/>
              </w:rPr>
            </w:pPr>
          </w:p>
        </w:tc>
        <w:tc>
          <w:tcPr>
            <w:tcW w:w="440" w:type="dxa"/>
            <w:vAlign w:val="bottom"/>
            <w:tcBorders>
              <w:bottom w:val="single" w:sz="8" w:color="auto"/>
            </w:tcBorders>
            <w:gridSpan w:val="2"/>
          </w:tcPr>
          <w:p>
            <w:pPr>
              <w:jc w:val="right"/>
              <w:ind w:right="141"/>
              <w:spacing w:after="0" w:line="223" w:lineRule="exact"/>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290,375</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Borders>
              <w:bottom w:val="single" w:sz="8" w:color="auto"/>
            </w:tcBorders>
            <w:gridSpan w:val="2"/>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931,675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Borders>
              <w:bottom w:val="single" w:sz="8" w:color="auto"/>
            </w:tcBorders>
            <w:gridSpan w:val="2"/>
          </w:tcPr>
          <w:p>
            <w:pPr>
              <w:jc w:val="right"/>
              <w:ind w:right="161"/>
              <w:spacing w:after="0" w:line="223" w:lineRule="exact"/>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833,610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4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60" w:type="dxa"/>
            <w:vAlign w:val="bottom"/>
            <w:gridSpan w:val="7"/>
          </w:tcPr>
          <w:p>
            <w:pPr>
              <w:jc w:val="center"/>
              <w:ind w:right="620"/>
              <w:spacing w:after="0"/>
              <w:rPr>
                <w:sz w:val="20"/>
                <w:szCs w:val="20"/>
                <w:color w:val="auto"/>
              </w:rPr>
            </w:pPr>
            <w:r>
              <w:rPr>
                <w:rFonts w:ascii="Arial" w:cs="Arial" w:eastAsia="Arial" w:hAnsi="Arial"/>
                <w:sz w:val="20"/>
                <w:szCs w:val="20"/>
                <w:color w:val="auto"/>
                <w:w w:val="90"/>
              </w:rPr>
              <w:t>Three-Months Ended</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40" w:type="dxa"/>
            <w:vAlign w:val="bottom"/>
            <w:gridSpan w:val="6"/>
          </w:tcPr>
          <w:p>
            <w:pPr>
              <w:jc w:val="center"/>
              <w:ind w:right="221"/>
              <w:spacing w:after="0"/>
              <w:rPr>
                <w:sz w:val="20"/>
                <w:szCs w:val="20"/>
                <w:color w:val="auto"/>
              </w:rPr>
            </w:pPr>
            <w:r>
              <w:rPr>
                <w:rFonts w:ascii="Arial" w:cs="Arial" w:eastAsia="Arial" w:hAnsi="Arial"/>
                <w:sz w:val="20"/>
                <w:szCs w:val="20"/>
                <w:color w:val="auto"/>
                <w:w w:val="90"/>
              </w:rPr>
              <w:t>Nine-Months Ended</w:t>
            </w:r>
          </w:p>
        </w:tc>
        <w:tc>
          <w:tcPr>
            <w:tcW w:w="0" w:type="dxa"/>
            <w:vAlign w:val="bottom"/>
          </w:tcPr>
          <w:p>
            <w:pPr>
              <w:spacing w:after="0"/>
              <w:rPr>
                <w:sz w:val="1"/>
                <w:szCs w:val="1"/>
                <w:color w:val="auto"/>
              </w:rPr>
            </w:pPr>
          </w:p>
        </w:tc>
      </w:tr>
      <w:tr>
        <w:trPr>
          <w:trHeight w:val="246"/>
        </w:trPr>
        <w:tc>
          <w:tcPr>
            <w:tcW w:w="42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4"/>
          </w:tcPr>
          <w:p>
            <w:pPr>
              <w:jc w:val="center"/>
              <w:ind w:left="481"/>
              <w:spacing w:after="0"/>
              <w:rPr>
                <w:sz w:val="20"/>
                <w:szCs w:val="20"/>
                <w:color w:val="auto"/>
              </w:rPr>
            </w:pPr>
            <w:r>
              <w:rPr>
                <w:rFonts w:ascii="Arial" w:cs="Arial" w:eastAsia="Arial" w:hAnsi="Arial"/>
                <w:sz w:val="20"/>
                <w:szCs w:val="20"/>
                <w:color w:val="auto"/>
                <w:w w:val="86"/>
              </w:rPr>
              <w:t>September 30,</w:t>
            </w:r>
          </w:p>
        </w:tc>
        <w:tc>
          <w:tcPr>
            <w:tcW w:w="9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5"/>
          </w:tcPr>
          <w:p>
            <w:pPr>
              <w:jc w:val="center"/>
              <w:ind w:left="461"/>
              <w:spacing w:after="0"/>
              <w:rPr>
                <w:sz w:val="20"/>
                <w:szCs w:val="20"/>
                <w:color w:val="auto"/>
              </w:rPr>
            </w:pPr>
            <w:r>
              <w:rPr>
                <w:rFonts w:ascii="Arial" w:cs="Arial" w:eastAsia="Arial" w:hAnsi="Arial"/>
                <w:sz w:val="20"/>
                <w:szCs w:val="20"/>
                <w:color w:val="auto"/>
                <w:w w:val="86"/>
              </w:rPr>
              <w:t>September 30,</w:t>
            </w:r>
          </w:p>
        </w:tc>
        <w:tc>
          <w:tcPr>
            <w:tcW w:w="9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240" w:type="dxa"/>
            <w:vAlign w:val="bottom"/>
            <w:vMerge w:val="restart"/>
          </w:tcPr>
          <w:p>
            <w:pPr>
              <w:spacing w:after="0"/>
              <w:rPr>
                <w:sz w:val="20"/>
                <w:szCs w:val="20"/>
                <w:color w:val="auto"/>
              </w:rPr>
            </w:pPr>
            <w:r>
              <w:rPr>
                <w:rFonts w:ascii="Arial" w:cs="Arial" w:eastAsia="Arial" w:hAnsi="Arial"/>
                <w:sz w:val="20"/>
                <w:szCs w:val="20"/>
                <w:color w:val="auto"/>
              </w:rPr>
              <w:t>Income before tax:</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01"/>
              <w:spacing w:after="0" w:line="223" w:lineRule="exact"/>
              <w:rPr>
                <w:sz w:val="20"/>
                <w:szCs w:val="20"/>
                <w:color w:val="auto"/>
              </w:rPr>
            </w:pPr>
            <w:r>
              <w:rPr>
                <w:rFonts w:ascii="Arial" w:cs="Arial" w:eastAsia="Arial" w:hAnsi="Arial"/>
                <w:sz w:val="20"/>
                <w:szCs w:val="20"/>
                <w:color w:val="auto"/>
              </w:rPr>
              <w:t>2017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61"/>
              <w:spacing w:after="0" w:line="223" w:lineRule="exact"/>
              <w:rPr>
                <w:sz w:val="20"/>
                <w:szCs w:val="20"/>
                <w:color w:val="auto"/>
              </w:rPr>
            </w:pPr>
            <w:r>
              <w:rPr>
                <w:rFonts w:ascii="Arial" w:cs="Arial" w:eastAsia="Arial" w:hAnsi="Arial"/>
                <w:sz w:val="20"/>
                <w:szCs w:val="20"/>
                <w:color w:val="auto"/>
                <w:w w:val="94"/>
              </w:rPr>
              <w:t>2016</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61"/>
              <w:spacing w:after="0" w:line="223" w:lineRule="exact"/>
              <w:rPr>
                <w:sz w:val="20"/>
                <w:szCs w:val="20"/>
                <w:color w:val="auto"/>
              </w:rPr>
            </w:pPr>
            <w:r>
              <w:rPr>
                <w:rFonts w:ascii="Arial" w:cs="Arial" w:eastAsia="Arial" w:hAnsi="Arial"/>
                <w:sz w:val="20"/>
                <w:szCs w:val="20"/>
                <w:color w:val="auto"/>
              </w:rPr>
              <w:t>2017</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61"/>
              <w:spacing w:after="0" w:line="223" w:lineRule="exact"/>
              <w:rPr>
                <w:sz w:val="20"/>
                <w:szCs w:val="20"/>
                <w:color w:val="auto"/>
              </w:rPr>
            </w:pPr>
            <w:r>
              <w:rPr>
                <w:rFonts w:ascii="Arial" w:cs="Arial" w:eastAsia="Arial" w:hAnsi="Arial"/>
                <w:sz w:val="20"/>
                <w:szCs w:val="20"/>
                <w:color w:val="auto"/>
                <w:w w:val="94"/>
              </w:rPr>
              <w:t>2016</w:t>
            </w:r>
          </w:p>
        </w:tc>
        <w:tc>
          <w:tcPr>
            <w:tcW w:w="0" w:type="dxa"/>
            <w:vAlign w:val="bottom"/>
          </w:tcPr>
          <w:p>
            <w:pPr>
              <w:spacing w:after="0"/>
              <w:rPr>
                <w:sz w:val="1"/>
                <w:szCs w:val="1"/>
                <w:color w:val="auto"/>
              </w:rPr>
            </w:pPr>
          </w:p>
        </w:tc>
      </w:tr>
      <w:tr>
        <w:trPr>
          <w:trHeight w:val="193"/>
        </w:trPr>
        <w:tc>
          <w:tcPr>
            <w:tcW w:w="42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00"/>
              <w:spacing w:after="0"/>
              <w:rPr>
                <w:sz w:val="20"/>
                <w:szCs w:val="20"/>
                <w:color w:val="auto"/>
              </w:rPr>
            </w:pPr>
            <w:r>
              <w:rPr>
                <w:rFonts w:ascii="Arial" w:cs="Arial" w:eastAsia="Arial" w:hAnsi="Arial"/>
                <w:sz w:val="20"/>
                <w:szCs w:val="20"/>
                <w:color w:val="auto"/>
              </w:rPr>
              <w:t>Monster Energy® Drinks</w:t>
            </w:r>
            <w:r>
              <w:rPr>
                <w:rFonts w:ascii="Arial" w:cs="Arial" w:eastAsia="Arial" w:hAnsi="Arial"/>
                <w:sz w:val="12"/>
                <w:szCs w:val="12"/>
                <w:color w:val="auto"/>
              </w:rPr>
              <w:t>(1) (2)</w:t>
            </w:r>
          </w:p>
        </w:tc>
        <w:tc>
          <w:tcPr>
            <w:tcW w:w="34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333,065</w:t>
            </w:r>
          </w:p>
        </w:tc>
        <w:tc>
          <w:tcPr>
            <w:tcW w:w="280" w:type="dxa"/>
            <w:vAlign w:val="bottom"/>
          </w:tcPr>
          <w:p>
            <w:pPr>
              <w:spacing w:after="0"/>
              <w:rPr>
                <w:sz w:val="19"/>
                <w:szCs w:val="19"/>
                <w:color w:val="auto"/>
              </w:rPr>
            </w:pPr>
          </w:p>
        </w:tc>
        <w:tc>
          <w:tcPr>
            <w:tcW w:w="440" w:type="dxa"/>
            <w:vAlign w:val="bottom"/>
            <w:gridSpan w:val="2"/>
          </w:tcPr>
          <w:p>
            <w:pPr>
              <w:jc w:val="right"/>
              <w:ind w:right="141"/>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308,612</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gridSpan w:val="2"/>
          </w:tcPr>
          <w:p>
            <w:pPr>
              <w:jc w:val="right"/>
              <w:ind w:right="41"/>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968,716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gridSpan w:val="2"/>
          </w:tcPr>
          <w:p>
            <w:pPr>
              <w:jc w:val="right"/>
              <w:ind w:right="141"/>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875,024</w:t>
            </w:r>
          </w:p>
        </w:tc>
        <w:tc>
          <w:tcPr>
            <w:tcW w:w="0" w:type="dxa"/>
            <w:vAlign w:val="bottom"/>
          </w:tcPr>
          <w:p>
            <w:pPr>
              <w:spacing w:after="0"/>
              <w:rPr>
                <w:sz w:val="1"/>
                <w:szCs w:val="1"/>
                <w:color w:val="auto"/>
              </w:rPr>
            </w:pPr>
          </w:p>
        </w:tc>
      </w:tr>
      <w:tr>
        <w:trPr>
          <w:trHeight w:val="230"/>
        </w:trPr>
        <w:tc>
          <w:tcPr>
            <w:tcW w:w="4240" w:type="dxa"/>
            <w:vAlign w:val="bottom"/>
          </w:tcPr>
          <w:p>
            <w:pPr>
              <w:ind w:left="200"/>
              <w:spacing w:after="0"/>
              <w:rPr>
                <w:sz w:val="20"/>
                <w:szCs w:val="20"/>
                <w:color w:val="auto"/>
              </w:rPr>
            </w:pPr>
            <w:r>
              <w:rPr>
                <w:rFonts w:ascii="Arial" w:cs="Arial" w:eastAsia="Arial" w:hAnsi="Arial"/>
                <w:sz w:val="20"/>
                <w:szCs w:val="20"/>
                <w:color w:val="auto"/>
              </w:rPr>
              <w:t>Strategic Brands</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42,663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40,073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137,931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127,141</w:t>
            </w:r>
          </w:p>
        </w:tc>
        <w:tc>
          <w:tcPr>
            <w:tcW w:w="0" w:type="dxa"/>
            <w:vAlign w:val="bottom"/>
          </w:tcPr>
          <w:p>
            <w:pPr>
              <w:spacing w:after="0"/>
              <w:rPr>
                <w:sz w:val="1"/>
                <w:szCs w:val="1"/>
                <w:color w:val="auto"/>
              </w:rPr>
            </w:pPr>
          </w:p>
        </w:tc>
      </w:tr>
      <w:tr>
        <w:trPr>
          <w:trHeight w:val="230"/>
        </w:trPr>
        <w:tc>
          <w:tcPr>
            <w:tcW w:w="4240" w:type="dxa"/>
            <w:vAlign w:val="bottom"/>
          </w:tcPr>
          <w:p>
            <w:pPr>
              <w:ind w:left="200"/>
              <w:spacing w:after="0"/>
              <w:rPr>
                <w:sz w:val="20"/>
                <w:szCs w:val="20"/>
                <w:color w:val="auto"/>
              </w:rPr>
            </w:pPr>
            <w:r>
              <w:rPr>
                <w:rFonts w:ascii="Arial" w:cs="Arial" w:eastAsia="Arial" w:hAnsi="Arial"/>
                <w:sz w:val="20"/>
                <w:szCs w:val="20"/>
                <w:color w:val="auto"/>
              </w:rPr>
              <w:t>Other</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1,451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1,186</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4,585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1,528</w:t>
            </w:r>
          </w:p>
        </w:tc>
        <w:tc>
          <w:tcPr>
            <w:tcW w:w="0" w:type="dxa"/>
            <w:vAlign w:val="bottom"/>
          </w:tcPr>
          <w:p>
            <w:pPr>
              <w:spacing w:after="0"/>
              <w:rPr>
                <w:sz w:val="1"/>
                <w:szCs w:val="1"/>
                <w:color w:val="auto"/>
              </w:rPr>
            </w:pPr>
          </w:p>
        </w:tc>
      </w:tr>
      <w:tr>
        <w:trPr>
          <w:trHeight w:val="246"/>
        </w:trPr>
        <w:tc>
          <w:tcPr>
            <w:tcW w:w="4240" w:type="dxa"/>
            <w:vAlign w:val="bottom"/>
          </w:tcPr>
          <w:p>
            <w:pPr>
              <w:ind w:left="200"/>
              <w:spacing w:after="0"/>
              <w:rPr>
                <w:sz w:val="20"/>
                <w:szCs w:val="20"/>
                <w:color w:val="auto"/>
              </w:rPr>
            </w:pPr>
            <w:r>
              <w:rPr>
                <w:rFonts w:ascii="Arial" w:cs="Arial" w:eastAsia="Arial" w:hAnsi="Arial"/>
                <w:sz w:val="20"/>
                <w:szCs w:val="20"/>
                <w:color w:val="auto"/>
              </w:rPr>
              <w:t>Corporate and unallocated</w:t>
            </w: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(55,811)</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(60,533)</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(177,454)</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(170,734)</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19"/>
                <w:szCs w:val="19"/>
                <w:color w:val="auto"/>
              </w:rPr>
            </w:pPr>
          </w:p>
        </w:tc>
        <w:tc>
          <w:tcPr>
            <w:tcW w:w="34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321,368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bottom w:val="single" w:sz="8" w:color="auto"/>
            </w:tcBorders>
          </w:tcPr>
          <w:p>
            <w:pPr>
              <w:jc w:val="right"/>
              <w:ind w:right="141"/>
              <w:spacing w:after="0" w:line="223" w:lineRule="exact"/>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289,338</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933,778</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bottom w:val="single" w:sz="8" w:color="auto"/>
            </w:tcBorders>
          </w:tcPr>
          <w:p>
            <w:pPr>
              <w:jc w:val="right"/>
              <w:ind w:right="141"/>
              <w:spacing w:after="0" w:line="223" w:lineRule="exact"/>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832,959</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60" w:hanging="328"/>
        <w:spacing w:after="0" w:line="253" w:lineRule="auto"/>
        <w:tabs>
          <w:tab w:leader="none" w:pos="666"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Includes $11.4 million and $8.4 million for the three-months ended September 30, 2017 and 2016, respectively, related to the recognition of deferred revenue. Includes $31.6 million and $28.6 million for the nine-months ended September 30, 2017 and 2016, respectively, related to the recognition of deferred revenue.</w:t>
      </w:r>
    </w:p>
    <w:p>
      <w:pPr>
        <w:spacing w:after="0" w:line="106" w:lineRule="exact"/>
        <w:rPr>
          <w:rFonts w:ascii="Arial" w:cs="Arial" w:eastAsia="Arial" w:hAnsi="Arial"/>
          <w:sz w:val="14"/>
          <w:szCs w:val="14"/>
          <w:i w:val="1"/>
          <w:iCs w:val="1"/>
          <w:color w:val="auto"/>
        </w:rPr>
      </w:pPr>
    </w:p>
    <w:p>
      <w:pPr>
        <w:ind w:left="660" w:hanging="328"/>
        <w:spacing w:after="0" w:line="253" w:lineRule="auto"/>
        <w:tabs>
          <w:tab w:leader="none" w:pos="666"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Includes $15.9 million and $4.7 million for the three-months ended September 30, 2017 and 2016, respectively, related to distributor termination costs. Includes $35.9 million and $33.4 million for the nine-months ended September 30, 2017 and 2016, respectively, related to distributor termination costs.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40" w:type="dxa"/>
            <w:vAlign w:val="bottom"/>
            <w:gridSpan w:val="8"/>
          </w:tcPr>
          <w:p>
            <w:pPr>
              <w:ind w:left="500"/>
              <w:spacing w:after="0"/>
              <w:rPr>
                <w:sz w:val="20"/>
                <w:szCs w:val="20"/>
                <w:color w:val="auto"/>
              </w:rPr>
            </w:pPr>
            <w:r>
              <w:rPr>
                <w:rFonts w:ascii="Arial" w:cs="Arial" w:eastAsia="Arial" w:hAnsi="Arial"/>
                <w:sz w:val="20"/>
                <w:szCs w:val="20"/>
                <w:color w:val="auto"/>
              </w:rPr>
              <w:t>Three-Months Ended</w:t>
            </w:r>
          </w:p>
        </w:tc>
        <w:tc>
          <w:tcPr>
            <w:tcW w:w="380" w:type="dxa"/>
            <w:vAlign w:val="bottom"/>
          </w:tcPr>
          <w:p>
            <w:pPr>
              <w:spacing w:after="0"/>
              <w:rPr>
                <w:sz w:val="19"/>
                <w:szCs w:val="19"/>
                <w:color w:val="auto"/>
              </w:rPr>
            </w:pPr>
          </w:p>
        </w:tc>
        <w:tc>
          <w:tcPr>
            <w:tcW w:w="3020" w:type="dxa"/>
            <w:vAlign w:val="bottom"/>
            <w:gridSpan w:val="4"/>
          </w:tcPr>
          <w:p>
            <w:pPr>
              <w:jc w:val="right"/>
              <w:ind w:right="801"/>
              <w:spacing w:after="0"/>
              <w:rPr>
                <w:sz w:val="20"/>
                <w:szCs w:val="20"/>
                <w:color w:val="auto"/>
              </w:rPr>
            </w:pPr>
            <w:r>
              <w:rPr>
                <w:rFonts w:ascii="Arial" w:cs="Arial" w:eastAsia="Arial" w:hAnsi="Arial"/>
                <w:sz w:val="20"/>
                <w:szCs w:val="20"/>
                <w:color w:val="auto"/>
              </w:rPr>
              <w:t>Nine-Months Ended</w:t>
            </w:r>
          </w:p>
        </w:tc>
        <w:tc>
          <w:tcPr>
            <w:tcW w:w="0" w:type="dxa"/>
            <w:vAlign w:val="bottom"/>
          </w:tcPr>
          <w:p>
            <w:pPr>
              <w:spacing w:after="0"/>
              <w:rPr>
                <w:sz w:val="1"/>
                <w:szCs w:val="1"/>
                <w:color w:val="auto"/>
              </w:rPr>
            </w:pPr>
          </w:p>
        </w:tc>
      </w:tr>
      <w:tr>
        <w:trPr>
          <w:trHeight w:val="246"/>
        </w:trPr>
        <w:tc>
          <w:tcPr>
            <w:tcW w:w="4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5"/>
          </w:tcPr>
          <w:p>
            <w:pPr>
              <w:jc w:val="right"/>
              <w:spacing w:after="0"/>
              <w:rPr>
                <w:sz w:val="20"/>
                <w:szCs w:val="20"/>
                <w:color w:val="auto"/>
              </w:rPr>
            </w:pPr>
            <w:r>
              <w:rPr>
                <w:rFonts w:ascii="Arial" w:cs="Arial" w:eastAsia="Arial" w:hAnsi="Arial"/>
                <w:sz w:val="20"/>
                <w:szCs w:val="20"/>
                <w:color w:val="auto"/>
              </w:rPr>
              <w:t>September 30,</w:t>
            </w:r>
          </w:p>
        </w:tc>
        <w:tc>
          <w:tcPr>
            <w:tcW w:w="10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20"/>
                <w:szCs w:val="20"/>
                <w:color w:val="auto"/>
              </w:rPr>
              <w:t>September 30,</w:t>
            </w:r>
          </w:p>
        </w:tc>
        <w:tc>
          <w:tcPr>
            <w:tcW w:w="10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100" w:type="dxa"/>
            <w:vAlign w:val="bottom"/>
            <w:gridSpan w:val="2"/>
            <w:vMerge w:val="restart"/>
          </w:tcPr>
          <w:p>
            <w:pPr>
              <w:spacing w:after="0"/>
              <w:rPr>
                <w:sz w:val="20"/>
                <w:szCs w:val="20"/>
                <w:color w:val="auto"/>
              </w:rPr>
            </w:pPr>
            <w:r>
              <w:rPr>
                <w:rFonts w:ascii="Arial" w:cs="Arial" w:eastAsia="Arial" w:hAnsi="Arial"/>
                <w:sz w:val="20"/>
                <w:szCs w:val="20"/>
                <w:color w:val="auto"/>
              </w:rPr>
              <w:t>Depreciation and amortization:</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61"/>
              <w:spacing w:after="0" w:line="223" w:lineRule="exact"/>
              <w:rPr>
                <w:sz w:val="20"/>
                <w:szCs w:val="20"/>
                <w:color w:val="auto"/>
              </w:rPr>
            </w:pPr>
            <w:r>
              <w:rPr>
                <w:rFonts w:ascii="Arial" w:cs="Arial" w:eastAsia="Arial" w:hAnsi="Arial"/>
                <w:sz w:val="20"/>
                <w:szCs w:val="20"/>
                <w:color w:val="auto"/>
              </w:rPr>
              <w:t>2017</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01"/>
              <w:spacing w:after="0" w:line="223" w:lineRule="exact"/>
              <w:rPr>
                <w:sz w:val="20"/>
                <w:szCs w:val="20"/>
                <w:color w:val="auto"/>
              </w:rPr>
            </w:pPr>
            <w:r>
              <w:rPr>
                <w:rFonts w:ascii="Arial" w:cs="Arial" w:eastAsia="Arial" w:hAnsi="Arial"/>
                <w:sz w:val="20"/>
                <w:szCs w:val="20"/>
                <w:color w:val="auto"/>
              </w:rPr>
              <w:t>2016</w:t>
            </w:r>
          </w:p>
        </w:tc>
        <w:tc>
          <w:tcPr>
            <w:tcW w:w="6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61"/>
              <w:spacing w:after="0" w:line="223" w:lineRule="exact"/>
              <w:rPr>
                <w:sz w:val="20"/>
                <w:szCs w:val="20"/>
                <w:color w:val="auto"/>
              </w:rPr>
            </w:pPr>
            <w:r>
              <w:rPr>
                <w:rFonts w:ascii="Arial" w:cs="Arial" w:eastAsia="Arial" w:hAnsi="Arial"/>
                <w:sz w:val="20"/>
                <w:szCs w:val="20"/>
                <w:color w:val="auto"/>
              </w:rPr>
              <w:t>2017</w:t>
            </w:r>
          </w:p>
        </w:tc>
        <w:tc>
          <w:tcPr>
            <w:tcW w:w="3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61"/>
              <w:spacing w:after="0" w:line="223" w:lineRule="exact"/>
              <w:rPr>
                <w:sz w:val="20"/>
                <w:szCs w:val="20"/>
                <w:color w:val="auto"/>
              </w:rPr>
            </w:pPr>
            <w:r>
              <w:rPr>
                <w:rFonts w:ascii="Arial" w:cs="Arial" w:eastAsia="Arial" w:hAnsi="Arial"/>
                <w:sz w:val="20"/>
                <w:szCs w:val="20"/>
                <w:color w:val="auto"/>
              </w:rPr>
              <w:t>2016</w:t>
            </w:r>
          </w:p>
        </w:tc>
        <w:tc>
          <w:tcPr>
            <w:tcW w:w="0" w:type="dxa"/>
            <w:vAlign w:val="bottom"/>
          </w:tcPr>
          <w:p>
            <w:pPr>
              <w:spacing w:after="0"/>
              <w:rPr>
                <w:sz w:val="1"/>
                <w:szCs w:val="1"/>
                <w:color w:val="auto"/>
              </w:rPr>
            </w:pPr>
          </w:p>
        </w:tc>
      </w:tr>
      <w:tr>
        <w:trPr>
          <w:trHeight w:val="193"/>
        </w:trPr>
        <w:tc>
          <w:tcPr>
            <w:tcW w:w="410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00" w:type="dxa"/>
            <w:vAlign w:val="bottom"/>
            <w:gridSpan w:val="2"/>
          </w:tcPr>
          <w:p>
            <w:pPr>
              <w:ind w:left="200"/>
              <w:spacing w:after="0"/>
              <w:rPr>
                <w:sz w:val="20"/>
                <w:szCs w:val="20"/>
                <w:color w:val="auto"/>
              </w:rPr>
            </w:pPr>
            <w:r>
              <w:rPr>
                <w:rFonts w:ascii="Arial" w:cs="Arial" w:eastAsia="Arial" w:hAnsi="Arial"/>
                <w:sz w:val="20"/>
                <w:szCs w:val="20"/>
                <w:color w:val="auto"/>
              </w:rPr>
              <w:t>Monster Energy® Drinks</w:t>
            </w:r>
          </w:p>
        </w:tc>
        <w:tc>
          <w:tcPr>
            <w:tcW w:w="3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7,546</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5,974</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20,959</w:t>
            </w:r>
          </w:p>
        </w:tc>
        <w:tc>
          <w:tcPr>
            <w:tcW w:w="380" w:type="dxa"/>
            <w:vAlign w:val="bottom"/>
          </w:tcPr>
          <w:p>
            <w:pPr>
              <w:spacing w:after="0"/>
              <w:rPr>
                <w:sz w:val="19"/>
                <w:szCs w:val="19"/>
                <w:color w:val="auto"/>
              </w:rPr>
            </w:pPr>
          </w:p>
        </w:tc>
        <w:tc>
          <w:tcPr>
            <w:tcW w:w="48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17,651</w:t>
            </w:r>
          </w:p>
        </w:tc>
        <w:tc>
          <w:tcPr>
            <w:tcW w:w="0" w:type="dxa"/>
            <w:vAlign w:val="bottom"/>
          </w:tcPr>
          <w:p>
            <w:pPr>
              <w:spacing w:after="0"/>
              <w:rPr>
                <w:sz w:val="1"/>
                <w:szCs w:val="1"/>
                <w:color w:val="auto"/>
              </w:rPr>
            </w:pPr>
          </w:p>
        </w:tc>
      </w:tr>
      <w:tr>
        <w:trPr>
          <w:trHeight w:val="230"/>
        </w:trPr>
        <w:tc>
          <w:tcPr>
            <w:tcW w:w="4100" w:type="dxa"/>
            <w:vAlign w:val="bottom"/>
            <w:gridSpan w:val="2"/>
          </w:tcPr>
          <w:p>
            <w:pPr>
              <w:ind w:left="200"/>
              <w:spacing w:after="0"/>
              <w:rPr>
                <w:sz w:val="20"/>
                <w:szCs w:val="20"/>
                <w:color w:val="auto"/>
              </w:rPr>
            </w:pPr>
            <w:r>
              <w:rPr>
                <w:rFonts w:ascii="Arial" w:cs="Arial" w:eastAsia="Arial" w:hAnsi="Arial"/>
                <w:sz w:val="20"/>
                <w:szCs w:val="20"/>
                <w:color w:val="auto"/>
              </w:rPr>
              <w:t>Strategic Brands</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1,836</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1,777</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5,474</w:t>
            </w: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5,325</w:t>
            </w:r>
          </w:p>
        </w:tc>
        <w:tc>
          <w:tcPr>
            <w:tcW w:w="0" w:type="dxa"/>
            <w:vAlign w:val="bottom"/>
          </w:tcPr>
          <w:p>
            <w:pPr>
              <w:spacing w:after="0"/>
              <w:rPr>
                <w:sz w:val="1"/>
                <w:szCs w:val="1"/>
                <w:color w:val="auto"/>
              </w:rPr>
            </w:pPr>
          </w:p>
        </w:tc>
      </w:tr>
      <w:tr>
        <w:trPr>
          <w:trHeight w:val="230"/>
        </w:trPr>
        <w:tc>
          <w:tcPr>
            <w:tcW w:w="4100" w:type="dxa"/>
            <w:vAlign w:val="bottom"/>
            <w:gridSpan w:val="2"/>
          </w:tcPr>
          <w:p>
            <w:pPr>
              <w:ind w:left="200"/>
              <w:spacing w:after="0"/>
              <w:rPr>
                <w:sz w:val="20"/>
                <w:szCs w:val="20"/>
                <w:color w:val="auto"/>
              </w:rPr>
            </w:pPr>
            <w:r>
              <w:rPr>
                <w:rFonts w:ascii="Arial" w:cs="Arial" w:eastAsia="Arial" w:hAnsi="Arial"/>
                <w:sz w:val="20"/>
                <w:szCs w:val="20"/>
                <w:color w:val="auto"/>
              </w:rPr>
              <w:t>Other</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1,152</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1,151</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3,458</w:t>
            </w: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2,305</w:t>
            </w:r>
          </w:p>
        </w:tc>
        <w:tc>
          <w:tcPr>
            <w:tcW w:w="0" w:type="dxa"/>
            <w:vAlign w:val="bottom"/>
          </w:tcPr>
          <w:p>
            <w:pPr>
              <w:spacing w:after="0"/>
              <w:rPr>
                <w:sz w:val="1"/>
                <w:szCs w:val="1"/>
                <w:color w:val="auto"/>
              </w:rPr>
            </w:pPr>
          </w:p>
        </w:tc>
      </w:tr>
      <w:tr>
        <w:trPr>
          <w:trHeight w:val="246"/>
        </w:trPr>
        <w:tc>
          <w:tcPr>
            <w:tcW w:w="4100" w:type="dxa"/>
            <w:vAlign w:val="bottom"/>
            <w:gridSpan w:val="2"/>
          </w:tcPr>
          <w:p>
            <w:pPr>
              <w:ind w:left="200"/>
              <w:spacing w:after="0"/>
              <w:rPr>
                <w:sz w:val="20"/>
                <w:szCs w:val="20"/>
                <w:color w:val="auto"/>
              </w:rPr>
            </w:pPr>
            <w:r>
              <w:rPr>
                <w:rFonts w:ascii="Arial" w:cs="Arial" w:eastAsia="Arial" w:hAnsi="Arial"/>
                <w:sz w:val="20"/>
                <w:szCs w:val="20"/>
                <w:color w:val="auto"/>
              </w:rPr>
              <w:t>Corporate and unallocated</w:t>
            </w:r>
          </w:p>
        </w:tc>
        <w:tc>
          <w:tcPr>
            <w:tcW w:w="3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1,795</w:t>
            </w:r>
          </w:p>
        </w:tc>
        <w:tc>
          <w:tcPr>
            <w:tcW w:w="2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1,522</w:t>
            </w:r>
          </w:p>
        </w:tc>
        <w:tc>
          <w:tcPr>
            <w:tcW w:w="60" w:type="dxa"/>
            <w:vAlign w:val="bottom"/>
            <w:tcBorders>
              <w:bottom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5,213</w:t>
            </w:r>
          </w:p>
        </w:tc>
        <w:tc>
          <w:tcPr>
            <w:tcW w:w="38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4,593</w:t>
            </w:r>
          </w:p>
        </w:tc>
        <w:tc>
          <w:tcPr>
            <w:tcW w:w="0" w:type="dxa"/>
            <w:vAlign w:val="bottom"/>
          </w:tcPr>
          <w:p>
            <w:pPr>
              <w:spacing w:after="0"/>
              <w:rPr>
                <w:sz w:val="1"/>
                <w:szCs w:val="1"/>
                <w:color w:val="auto"/>
              </w:rPr>
            </w:pPr>
          </w:p>
        </w:tc>
      </w:tr>
      <w:tr>
        <w:trPr>
          <w:trHeight w:val="223"/>
        </w:trPr>
        <w:tc>
          <w:tcPr>
            <w:tcW w:w="4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12,329</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Borders>
              <w:bottom w:val="single" w:sz="8" w:color="auto"/>
            </w:tcBorders>
          </w:tcPr>
          <w:p>
            <w:pPr>
              <w:jc w:val="right"/>
              <w:ind w:right="141"/>
              <w:spacing w:after="0" w:line="223" w:lineRule="exact"/>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10,424</w:t>
            </w:r>
          </w:p>
        </w:tc>
        <w:tc>
          <w:tcPr>
            <w:tcW w:w="6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35,104</w:t>
            </w:r>
          </w:p>
        </w:tc>
        <w:tc>
          <w:tcPr>
            <w:tcW w:w="380" w:type="dxa"/>
            <w:vAlign w:val="bottom"/>
          </w:tcPr>
          <w:p>
            <w:pPr>
              <w:spacing w:after="0"/>
              <w:rPr>
                <w:sz w:val="19"/>
                <w:szCs w:val="19"/>
                <w:color w:val="auto"/>
              </w:rPr>
            </w:pPr>
          </w:p>
        </w:tc>
        <w:tc>
          <w:tcPr>
            <w:tcW w:w="480" w:type="dxa"/>
            <w:vAlign w:val="bottom"/>
            <w:tcBorders>
              <w:bottom w:val="single" w:sz="8" w:color="auto"/>
            </w:tcBorders>
          </w:tcPr>
          <w:p>
            <w:pPr>
              <w:jc w:val="right"/>
              <w:ind w:right="181"/>
              <w:spacing w:after="0" w:line="223" w:lineRule="exact"/>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29,874</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4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40" w:type="dxa"/>
            <w:vAlign w:val="bottom"/>
            <w:gridSpan w:val="5"/>
          </w:tcPr>
          <w:p>
            <w:pPr>
              <w:ind w:left="180"/>
              <w:spacing w:after="0"/>
              <w:rPr>
                <w:sz w:val="20"/>
                <w:szCs w:val="20"/>
                <w:color w:val="auto"/>
              </w:rPr>
            </w:pPr>
            <w:r>
              <w:rPr>
                <w:rFonts w:ascii="Arial" w:cs="Arial" w:eastAsia="Arial" w:hAnsi="Arial"/>
                <w:sz w:val="20"/>
                <w:szCs w:val="20"/>
                <w:color w:val="auto"/>
              </w:rPr>
              <w:t>September 30,</w:t>
            </w:r>
          </w:p>
        </w:tc>
        <w:tc>
          <w:tcPr>
            <w:tcW w:w="1880" w:type="dxa"/>
            <w:vAlign w:val="bottom"/>
            <w:gridSpan w:val="4"/>
          </w:tcPr>
          <w:p>
            <w:pPr>
              <w:ind w:left="140"/>
              <w:spacing w:after="0"/>
              <w:rPr>
                <w:sz w:val="20"/>
                <w:szCs w:val="20"/>
                <w:color w:val="auto"/>
              </w:rPr>
            </w:pPr>
            <w:r>
              <w:rPr>
                <w:rFonts w:ascii="Arial" w:cs="Arial" w:eastAsia="Arial" w:hAnsi="Arial"/>
                <w:sz w:val="20"/>
                <w:szCs w:val="20"/>
                <w:color w:val="auto"/>
              </w:rPr>
              <w:t>December 31,</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4080" w:type="dxa"/>
            <w:vAlign w:val="bottom"/>
            <w:vMerge w:val="restart"/>
          </w:tcPr>
          <w:p>
            <w:pPr>
              <w:spacing w:after="0"/>
              <w:rPr>
                <w:sz w:val="20"/>
                <w:szCs w:val="20"/>
                <w:color w:val="auto"/>
              </w:rPr>
            </w:pPr>
            <w:r>
              <w:rPr>
                <w:rFonts w:ascii="Arial" w:cs="Arial" w:eastAsia="Arial" w:hAnsi="Arial"/>
                <w:sz w:val="20"/>
                <w:szCs w:val="20"/>
                <w:color w:val="auto"/>
              </w:rPr>
              <w:t>Goodwill and other intangible assets:</w:t>
            </w:r>
          </w:p>
        </w:tc>
        <w:tc>
          <w:tcPr>
            <w:tcW w:w="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2017</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2016</w:t>
            </w: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0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00" w:type="dxa"/>
            <w:vAlign w:val="bottom"/>
            <w:gridSpan w:val="2"/>
          </w:tcPr>
          <w:p>
            <w:pPr>
              <w:ind w:left="200"/>
              <w:spacing w:after="0"/>
              <w:rPr>
                <w:sz w:val="20"/>
                <w:szCs w:val="20"/>
                <w:color w:val="auto"/>
              </w:rPr>
            </w:pPr>
            <w:r>
              <w:rPr>
                <w:rFonts w:ascii="Arial" w:cs="Arial" w:eastAsia="Arial" w:hAnsi="Arial"/>
                <w:sz w:val="20"/>
                <w:szCs w:val="20"/>
                <w:color w:val="auto"/>
              </w:rPr>
              <w:t>Monster Energy® Drinks</w:t>
            </w:r>
          </w:p>
        </w:tc>
        <w:tc>
          <w:tcPr>
            <w:tcW w:w="38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1,343,437</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1,334,494</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gridSpan w:val="2"/>
          </w:tcPr>
          <w:p>
            <w:pPr>
              <w:ind w:left="200"/>
              <w:spacing w:after="0"/>
              <w:rPr>
                <w:sz w:val="20"/>
                <w:szCs w:val="20"/>
                <w:color w:val="auto"/>
              </w:rPr>
            </w:pPr>
            <w:r>
              <w:rPr>
                <w:rFonts w:ascii="Arial" w:cs="Arial" w:eastAsia="Arial" w:hAnsi="Arial"/>
                <w:sz w:val="20"/>
                <w:szCs w:val="20"/>
                <w:color w:val="auto"/>
              </w:rPr>
              <w:t>Strategic Brands</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997,054</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1,001,749</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gridSpan w:val="2"/>
          </w:tcPr>
          <w:p>
            <w:pPr>
              <w:ind w:left="200"/>
              <w:spacing w:after="0"/>
              <w:rPr>
                <w:sz w:val="20"/>
                <w:szCs w:val="20"/>
                <w:color w:val="auto"/>
              </w:rPr>
            </w:pPr>
            <w:r>
              <w:rPr>
                <w:rFonts w:ascii="Arial" w:cs="Arial" w:eastAsia="Arial" w:hAnsi="Arial"/>
                <w:sz w:val="20"/>
                <w:szCs w:val="20"/>
                <w:color w:val="auto"/>
              </w:rPr>
              <w:t>Other</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24,633</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28,035</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100" w:type="dxa"/>
            <w:vAlign w:val="bottom"/>
            <w:gridSpan w:val="2"/>
          </w:tcPr>
          <w:p>
            <w:pPr>
              <w:ind w:left="200"/>
              <w:spacing w:after="0"/>
              <w:rPr>
                <w:sz w:val="20"/>
                <w:szCs w:val="20"/>
                <w:color w:val="auto"/>
              </w:rPr>
            </w:pPr>
            <w:r>
              <w:rPr>
                <w:rFonts w:ascii="Arial" w:cs="Arial" w:eastAsia="Arial" w:hAnsi="Arial"/>
                <w:sz w:val="20"/>
                <w:szCs w:val="20"/>
                <w:color w:val="auto"/>
              </w:rPr>
              <w:t>Corporate and unallocated</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101"/>
              <w:spacing w:after="0" w:line="223" w:lineRule="exact"/>
              <w:rPr>
                <w:sz w:val="20"/>
                <w:szCs w:val="20"/>
                <w:color w:val="auto"/>
              </w:rPr>
            </w:pPr>
            <w:r>
              <w:rPr>
                <w:rFonts w:ascii="Arial" w:cs="Arial" w:eastAsia="Arial" w:hAnsi="Arial"/>
                <w:sz w:val="20"/>
                <w:szCs w:val="20"/>
                <w:color w:val="auto"/>
              </w:rPr>
              <w:t>$</w:t>
            </w:r>
          </w:p>
        </w:tc>
        <w:tc>
          <w:tcPr>
            <w:tcW w:w="114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2,365,124</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181"/>
              <w:spacing w:after="0" w:line="223" w:lineRule="exact"/>
              <w:rPr>
                <w:sz w:val="20"/>
                <w:szCs w:val="20"/>
                <w:color w:val="auto"/>
              </w:rPr>
            </w:pPr>
            <w:r>
              <w:rPr>
                <w:rFonts w:ascii="Arial" w:cs="Arial" w:eastAsia="Arial" w:hAnsi="Arial"/>
                <w:sz w:val="20"/>
                <w:szCs w:val="20"/>
                <w:color w:val="auto"/>
              </w:rPr>
              <w:t>$</w:t>
            </w:r>
          </w:p>
        </w:tc>
        <w:tc>
          <w:tcPr>
            <w:tcW w:w="102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2,364,278</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Corporate and unallocated expenses for the three-months ended September 30, 2017 include $37.9 million of payroll costs, of which $13.3 million was attributable to stock-based compensation expenses (see Note 13, “Stock-Based Compensation”), as well as $11.9 million attributable to professional service expenses, including accounting and legal costs, and $10.1 million of other operating expenses. Corporate and unallocated expenses for the three-months ended September 30, 2016 include $33.2 million of payroll costs, of which $12.1 million was attributable to stock-based compensation expenses (see Note 13, “Stock-Based Compensation”), as well as $16.9 million attributable to professional service expenses, including accounting and legal costs, and $9.3 million of other operating expenses.</w:t>
      </w:r>
    </w:p>
    <w:p>
      <w:pPr>
        <w:spacing w:after="0" w:line="17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Corporate and unallocated expenses for the nine-months ended September 30, 2017 include $114.0 million of payroll costs, of which $39.3 million was attributable to stock-based compensation expenses (see Note 13, “Stock-Based Compensation”), as well as $38.3 million attributable to professional service expenses, including accounting and legal costs, and $27.5 million of other operating expenses. Corporate and unallocated expenses for the nine-months ended September 30, 2016 include $92.7 million of payroll costs, of which $33.7 million was attributable to stock-based compensation expenses (see Note 13, “Stock-Based Compensation”), as well as $52.4 million attributable to professional service expenses, including accounting and legal costs, and $24.8 million of other operating expenses.</w:t>
      </w:r>
    </w:p>
    <w:p>
      <w:pPr>
        <w:sectPr>
          <w:pgSz w:w="11900" w:h="16838" w:orient="portrait"/>
          <w:cols w:equalWidth="0" w:num="1">
            <w:col w:w="11420"/>
          </w:cols>
          <w:pgMar w:left="240" w:top="122" w:right="239" w:bottom="69" w:gutter="0" w:footer="0" w:header="0"/>
        </w:sectPr>
      </w:pPr>
    </w:p>
    <w:bookmarkStart w:id="17" w:name="page18"/>
    <w:bookmarkEnd w:id="17"/>
    <w:p>
      <w:pPr>
        <w:jc w:val="both"/>
        <w:ind w:firstLine="648"/>
        <w:spacing w:after="0" w:line="242" w:lineRule="auto"/>
        <w:rPr>
          <w:sz w:val="20"/>
          <w:szCs w:val="20"/>
          <w:color w:val="auto"/>
        </w:rPr>
      </w:pPr>
      <w:r>
        <w:rPr>
          <w:rFonts w:ascii="Arial" w:cs="Arial" w:eastAsia="Arial" w:hAnsi="Arial"/>
          <w:sz w:val="20"/>
          <w:szCs w:val="20"/>
          <w:color w:val="auto"/>
        </w:rPr>
        <w:t>TCCC, through certain wholly-owned subsidiaries (the “TCCC Subsidiaries”), accounted for approximately 14% and 41% of the Company’s net sales for the three-months ended September 30, 2017 and 2016, respectively. The TCCC Subsidiaries accounted for approximately 21% and 43% of the Company’s net sales for the nine-months ended September 30, 2017 and 2016, respectively. As part of TCCC’s North America Refranchising initiative (the “North America Refranchising”), the territories of certain TCCC Subsidiaries have been transitioned to certain independent/non wholly-owned TCCC bottlers/distributors. Accordingly, the Company’s percentage of net sales classified as sales to the TCCC Subsidiaries decreased for three- and nine-months ended September 30, 2017. CCBCC Operations, LLC accounted for approximately 14% and 9% of the Company’s net sales for the three-months ended September 30, 2017 and 2016, respectively. CCBCC Operations, LLC accounted for approximately 13% and 8% of the Company’s net sales for the nine-months ended September 30, 2017 and 2016, respectively.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Net sales to customers outside the United States amounted to $260.1 million and $190.8 million for the three-months ended September 30, 2017 and 2016, respectively. Net sales to customers outside the United States amounted to $698.9 million and $540.2 million for the nine-months ended September 30, 2017 and 2016, respectively.</w:t>
      </w:r>
    </w:p>
    <w:p>
      <w:pPr>
        <w:spacing w:after="0" w:line="200" w:lineRule="exact"/>
        <w:rPr>
          <w:sz w:val="20"/>
          <w:szCs w:val="20"/>
          <w:color w:val="auto"/>
        </w:rPr>
      </w:pPr>
    </w:p>
    <w:p>
      <w:pPr>
        <w:ind w:left="640" w:hanging="632"/>
        <w:spacing w:after="0"/>
        <w:tabs>
          <w:tab w:leader="none" w:pos="6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RELATED PARTY TRANSACTIONS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TCCC controls approximately 18% of the voting interests of the Company. TCCC, through the TCCC Subsidiaries and through certain TCCC affiliated companies (the “TCCC Affiliates”) purchases and distributes certain of the Company’s products both domestically and in certain international territories. The Company also pays TCCC a commission based on certain sales within the TCCC distribution network.</w:t>
      </w:r>
    </w:p>
    <w:p>
      <w:pPr>
        <w:spacing w:after="0" w:line="1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TCCC commissions, based on sales to the TCCC Affiliates for the three-months ended September 30, 2017 and 2016, were $12.7 million and $8.1 million, respectively. TCCC commissions, based on sales to the TCCC Affiliates for the nine-months ended September 30, 2017 and 2016, were $33.5 million and $19.0 million, respectively.</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TCCC commissions, based on sales to the TCCC Subsidiaries, are accounted for as a reduction to revenue and are reported in net sales to the TCCC Subsidiaries.</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Net sales to the TCCC Subsidiaries for the three-months ended September 30, 2017 and 2016 were $130.7 million and $321.9 million, respectively. Net sales to the TCCC Subsidiaries for the nine-months ended September 30, 2017 and 2016 were $540.4 million and $981.0 million, respectively. As part of the North America Refranchising, the territories of certain TCCC Subsidiaries have been transitioned to certain independent/non wholly-owned TCCC bottlers/distributors. Accordingly, the Company’s net sales classified as sales to the TCCC Subsidiaries decreased for three- and nine-months ended September 30, 2017.</w:t>
      </w:r>
    </w:p>
    <w:p>
      <w:pPr>
        <w:spacing w:after="0" w:line="19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Company also purchases concentrates from TCCC which are then sold to both the TCCC Affiliates and the TCCC Subsidiaries. Concentrate purchases from TCCC were $7.6 million and $6.2 million for the three-months ended September 30, 2017 and 2016, respectively. Concentrate purchases from TCCC were $20.2 million and $20.9 million for the nine-months ended September 30, 2017 and 2016, respectively.</w:t>
      </w:r>
    </w:p>
    <w:p>
      <w:pPr>
        <w:spacing w:after="0" w:line="20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Certain TCCC Subsidiaries also contract manufacture certain of the Company’s Monster Energy® brand energy drinks as well as Mutant® Super Soda drinks. Contract manufacturing expenses were $3.6 million and $2.2 million for the three-months ended September 30, 2017 and 2016, respectively. Contract manufacturing expenses were $8.7 million and $6.0 million for the nine-months ended September 30, 2017 and 2016, respectively.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7"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Accounts receivable, accounts payable and accrued promotional allowances related to the TCCC Subsidiaries are as follows at:</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gridSpan w:val="2"/>
          </w:tcPr>
          <w:p>
            <w:pPr>
              <w:ind w:left="80"/>
              <w:spacing w:after="0"/>
              <w:rPr>
                <w:sz w:val="20"/>
                <w:szCs w:val="20"/>
                <w:color w:val="auto"/>
              </w:rPr>
            </w:pPr>
            <w:r>
              <w:rPr>
                <w:rFonts w:ascii="Arial" w:cs="Arial" w:eastAsia="Arial" w:hAnsi="Arial"/>
                <w:sz w:val="20"/>
                <w:szCs w:val="20"/>
                <w:color w:val="auto"/>
              </w:rPr>
              <w:t>September</w:t>
            </w:r>
          </w:p>
        </w:tc>
        <w:tc>
          <w:tcPr>
            <w:tcW w:w="1500" w:type="dxa"/>
            <w:vAlign w:val="bottom"/>
            <w:gridSpan w:val="2"/>
          </w:tcPr>
          <w:p>
            <w:pPr>
              <w:jc w:val="right"/>
              <w:ind w:right="101"/>
              <w:spacing w:after="0"/>
              <w:rPr>
                <w:sz w:val="20"/>
                <w:szCs w:val="20"/>
                <w:color w:val="auto"/>
              </w:rPr>
            </w:pPr>
            <w:r>
              <w:rPr>
                <w:rFonts w:ascii="Arial" w:cs="Arial" w:eastAsia="Arial" w:hAnsi="Arial"/>
                <w:sz w:val="20"/>
                <w:szCs w:val="20"/>
                <w:color w:val="auto"/>
              </w:rPr>
              <w:t>December 31,</w:t>
            </w:r>
          </w:p>
        </w:tc>
      </w:tr>
      <w:tr>
        <w:trPr>
          <w:trHeight w:val="246"/>
        </w:trPr>
        <w:tc>
          <w:tcPr>
            <w:tcW w:w="40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color w:val="auto"/>
              </w:rPr>
              <w:t>30, 2017</w:t>
            </w:r>
          </w:p>
        </w:tc>
        <w:tc>
          <w:tcPr>
            <w:tcW w:w="3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color w:val="auto"/>
              </w:rPr>
              <w:t>2016</w:t>
            </w:r>
          </w:p>
        </w:tc>
      </w:tr>
      <w:tr>
        <w:trPr>
          <w:trHeight w:val="422"/>
        </w:trPr>
        <w:tc>
          <w:tcPr>
            <w:tcW w:w="4040" w:type="dxa"/>
            <w:vAlign w:val="bottom"/>
          </w:tcPr>
          <w:p>
            <w:pPr>
              <w:spacing w:after="0"/>
              <w:rPr>
                <w:sz w:val="20"/>
                <w:szCs w:val="20"/>
                <w:color w:val="auto"/>
              </w:rPr>
            </w:pPr>
            <w:r>
              <w:rPr>
                <w:rFonts w:ascii="Arial" w:cs="Arial" w:eastAsia="Arial" w:hAnsi="Arial"/>
                <w:sz w:val="20"/>
                <w:szCs w:val="20"/>
                <w:color w:val="auto"/>
              </w:rPr>
              <w:t>Accounts receivable, net</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85,896</w:t>
            </w:r>
          </w:p>
        </w:tc>
        <w:tc>
          <w:tcPr>
            <w:tcW w:w="380" w:type="dxa"/>
            <w:vAlign w:val="bottom"/>
          </w:tcPr>
          <w:p>
            <w:pPr>
              <w:spacing w:after="0"/>
              <w:rPr>
                <w:sz w:val="24"/>
                <w:szCs w:val="24"/>
                <w:color w:val="auto"/>
              </w:rPr>
            </w:pPr>
          </w:p>
        </w:tc>
        <w:tc>
          <w:tcPr>
            <w:tcW w:w="3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151,756</w:t>
            </w:r>
          </w:p>
        </w:tc>
      </w:tr>
      <w:tr>
        <w:trPr>
          <w:trHeight w:val="230"/>
        </w:trPr>
        <w:tc>
          <w:tcPr>
            <w:tcW w:w="4040" w:type="dxa"/>
            <w:vAlign w:val="bottom"/>
          </w:tcPr>
          <w:p>
            <w:pPr>
              <w:spacing w:after="0"/>
              <w:rPr>
                <w:sz w:val="20"/>
                <w:szCs w:val="20"/>
                <w:color w:val="auto"/>
              </w:rPr>
            </w:pPr>
            <w:r>
              <w:rPr>
                <w:rFonts w:ascii="Arial" w:cs="Arial" w:eastAsia="Arial" w:hAnsi="Arial"/>
                <w:sz w:val="20"/>
                <w:szCs w:val="20"/>
                <w:color w:val="auto"/>
              </w:rPr>
              <w:t>TCCC transaction receivable</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3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125,000</w:t>
            </w:r>
          </w:p>
        </w:tc>
      </w:tr>
      <w:tr>
        <w:trPr>
          <w:trHeight w:val="230"/>
        </w:trPr>
        <w:tc>
          <w:tcPr>
            <w:tcW w:w="4040" w:type="dxa"/>
            <w:vAlign w:val="bottom"/>
          </w:tcPr>
          <w:p>
            <w:pPr>
              <w:spacing w:after="0"/>
              <w:rPr>
                <w:sz w:val="20"/>
                <w:szCs w:val="20"/>
                <w:color w:val="auto"/>
              </w:rPr>
            </w:pPr>
            <w:r>
              <w:rPr>
                <w:rFonts w:ascii="Arial" w:cs="Arial" w:eastAsia="Arial" w:hAnsi="Arial"/>
                <w:sz w:val="20"/>
                <w:szCs w:val="20"/>
                <w:color w:val="auto"/>
              </w:rPr>
              <w:t>Accounts payable</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(60,350)</w:t>
            </w:r>
          </w:p>
        </w:tc>
        <w:tc>
          <w:tcPr>
            <w:tcW w:w="380" w:type="dxa"/>
            <w:vAlign w:val="bottom"/>
          </w:tcPr>
          <w:p>
            <w:pPr>
              <w:spacing w:after="0"/>
              <w:rPr>
                <w:sz w:val="19"/>
                <w:szCs w:val="19"/>
                <w:color w:val="auto"/>
              </w:rPr>
            </w:pPr>
          </w:p>
        </w:tc>
        <w:tc>
          <w:tcPr>
            <w:tcW w:w="3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(41,210)</w:t>
            </w:r>
          </w:p>
        </w:tc>
      </w:tr>
      <w:tr>
        <w:trPr>
          <w:trHeight w:val="250"/>
        </w:trPr>
        <w:tc>
          <w:tcPr>
            <w:tcW w:w="4040" w:type="dxa"/>
            <w:vAlign w:val="bottom"/>
          </w:tcPr>
          <w:p>
            <w:pPr>
              <w:spacing w:after="0"/>
              <w:rPr>
                <w:sz w:val="20"/>
                <w:szCs w:val="20"/>
                <w:color w:val="auto"/>
              </w:rPr>
            </w:pPr>
            <w:r>
              <w:rPr>
                <w:rFonts w:ascii="Arial" w:cs="Arial" w:eastAsia="Arial" w:hAnsi="Arial"/>
                <w:sz w:val="20"/>
                <w:szCs w:val="20"/>
                <w:color w:val="auto"/>
              </w:rPr>
              <w:t>Accrued promotional allowances</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(22,641)</w:t>
            </w:r>
          </w:p>
        </w:tc>
        <w:tc>
          <w:tcPr>
            <w:tcW w:w="380" w:type="dxa"/>
            <w:vAlign w:val="bottom"/>
          </w:tcPr>
          <w:p>
            <w:pPr>
              <w:spacing w:after="0"/>
              <w:rPr>
                <w:sz w:val="21"/>
                <w:szCs w:val="21"/>
                <w:color w:val="auto"/>
              </w:rPr>
            </w:pPr>
          </w:p>
        </w:tc>
        <w:tc>
          <w:tcPr>
            <w:tcW w:w="3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(27,056)</w:t>
            </w:r>
          </w:p>
        </w:tc>
      </w:tr>
    </w:tbl>
    <w:p>
      <w:pPr>
        <w:sectPr>
          <w:pgSz w:w="11900" w:h="16838" w:orient="portrait"/>
          <w:cols w:equalWidth="0" w:num="1">
            <w:col w:w="11420"/>
          </w:cols>
          <w:pgMar w:left="240" w:top="122" w:right="239" w:bottom="0" w:gutter="0" w:footer="0" w:header="0"/>
        </w:sectPr>
      </w:pPr>
    </w:p>
    <w:bookmarkStart w:id="18" w:name="page19"/>
    <w:bookmarkEnd w:id="18"/>
    <w:p>
      <w:pPr>
        <w:spacing w:after="0" w:line="22"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8"/>
          <w:szCs w:val="18"/>
          <w:color w:val="auto"/>
        </w:rPr>
        <w:t>Two directors and officers of the Company and their families are principal owners of a company that provides promotional materials to the Company. Expenses incurred with such company in connection with promotional materials purchased during each of the three-months ended September 30, 2017 and 2016 were $0.6 million. Expenses incurred with such company in connection with promotional materials purchased during the nine-months ended September 30, 2017 and 2016 were $2.0 million and $0.9 million, respectively.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Business</w:t>
      </w:r>
    </w:p>
    <w:p>
      <w:pPr>
        <w:spacing w:after="0" w:line="23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When this report uses the words “the Company”, “we”, “us”, and “our”, these words refer to Monster Beverage Corporation and its subsidiaries, unless the context otherwise requires. Based in Corona, California, Monster Beverage Corporation is a holding company and conducts no operating business except through its consolidated subsidiaries. The Company’s subsidiaries primarily develop and market energy drinks as well as Mutant® Super Sodas.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Acquisitions and Divestitures</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On April 1, 2016, we completed our acquisition of flavor supplier and long-time business partner American Fruits &amp; Flavors (“AFF”), in an asset acquisition that brought our primary flavor supplier in-house, secured the intellectual property of our most important flavors in perpetuity and further enhanced our flavor development and global flavor footprint capabilities (the “AFF Transaction”). Pursuant to the terms of the AFF Transaction, we purchased AFF for $688.5 million in cash.</w:t>
      </w:r>
    </w:p>
    <w:p>
      <w:pPr>
        <w:spacing w:after="0" w:line="20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We accounted for the AFF Transaction in accordance with Financial Accounting Standards Board (“FASB”) Accounting Standards Codification (“ASC”) 805 “Business Combinations”. Inventory purchased under the AFF Transaction was recorded at fair value. Raw material cost savings from the AFF Transaction were approximately $27.7 million and $23.3 million in the three-months ended September 30, 2017 and 2016, respectively. Raw material cost savings from the AFF Transaction were approximately $79.7 million and $24.4 million in the nine-months ended September 30, 2017 and 2016, respectively. Raw material costs savings from the AFF Transaction were minimally realized in the six-months ended June 30, 2016 as the Company’s inventory on hand prior to the AFF Transaction, as well as the inventory acquired in the AFF Transaction which was recorded at fair value, were not recognized through cost of goods sold until the end of the second quarter of 2016.</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Distributor Terminations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In accordance with ASC No. 420 “Exit or Disposal Cost Obligations”, we expense distributor termination costs in the period in which the written notification of termination occurs. We incurred termination costs of $15.9 million and $4.7 million for the three-months ended September 30, 2017 and 2016, respectively, related to the distribution rights transferred to The Coca-Cola Company’s (“TCCC”) distribution network. We incurred termination costs of $35.9 million and $33.4 million for the nine-months ended September 30, 2017 and 2016, respectively, related to the distribution rights transferred to TCCC’s distribution network. Such termination costs have been expensed in full and are included in operating expenses for the three- and nine-months ended September 30, 2017 and 2016.</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Overview</w:t>
      </w:r>
    </w:p>
    <w:p>
      <w:pPr>
        <w:spacing w:after="0" w:line="2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We develop, market, sell and distribute energy drink beverages, super sodas and/or concentrates for energy drink beverages, primarily under the following brand names:</w:t>
      </w:r>
    </w:p>
    <w:p>
      <w:pPr>
        <w:spacing w:after="0" w:line="190"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160" w:type="dxa"/>
            <w:vAlign w:val="bottom"/>
          </w:tcPr>
          <w:p>
            <w:pPr>
              <w:spacing w:after="0"/>
              <w:rPr>
                <w:sz w:val="20"/>
                <w:szCs w:val="20"/>
                <w:color w:val="auto"/>
              </w:rPr>
            </w:pPr>
            <w:r>
              <w:rPr>
                <w:rFonts w:ascii="Arial" w:cs="Arial" w:eastAsia="Arial" w:hAnsi="Arial"/>
                <w:sz w:val="20"/>
                <w:szCs w:val="20"/>
                <w:color w:val="auto"/>
              </w:rPr>
              <w:t>·</w:t>
            </w:r>
          </w:p>
        </w:tc>
        <w:tc>
          <w:tcPr>
            <w:tcW w:w="5420" w:type="dxa"/>
            <w:vAlign w:val="bottom"/>
          </w:tcPr>
          <w:p>
            <w:pPr>
              <w:ind w:left="120"/>
              <w:spacing w:after="0"/>
              <w:rPr>
                <w:sz w:val="20"/>
                <w:szCs w:val="20"/>
                <w:color w:val="auto"/>
              </w:rPr>
            </w:pPr>
            <w:r>
              <w:rPr>
                <w:rFonts w:ascii="Arial" w:cs="Arial" w:eastAsia="Arial" w:hAnsi="Arial"/>
                <w:sz w:val="20"/>
                <w:szCs w:val="20"/>
                <w:color w:val="auto"/>
              </w:rPr>
              <w:t>Monster Energy®</w:t>
            </w:r>
          </w:p>
        </w:tc>
        <w:tc>
          <w:tcPr>
            <w:tcW w:w="1200" w:type="dxa"/>
            <w:vAlign w:val="bottom"/>
          </w:tcPr>
          <w:p>
            <w:pPr>
              <w:ind w:left="1040"/>
              <w:spacing w:after="0"/>
              <w:rPr>
                <w:sz w:val="20"/>
                <w:szCs w:val="20"/>
                <w:color w:val="auto"/>
              </w:rPr>
            </w:pPr>
            <w:r>
              <w:rPr>
                <w:rFonts w:ascii="Arial" w:cs="Arial" w:eastAsia="Arial" w:hAnsi="Arial"/>
                <w:sz w:val="20"/>
                <w:szCs w:val="20"/>
                <w:color w:val="auto"/>
              </w:rPr>
              <w:t>·</w:t>
            </w:r>
          </w:p>
        </w:tc>
        <w:tc>
          <w:tcPr>
            <w:tcW w:w="2060" w:type="dxa"/>
            <w:vAlign w:val="bottom"/>
          </w:tcPr>
          <w:p>
            <w:pPr>
              <w:ind w:left="120"/>
              <w:spacing w:after="0"/>
              <w:rPr>
                <w:sz w:val="20"/>
                <w:szCs w:val="20"/>
                <w:color w:val="auto"/>
              </w:rPr>
            </w:pPr>
            <w:r>
              <w:rPr>
                <w:rFonts w:ascii="Arial" w:cs="Arial" w:eastAsia="Arial" w:hAnsi="Arial"/>
                <w:sz w:val="20"/>
                <w:szCs w:val="20"/>
                <w:color w:val="auto"/>
              </w:rPr>
              <w:t>Nalu®</w:t>
            </w:r>
          </w:p>
        </w:tc>
      </w:tr>
      <w:tr>
        <w:trPr>
          <w:trHeight w:val="230"/>
        </w:trPr>
        <w:tc>
          <w:tcPr>
            <w:tcW w:w="160" w:type="dxa"/>
            <w:vAlign w:val="bottom"/>
          </w:tcPr>
          <w:p>
            <w:pPr>
              <w:spacing w:after="0"/>
              <w:rPr>
                <w:sz w:val="20"/>
                <w:szCs w:val="20"/>
                <w:color w:val="auto"/>
              </w:rPr>
            </w:pPr>
            <w:r>
              <w:rPr>
                <w:rFonts w:ascii="Arial" w:cs="Arial" w:eastAsia="Arial" w:hAnsi="Arial"/>
                <w:sz w:val="20"/>
                <w:szCs w:val="20"/>
                <w:color w:val="auto"/>
              </w:rPr>
              <w:t>·</w:t>
            </w:r>
          </w:p>
        </w:tc>
        <w:tc>
          <w:tcPr>
            <w:tcW w:w="5420" w:type="dxa"/>
            <w:vAlign w:val="bottom"/>
          </w:tcPr>
          <w:p>
            <w:pPr>
              <w:ind w:left="120"/>
              <w:spacing w:after="0"/>
              <w:rPr>
                <w:sz w:val="20"/>
                <w:szCs w:val="20"/>
                <w:color w:val="auto"/>
              </w:rPr>
            </w:pPr>
            <w:r>
              <w:rPr>
                <w:rFonts w:ascii="Arial" w:cs="Arial" w:eastAsia="Arial" w:hAnsi="Arial"/>
                <w:sz w:val="20"/>
                <w:szCs w:val="20"/>
                <w:color w:val="auto"/>
              </w:rPr>
              <w:t>Monster Rehab®</w:t>
            </w:r>
          </w:p>
        </w:tc>
        <w:tc>
          <w:tcPr>
            <w:tcW w:w="1200" w:type="dxa"/>
            <w:vAlign w:val="bottom"/>
          </w:tcPr>
          <w:p>
            <w:pPr>
              <w:ind w:left="1040"/>
              <w:spacing w:after="0"/>
              <w:rPr>
                <w:sz w:val="20"/>
                <w:szCs w:val="20"/>
                <w:color w:val="auto"/>
              </w:rPr>
            </w:pPr>
            <w:r>
              <w:rPr>
                <w:rFonts w:ascii="Arial" w:cs="Arial" w:eastAsia="Arial" w:hAnsi="Arial"/>
                <w:sz w:val="20"/>
                <w:szCs w:val="20"/>
                <w:color w:val="auto"/>
              </w:rPr>
              <w:t>·</w:t>
            </w:r>
          </w:p>
        </w:tc>
        <w:tc>
          <w:tcPr>
            <w:tcW w:w="2060" w:type="dxa"/>
            <w:vAlign w:val="bottom"/>
          </w:tcPr>
          <w:p>
            <w:pPr>
              <w:ind w:left="120"/>
              <w:spacing w:after="0"/>
              <w:rPr>
                <w:sz w:val="20"/>
                <w:szCs w:val="20"/>
                <w:color w:val="auto"/>
              </w:rPr>
            </w:pPr>
            <w:r>
              <w:rPr>
                <w:rFonts w:ascii="Arial" w:cs="Arial" w:eastAsia="Arial" w:hAnsi="Arial"/>
                <w:sz w:val="20"/>
                <w:szCs w:val="20"/>
                <w:color w:val="auto"/>
              </w:rPr>
              <w:t>NOS®</w:t>
            </w:r>
          </w:p>
        </w:tc>
      </w:tr>
      <w:tr>
        <w:trPr>
          <w:trHeight w:val="230"/>
        </w:trPr>
        <w:tc>
          <w:tcPr>
            <w:tcW w:w="5580" w:type="dxa"/>
            <w:vAlign w:val="bottom"/>
            <w:gridSpan w:val="2"/>
          </w:tcPr>
          <w:p>
            <w:pPr>
              <w:spacing w:after="0"/>
              <w:rPr>
                <w:sz w:val="20"/>
                <w:szCs w:val="20"/>
                <w:color w:val="auto"/>
              </w:rPr>
            </w:pPr>
            <w:r>
              <w:rPr>
                <w:rFonts w:ascii="Arial" w:cs="Arial" w:eastAsia="Arial" w:hAnsi="Arial"/>
                <w:sz w:val="20"/>
                <w:szCs w:val="20"/>
                <w:color w:val="auto"/>
              </w:rPr>
              <w:t>·  Monster Energy Extra Strength Nitrous Technology®</w:t>
            </w:r>
          </w:p>
        </w:tc>
        <w:tc>
          <w:tcPr>
            <w:tcW w:w="1200" w:type="dxa"/>
            <w:vAlign w:val="bottom"/>
          </w:tcPr>
          <w:p>
            <w:pPr>
              <w:ind w:left="1040"/>
              <w:spacing w:after="0"/>
              <w:rPr>
                <w:sz w:val="20"/>
                <w:szCs w:val="20"/>
                <w:color w:val="auto"/>
              </w:rPr>
            </w:pPr>
            <w:r>
              <w:rPr>
                <w:rFonts w:ascii="Arial" w:cs="Arial" w:eastAsia="Arial" w:hAnsi="Arial"/>
                <w:sz w:val="20"/>
                <w:szCs w:val="20"/>
                <w:color w:val="auto"/>
              </w:rPr>
              <w:t>·</w:t>
            </w:r>
          </w:p>
        </w:tc>
        <w:tc>
          <w:tcPr>
            <w:tcW w:w="2060" w:type="dxa"/>
            <w:vAlign w:val="bottom"/>
          </w:tcPr>
          <w:p>
            <w:pPr>
              <w:ind w:left="120"/>
              <w:spacing w:after="0"/>
              <w:rPr>
                <w:sz w:val="20"/>
                <w:szCs w:val="20"/>
                <w:color w:val="auto"/>
              </w:rPr>
            </w:pPr>
            <w:r>
              <w:rPr>
                <w:rFonts w:ascii="Arial" w:cs="Arial" w:eastAsia="Arial" w:hAnsi="Arial"/>
                <w:sz w:val="20"/>
                <w:szCs w:val="20"/>
                <w:color w:val="auto"/>
              </w:rPr>
              <w:t>Full Throttle®</w:t>
            </w:r>
          </w:p>
        </w:tc>
      </w:tr>
      <w:tr>
        <w:trPr>
          <w:trHeight w:val="230"/>
        </w:trPr>
        <w:tc>
          <w:tcPr>
            <w:tcW w:w="160" w:type="dxa"/>
            <w:vAlign w:val="bottom"/>
          </w:tcPr>
          <w:p>
            <w:pPr>
              <w:spacing w:after="0"/>
              <w:rPr>
                <w:sz w:val="20"/>
                <w:szCs w:val="20"/>
                <w:color w:val="auto"/>
              </w:rPr>
            </w:pPr>
            <w:r>
              <w:rPr>
                <w:rFonts w:ascii="Arial" w:cs="Arial" w:eastAsia="Arial" w:hAnsi="Arial"/>
                <w:sz w:val="20"/>
                <w:szCs w:val="20"/>
                <w:color w:val="auto"/>
              </w:rPr>
              <w:t>·</w:t>
            </w:r>
          </w:p>
        </w:tc>
        <w:tc>
          <w:tcPr>
            <w:tcW w:w="5420" w:type="dxa"/>
            <w:vAlign w:val="bottom"/>
          </w:tcPr>
          <w:p>
            <w:pPr>
              <w:ind w:left="120"/>
              <w:spacing w:after="0"/>
              <w:rPr>
                <w:sz w:val="20"/>
                <w:szCs w:val="20"/>
                <w:color w:val="auto"/>
              </w:rPr>
            </w:pPr>
            <w:r>
              <w:rPr>
                <w:rFonts w:ascii="Arial" w:cs="Arial" w:eastAsia="Arial" w:hAnsi="Arial"/>
                <w:sz w:val="20"/>
                <w:szCs w:val="20"/>
                <w:color w:val="auto"/>
              </w:rPr>
              <w:t>Java Monster®</w:t>
            </w:r>
          </w:p>
        </w:tc>
        <w:tc>
          <w:tcPr>
            <w:tcW w:w="1200" w:type="dxa"/>
            <w:vAlign w:val="bottom"/>
          </w:tcPr>
          <w:p>
            <w:pPr>
              <w:ind w:left="1040"/>
              <w:spacing w:after="0"/>
              <w:rPr>
                <w:sz w:val="20"/>
                <w:szCs w:val="20"/>
                <w:color w:val="auto"/>
              </w:rPr>
            </w:pPr>
            <w:r>
              <w:rPr>
                <w:rFonts w:ascii="Arial" w:cs="Arial" w:eastAsia="Arial" w:hAnsi="Arial"/>
                <w:sz w:val="20"/>
                <w:szCs w:val="20"/>
                <w:color w:val="auto"/>
              </w:rPr>
              <w:t>·</w:t>
            </w:r>
          </w:p>
        </w:tc>
        <w:tc>
          <w:tcPr>
            <w:tcW w:w="2060" w:type="dxa"/>
            <w:vAlign w:val="bottom"/>
          </w:tcPr>
          <w:p>
            <w:pPr>
              <w:ind w:left="120"/>
              <w:spacing w:after="0"/>
              <w:rPr>
                <w:sz w:val="20"/>
                <w:szCs w:val="20"/>
                <w:color w:val="auto"/>
              </w:rPr>
            </w:pPr>
            <w:r>
              <w:rPr>
                <w:rFonts w:ascii="Arial" w:cs="Arial" w:eastAsia="Arial" w:hAnsi="Arial"/>
                <w:sz w:val="20"/>
                <w:szCs w:val="20"/>
                <w:color w:val="auto"/>
              </w:rPr>
              <w:t>Burn®</w:t>
            </w:r>
          </w:p>
        </w:tc>
      </w:tr>
      <w:tr>
        <w:trPr>
          <w:trHeight w:val="230"/>
        </w:trPr>
        <w:tc>
          <w:tcPr>
            <w:tcW w:w="160" w:type="dxa"/>
            <w:vAlign w:val="bottom"/>
          </w:tcPr>
          <w:p>
            <w:pPr>
              <w:spacing w:after="0"/>
              <w:rPr>
                <w:sz w:val="20"/>
                <w:szCs w:val="20"/>
                <w:color w:val="auto"/>
              </w:rPr>
            </w:pPr>
            <w:r>
              <w:rPr>
                <w:rFonts w:ascii="Arial" w:cs="Arial" w:eastAsia="Arial" w:hAnsi="Arial"/>
                <w:sz w:val="20"/>
                <w:szCs w:val="20"/>
                <w:color w:val="auto"/>
              </w:rPr>
              <w:t>·</w:t>
            </w:r>
          </w:p>
        </w:tc>
        <w:tc>
          <w:tcPr>
            <w:tcW w:w="5420" w:type="dxa"/>
            <w:vAlign w:val="bottom"/>
          </w:tcPr>
          <w:p>
            <w:pPr>
              <w:ind w:left="120"/>
              <w:spacing w:after="0"/>
              <w:rPr>
                <w:sz w:val="20"/>
                <w:szCs w:val="20"/>
                <w:color w:val="auto"/>
              </w:rPr>
            </w:pPr>
            <w:r>
              <w:rPr>
                <w:rFonts w:ascii="Arial" w:cs="Arial" w:eastAsia="Arial" w:hAnsi="Arial"/>
                <w:sz w:val="20"/>
                <w:szCs w:val="20"/>
                <w:color w:val="auto"/>
              </w:rPr>
              <w:t>Muscle Monster®</w:t>
            </w:r>
          </w:p>
        </w:tc>
        <w:tc>
          <w:tcPr>
            <w:tcW w:w="1200" w:type="dxa"/>
            <w:vAlign w:val="bottom"/>
          </w:tcPr>
          <w:p>
            <w:pPr>
              <w:ind w:left="1040"/>
              <w:spacing w:after="0"/>
              <w:rPr>
                <w:sz w:val="20"/>
                <w:szCs w:val="20"/>
                <w:color w:val="auto"/>
              </w:rPr>
            </w:pPr>
            <w:r>
              <w:rPr>
                <w:rFonts w:ascii="Arial" w:cs="Arial" w:eastAsia="Arial" w:hAnsi="Arial"/>
                <w:sz w:val="20"/>
                <w:szCs w:val="20"/>
                <w:color w:val="auto"/>
              </w:rPr>
              <w:t>·</w:t>
            </w:r>
          </w:p>
        </w:tc>
        <w:tc>
          <w:tcPr>
            <w:tcW w:w="2060" w:type="dxa"/>
            <w:vAlign w:val="bottom"/>
          </w:tcPr>
          <w:p>
            <w:pPr>
              <w:ind w:left="120"/>
              <w:spacing w:after="0"/>
              <w:rPr>
                <w:sz w:val="20"/>
                <w:szCs w:val="20"/>
                <w:color w:val="auto"/>
              </w:rPr>
            </w:pPr>
            <w:r>
              <w:rPr>
                <w:rFonts w:ascii="Arial" w:cs="Arial" w:eastAsia="Arial" w:hAnsi="Arial"/>
                <w:sz w:val="20"/>
                <w:szCs w:val="20"/>
                <w:color w:val="auto"/>
              </w:rPr>
              <w:t>Mother®</w:t>
            </w:r>
          </w:p>
        </w:tc>
      </w:tr>
      <w:tr>
        <w:trPr>
          <w:trHeight w:val="230"/>
        </w:trPr>
        <w:tc>
          <w:tcPr>
            <w:tcW w:w="160" w:type="dxa"/>
            <w:vAlign w:val="bottom"/>
          </w:tcPr>
          <w:p>
            <w:pPr>
              <w:spacing w:after="0"/>
              <w:rPr>
                <w:sz w:val="20"/>
                <w:szCs w:val="20"/>
                <w:color w:val="auto"/>
              </w:rPr>
            </w:pPr>
            <w:r>
              <w:rPr>
                <w:rFonts w:ascii="Arial" w:cs="Arial" w:eastAsia="Arial" w:hAnsi="Arial"/>
                <w:sz w:val="20"/>
                <w:szCs w:val="20"/>
                <w:color w:val="auto"/>
              </w:rPr>
              <w:t>·</w:t>
            </w:r>
          </w:p>
        </w:tc>
        <w:tc>
          <w:tcPr>
            <w:tcW w:w="5420" w:type="dxa"/>
            <w:vAlign w:val="bottom"/>
          </w:tcPr>
          <w:p>
            <w:pPr>
              <w:ind w:left="120"/>
              <w:spacing w:after="0"/>
              <w:rPr>
                <w:sz w:val="20"/>
                <w:szCs w:val="20"/>
                <w:color w:val="auto"/>
              </w:rPr>
            </w:pPr>
            <w:r>
              <w:rPr>
                <w:rFonts w:ascii="Arial" w:cs="Arial" w:eastAsia="Arial" w:hAnsi="Arial"/>
                <w:sz w:val="20"/>
                <w:szCs w:val="20"/>
                <w:color w:val="auto"/>
              </w:rPr>
              <w:t>Mega Monster Energy®</w:t>
            </w:r>
          </w:p>
        </w:tc>
        <w:tc>
          <w:tcPr>
            <w:tcW w:w="1200" w:type="dxa"/>
            <w:vAlign w:val="bottom"/>
          </w:tcPr>
          <w:p>
            <w:pPr>
              <w:ind w:left="1040"/>
              <w:spacing w:after="0"/>
              <w:rPr>
                <w:sz w:val="20"/>
                <w:szCs w:val="20"/>
                <w:color w:val="auto"/>
              </w:rPr>
            </w:pPr>
            <w:r>
              <w:rPr>
                <w:rFonts w:ascii="Arial" w:cs="Arial" w:eastAsia="Arial" w:hAnsi="Arial"/>
                <w:sz w:val="20"/>
                <w:szCs w:val="20"/>
                <w:color w:val="auto"/>
              </w:rPr>
              <w:t>·</w:t>
            </w:r>
          </w:p>
        </w:tc>
        <w:tc>
          <w:tcPr>
            <w:tcW w:w="2060" w:type="dxa"/>
            <w:vAlign w:val="bottom"/>
          </w:tcPr>
          <w:p>
            <w:pPr>
              <w:ind w:left="120"/>
              <w:spacing w:after="0"/>
              <w:rPr>
                <w:sz w:val="20"/>
                <w:szCs w:val="20"/>
                <w:color w:val="auto"/>
              </w:rPr>
            </w:pPr>
            <w:r>
              <w:rPr>
                <w:rFonts w:ascii="Arial" w:cs="Arial" w:eastAsia="Arial" w:hAnsi="Arial"/>
                <w:sz w:val="20"/>
                <w:szCs w:val="20"/>
                <w:color w:val="auto"/>
              </w:rPr>
              <w:t>Ultra®</w:t>
            </w:r>
          </w:p>
        </w:tc>
      </w:tr>
      <w:tr>
        <w:trPr>
          <w:trHeight w:val="230"/>
        </w:trPr>
        <w:tc>
          <w:tcPr>
            <w:tcW w:w="160" w:type="dxa"/>
            <w:vAlign w:val="bottom"/>
          </w:tcPr>
          <w:p>
            <w:pPr>
              <w:spacing w:after="0"/>
              <w:rPr>
                <w:sz w:val="20"/>
                <w:szCs w:val="20"/>
                <w:color w:val="auto"/>
              </w:rPr>
            </w:pPr>
            <w:r>
              <w:rPr>
                <w:rFonts w:ascii="Arial" w:cs="Arial" w:eastAsia="Arial" w:hAnsi="Arial"/>
                <w:sz w:val="20"/>
                <w:szCs w:val="20"/>
                <w:color w:val="auto"/>
              </w:rPr>
              <w:t>·</w:t>
            </w:r>
          </w:p>
        </w:tc>
        <w:tc>
          <w:tcPr>
            <w:tcW w:w="5420" w:type="dxa"/>
            <w:vAlign w:val="bottom"/>
          </w:tcPr>
          <w:p>
            <w:pPr>
              <w:ind w:left="120"/>
              <w:spacing w:after="0"/>
              <w:rPr>
                <w:sz w:val="20"/>
                <w:szCs w:val="20"/>
                <w:color w:val="auto"/>
              </w:rPr>
            </w:pPr>
            <w:r>
              <w:rPr>
                <w:rFonts w:ascii="Arial" w:cs="Arial" w:eastAsia="Arial" w:hAnsi="Arial"/>
                <w:sz w:val="20"/>
                <w:szCs w:val="20"/>
                <w:color w:val="auto"/>
              </w:rPr>
              <w:t>Punch Monster®</w:t>
            </w:r>
          </w:p>
        </w:tc>
        <w:tc>
          <w:tcPr>
            <w:tcW w:w="3260" w:type="dxa"/>
            <w:vAlign w:val="bottom"/>
            <w:gridSpan w:val="2"/>
          </w:tcPr>
          <w:p>
            <w:pPr>
              <w:ind w:left="1040"/>
              <w:spacing w:after="0"/>
              <w:rPr>
                <w:sz w:val="20"/>
                <w:szCs w:val="20"/>
                <w:color w:val="auto"/>
              </w:rPr>
            </w:pPr>
            <w:r>
              <w:rPr>
                <w:rFonts w:ascii="Arial" w:cs="Arial" w:eastAsia="Arial" w:hAnsi="Arial"/>
                <w:sz w:val="20"/>
                <w:szCs w:val="20"/>
                <w:color w:val="auto"/>
                <w:w w:val="94"/>
              </w:rPr>
              <w:t>·  Play® and Power Play®</w:t>
            </w:r>
          </w:p>
        </w:tc>
      </w:tr>
      <w:tr>
        <w:trPr>
          <w:trHeight w:val="230"/>
        </w:trPr>
        <w:tc>
          <w:tcPr>
            <w:tcW w:w="160" w:type="dxa"/>
            <w:vAlign w:val="bottom"/>
          </w:tcPr>
          <w:p>
            <w:pPr>
              <w:spacing w:after="0"/>
              <w:rPr>
                <w:sz w:val="20"/>
                <w:szCs w:val="20"/>
                <w:color w:val="auto"/>
              </w:rPr>
            </w:pPr>
            <w:r>
              <w:rPr>
                <w:rFonts w:ascii="Arial" w:cs="Arial" w:eastAsia="Arial" w:hAnsi="Arial"/>
                <w:sz w:val="20"/>
                <w:szCs w:val="20"/>
                <w:color w:val="auto"/>
              </w:rPr>
              <w:t>·</w:t>
            </w:r>
          </w:p>
        </w:tc>
        <w:tc>
          <w:tcPr>
            <w:tcW w:w="5420" w:type="dxa"/>
            <w:vAlign w:val="bottom"/>
          </w:tcPr>
          <w:p>
            <w:pPr>
              <w:ind w:left="120"/>
              <w:spacing w:after="0"/>
              <w:rPr>
                <w:sz w:val="20"/>
                <w:szCs w:val="20"/>
                <w:color w:val="auto"/>
              </w:rPr>
            </w:pPr>
            <w:r>
              <w:rPr>
                <w:rFonts w:ascii="Arial" w:cs="Arial" w:eastAsia="Arial" w:hAnsi="Arial"/>
                <w:sz w:val="20"/>
                <w:szCs w:val="20"/>
                <w:color w:val="auto"/>
              </w:rPr>
              <w:t>Juice Monster®</w:t>
            </w:r>
          </w:p>
        </w:tc>
        <w:tc>
          <w:tcPr>
            <w:tcW w:w="1200" w:type="dxa"/>
            <w:vAlign w:val="bottom"/>
          </w:tcPr>
          <w:p>
            <w:pPr>
              <w:ind w:left="1040"/>
              <w:spacing w:after="0"/>
              <w:rPr>
                <w:sz w:val="20"/>
                <w:szCs w:val="20"/>
                <w:color w:val="auto"/>
              </w:rPr>
            </w:pPr>
            <w:r>
              <w:rPr>
                <w:rFonts w:ascii="Arial" w:cs="Arial" w:eastAsia="Arial" w:hAnsi="Arial"/>
                <w:sz w:val="20"/>
                <w:szCs w:val="20"/>
                <w:color w:val="auto"/>
              </w:rPr>
              <w:t>·</w:t>
            </w:r>
          </w:p>
        </w:tc>
        <w:tc>
          <w:tcPr>
            <w:tcW w:w="2060" w:type="dxa"/>
            <w:vAlign w:val="bottom"/>
          </w:tcPr>
          <w:p>
            <w:pPr>
              <w:ind w:left="120"/>
              <w:spacing w:after="0"/>
              <w:rPr>
                <w:sz w:val="20"/>
                <w:szCs w:val="20"/>
                <w:color w:val="auto"/>
              </w:rPr>
            </w:pPr>
            <w:r>
              <w:rPr>
                <w:rFonts w:ascii="Arial" w:cs="Arial" w:eastAsia="Arial" w:hAnsi="Arial"/>
                <w:sz w:val="20"/>
                <w:szCs w:val="20"/>
                <w:color w:val="auto"/>
              </w:rPr>
              <w:t>Gladiator®</w:t>
            </w:r>
          </w:p>
        </w:tc>
      </w:tr>
      <w:tr>
        <w:trPr>
          <w:trHeight w:val="230"/>
        </w:trPr>
        <w:tc>
          <w:tcPr>
            <w:tcW w:w="160" w:type="dxa"/>
            <w:vAlign w:val="bottom"/>
          </w:tcPr>
          <w:p>
            <w:pPr>
              <w:spacing w:after="0"/>
              <w:rPr>
                <w:sz w:val="20"/>
                <w:szCs w:val="20"/>
                <w:color w:val="auto"/>
              </w:rPr>
            </w:pPr>
            <w:r>
              <w:rPr>
                <w:rFonts w:ascii="Arial" w:cs="Arial" w:eastAsia="Arial" w:hAnsi="Arial"/>
                <w:sz w:val="20"/>
                <w:szCs w:val="20"/>
                <w:color w:val="auto"/>
              </w:rPr>
              <w:t>·</w:t>
            </w:r>
          </w:p>
        </w:tc>
        <w:tc>
          <w:tcPr>
            <w:tcW w:w="5420" w:type="dxa"/>
            <w:vAlign w:val="bottom"/>
          </w:tcPr>
          <w:p>
            <w:pPr>
              <w:ind w:left="120"/>
              <w:spacing w:after="0"/>
              <w:rPr>
                <w:sz w:val="20"/>
                <w:szCs w:val="20"/>
                <w:color w:val="auto"/>
              </w:rPr>
            </w:pPr>
            <w:r>
              <w:rPr>
                <w:rFonts w:ascii="Arial" w:cs="Arial" w:eastAsia="Arial" w:hAnsi="Arial"/>
                <w:sz w:val="20"/>
                <w:szCs w:val="20"/>
                <w:color w:val="auto"/>
              </w:rPr>
              <w:t>Übermonster®</w:t>
            </w:r>
          </w:p>
        </w:tc>
        <w:tc>
          <w:tcPr>
            <w:tcW w:w="1200" w:type="dxa"/>
            <w:vAlign w:val="bottom"/>
          </w:tcPr>
          <w:p>
            <w:pPr>
              <w:ind w:left="1040"/>
              <w:spacing w:after="0"/>
              <w:rPr>
                <w:sz w:val="20"/>
                <w:szCs w:val="20"/>
                <w:color w:val="auto"/>
              </w:rPr>
            </w:pPr>
            <w:r>
              <w:rPr>
                <w:rFonts w:ascii="Arial" w:cs="Arial" w:eastAsia="Arial" w:hAnsi="Arial"/>
                <w:sz w:val="20"/>
                <w:szCs w:val="20"/>
                <w:color w:val="auto"/>
              </w:rPr>
              <w:t>·</w:t>
            </w:r>
          </w:p>
        </w:tc>
        <w:tc>
          <w:tcPr>
            <w:tcW w:w="2060" w:type="dxa"/>
            <w:vAlign w:val="bottom"/>
          </w:tcPr>
          <w:p>
            <w:pPr>
              <w:ind w:left="120"/>
              <w:spacing w:after="0"/>
              <w:rPr>
                <w:sz w:val="20"/>
                <w:szCs w:val="20"/>
                <w:color w:val="auto"/>
              </w:rPr>
            </w:pPr>
            <w:r>
              <w:rPr>
                <w:rFonts w:ascii="Arial" w:cs="Arial" w:eastAsia="Arial" w:hAnsi="Arial"/>
                <w:sz w:val="20"/>
                <w:szCs w:val="20"/>
                <w:color w:val="auto"/>
              </w:rPr>
              <w:t>Relentless®</w:t>
            </w:r>
          </w:p>
        </w:tc>
      </w:tr>
      <w:tr>
        <w:trPr>
          <w:trHeight w:val="230"/>
        </w:trPr>
        <w:tc>
          <w:tcPr>
            <w:tcW w:w="160" w:type="dxa"/>
            <w:vAlign w:val="bottom"/>
          </w:tcPr>
          <w:p>
            <w:pPr>
              <w:spacing w:after="0"/>
              <w:rPr>
                <w:sz w:val="20"/>
                <w:szCs w:val="20"/>
                <w:color w:val="auto"/>
              </w:rPr>
            </w:pPr>
            <w:r>
              <w:rPr>
                <w:rFonts w:ascii="Arial" w:cs="Arial" w:eastAsia="Arial" w:hAnsi="Arial"/>
                <w:sz w:val="20"/>
                <w:szCs w:val="20"/>
                <w:color w:val="auto"/>
              </w:rPr>
              <w:t>·</w:t>
            </w:r>
          </w:p>
        </w:tc>
        <w:tc>
          <w:tcPr>
            <w:tcW w:w="5420" w:type="dxa"/>
            <w:vAlign w:val="bottom"/>
          </w:tcPr>
          <w:p>
            <w:pPr>
              <w:ind w:left="120"/>
              <w:spacing w:after="0"/>
              <w:rPr>
                <w:sz w:val="20"/>
                <w:szCs w:val="20"/>
                <w:color w:val="auto"/>
              </w:rPr>
            </w:pPr>
            <w:r>
              <w:rPr>
                <w:rFonts w:ascii="Arial" w:cs="Arial" w:eastAsia="Arial" w:hAnsi="Arial"/>
                <w:sz w:val="20"/>
                <w:szCs w:val="20"/>
                <w:color w:val="auto"/>
              </w:rPr>
              <w:t>BU®</w:t>
            </w:r>
          </w:p>
        </w:tc>
        <w:tc>
          <w:tcPr>
            <w:tcW w:w="1200" w:type="dxa"/>
            <w:vAlign w:val="bottom"/>
          </w:tcPr>
          <w:p>
            <w:pPr>
              <w:ind w:left="1040"/>
              <w:spacing w:after="0"/>
              <w:rPr>
                <w:sz w:val="20"/>
                <w:szCs w:val="20"/>
                <w:color w:val="auto"/>
              </w:rPr>
            </w:pPr>
            <w:r>
              <w:rPr>
                <w:rFonts w:ascii="Arial" w:cs="Arial" w:eastAsia="Arial" w:hAnsi="Arial"/>
                <w:sz w:val="20"/>
                <w:szCs w:val="20"/>
                <w:color w:val="auto"/>
              </w:rPr>
              <w:t>·</w:t>
            </w:r>
          </w:p>
        </w:tc>
        <w:tc>
          <w:tcPr>
            <w:tcW w:w="2060" w:type="dxa"/>
            <w:vAlign w:val="bottom"/>
          </w:tcPr>
          <w:p>
            <w:pPr>
              <w:ind w:left="120"/>
              <w:spacing w:after="0"/>
              <w:rPr>
                <w:sz w:val="20"/>
                <w:szCs w:val="20"/>
                <w:color w:val="auto"/>
              </w:rPr>
            </w:pPr>
            <w:r>
              <w:rPr>
                <w:rFonts w:ascii="Arial" w:cs="Arial" w:eastAsia="Arial" w:hAnsi="Arial"/>
                <w:sz w:val="20"/>
                <w:szCs w:val="20"/>
                <w:color w:val="auto"/>
              </w:rPr>
              <w:t>Samurai®</w:t>
            </w:r>
          </w:p>
        </w:tc>
      </w:tr>
      <w:tr>
        <w:trPr>
          <w:trHeight w:val="230"/>
        </w:trPr>
        <w:tc>
          <w:tcPr>
            <w:tcW w:w="160" w:type="dxa"/>
            <w:vAlign w:val="bottom"/>
          </w:tcPr>
          <w:p>
            <w:pPr>
              <w:spacing w:after="0"/>
              <w:rPr>
                <w:sz w:val="20"/>
                <w:szCs w:val="20"/>
                <w:color w:val="auto"/>
              </w:rPr>
            </w:pPr>
            <w:r>
              <w:rPr>
                <w:rFonts w:ascii="Arial" w:cs="Arial" w:eastAsia="Arial" w:hAnsi="Arial"/>
                <w:sz w:val="20"/>
                <w:szCs w:val="20"/>
                <w:color w:val="auto"/>
              </w:rPr>
              <w:t>·</w:t>
            </w:r>
          </w:p>
        </w:tc>
        <w:tc>
          <w:tcPr>
            <w:tcW w:w="5420" w:type="dxa"/>
            <w:vAlign w:val="bottom"/>
          </w:tcPr>
          <w:p>
            <w:pPr>
              <w:ind w:left="120"/>
              <w:spacing w:after="0"/>
              <w:rPr>
                <w:sz w:val="20"/>
                <w:szCs w:val="20"/>
                <w:color w:val="auto"/>
              </w:rPr>
            </w:pPr>
            <w:r>
              <w:rPr>
                <w:rFonts w:ascii="Arial" w:cs="Arial" w:eastAsia="Arial" w:hAnsi="Arial"/>
                <w:sz w:val="20"/>
                <w:szCs w:val="20"/>
                <w:color w:val="auto"/>
              </w:rPr>
              <w:t>Mutant® Super Soda</w:t>
            </w:r>
          </w:p>
        </w:tc>
        <w:tc>
          <w:tcPr>
            <w:tcW w:w="1200" w:type="dxa"/>
            <w:vAlign w:val="bottom"/>
          </w:tcPr>
          <w:p>
            <w:pPr>
              <w:ind w:left="1040"/>
              <w:spacing w:after="0"/>
              <w:rPr>
                <w:sz w:val="20"/>
                <w:szCs w:val="20"/>
                <w:color w:val="auto"/>
              </w:rPr>
            </w:pPr>
            <w:r>
              <w:rPr>
                <w:rFonts w:ascii="Arial" w:cs="Arial" w:eastAsia="Arial" w:hAnsi="Arial"/>
                <w:sz w:val="20"/>
                <w:szCs w:val="20"/>
                <w:color w:val="auto"/>
              </w:rPr>
              <w:t>·</w:t>
            </w:r>
          </w:p>
        </w:tc>
        <w:tc>
          <w:tcPr>
            <w:tcW w:w="2060" w:type="dxa"/>
            <w:vAlign w:val="bottom"/>
          </w:tcPr>
          <w:p>
            <w:pPr>
              <w:ind w:left="120"/>
              <w:spacing w:after="0"/>
              <w:rPr>
                <w:sz w:val="20"/>
                <w:szCs w:val="20"/>
                <w:color w:val="auto"/>
              </w:rPr>
            </w:pPr>
            <w:r>
              <w:rPr>
                <w:rFonts w:ascii="Arial" w:cs="Arial" w:eastAsia="Arial" w:hAnsi="Arial"/>
                <w:sz w:val="20"/>
                <w:szCs w:val="20"/>
                <w:color w:val="auto"/>
              </w:rPr>
              <w:t>BPM®</w:t>
            </w:r>
          </w:p>
        </w:tc>
      </w:tr>
      <w:tr>
        <w:trPr>
          <w:trHeight w:val="246"/>
        </w:trPr>
        <w:tc>
          <w:tcPr>
            <w:tcW w:w="160" w:type="dxa"/>
            <w:vAlign w:val="bottom"/>
          </w:tcPr>
          <w:p>
            <w:pPr>
              <w:spacing w:after="0"/>
              <w:rPr>
                <w:sz w:val="20"/>
                <w:szCs w:val="20"/>
                <w:color w:val="auto"/>
              </w:rPr>
            </w:pPr>
            <w:r>
              <w:rPr>
                <w:rFonts w:ascii="Arial" w:cs="Arial" w:eastAsia="Arial" w:hAnsi="Arial"/>
                <w:sz w:val="20"/>
                <w:szCs w:val="20"/>
                <w:color w:val="auto"/>
              </w:rPr>
              <w:t>·</w:t>
            </w:r>
          </w:p>
        </w:tc>
        <w:tc>
          <w:tcPr>
            <w:tcW w:w="5420" w:type="dxa"/>
            <w:vAlign w:val="bottom"/>
          </w:tcPr>
          <w:p>
            <w:pPr>
              <w:ind w:left="120"/>
              <w:spacing w:after="0"/>
              <w:rPr>
                <w:sz w:val="20"/>
                <w:szCs w:val="20"/>
                <w:color w:val="auto"/>
              </w:rPr>
            </w:pPr>
            <w:r>
              <w:rPr>
                <w:rFonts w:ascii="Arial" w:cs="Arial" w:eastAsia="Arial" w:hAnsi="Arial"/>
                <w:sz w:val="20"/>
                <w:szCs w:val="20"/>
                <w:color w:val="auto"/>
              </w:rPr>
              <w:t>Monster Hydro</w:t>
            </w:r>
            <w:r>
              <w:rPr>
                <w:rFonts w:ascii="Arial" w:cs="Arial" w:eastAsia="Arial" w:hAnsi="Arial"/>
                <w:sz w:val="12"/>
                <w:szCs w:val="12"/>
                <w:color w:val="auto"/>
              </w:rPr>
              <w:t>TM</w:t>
            </w:r>
          </w:p>
        </w:tc>
        <w:tc>
          <w:tcPr>
            <w:tcW w:w="1200" w:type="dxa"/>
            <w:vAlign w:val="bottom"/>
          </w:tcPr>
          <w:p>
            <w:pPr>
              <w:ind w:left="1040"/>
              <w:spacing w:after="0"/>
              <w:rPr>
                <w:sz w:val="20"/>
                <w:szCs w:val="20"/>
                <w:color w:val="auto"/>
              </w:rPr>
            </w:pPr>
            <w:r>
              <w:rPr>
                <w:rFonts w:ascii="Arial" w:cs="Arial" w:eastAsia="Arial" w:hAnsi="Arial"/>
                <w:sz w:val="20"/>
                <w:szCs w:val="20"/>
                <w:color w:val="auto"/>
              </w:rPr>
              <w:t>·</w:t>
            </w:r>
          </w:p>
        </w:tc>
        <w:tc>
          <w:tcPr>
            <w:tcW w:w="2060" w:type="dxa"/>
            <w:vAlign w:val="bottom"/>
          </w:tcPr>
          <w:p>
            <w:pPr>
              <w:ind w:left="120"/>
              <w:spacing w:after="0"/>
              <w:rPr>
                <w:sz w:val="20"/>
                <w:szCs w:val="20"/>
                <w:color w:val="auto"/>
              </w:rPr>
            </w:pPr>
            <w:r>
              <w:rPr>
                <w:rFonts w:ascii="Arial" w:cs="Arial" w:eastAsia="Arial" w:hAnsi="Arial"/>
                <w:sz w:val="20"/>
                <w:szCs w:val="20"/>
                <w:color w:val="auto"/>
                <w:w w:val="94"/>
              </w:rPr>
              <w:t>Monster Energy Ultra®</w:t>
            </w:r>
          </w:p>
        </w:tc>
      </w:tr>
    </w:tbl>
    <w:p>
      <w:pPr>
        <w:ind w:left="420" w:hanging="282"/>
        <w:spacing w:after="0"/>
        <w:tabs>
          <w:tab w:leader="none" w:pos="4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Espresso Monster</w:t>
      </w:r>
      <w:r>
        <w:rPr>
          <w:rFonts w:ascii="Arial" w:cs="Arial" w:eastAsia="Arial" w:hAnsi="Arial"/>
          <w:sz w:val="12"/>
          <w:szCs w:val="12"/>
          <w:color w:val="auto"/>
        </w:rPr>
        <w:t>TM</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Our Monster Energy® brand energy drinks, which represented 90.5% and 89.8% of our net sales for the three-months ended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September 30, 2017 and 2016, respectively, primarily include the following:</w:t>
      </w:r>
    </w:p>
    <w:p>
      <w:pPr>
        <w:sectPr>
          <w:pgSz w:w="11900" w:h="16860" w:orient="portrait"/>
          <w:cols w:equalWidth="0" w:num="1">
            <w:col w:w="11420"/>
          </w:cols>
          <w:pgMar w:left="240" w:top="122" w:right="239" w:bottom="0" w:gutter="0" w:footer="0" w:header="0"/>
        </w:sectPr>
      </w:pPr>
    </w:p>
    <w:p>
      <w:pPr>
        <w:spacing w:after="0" w:line="213" w:lineRule="exact"/>
        <w:rPr>
          <w:sz w:val="20"/>
          <w:szCs w:val="20"/>
          <w:color w:val="auto"/>
        </w:rPr>
      </w:pPr>
    </w:p>
    <w:p>
      <w:pPr>
        <w:ind w:left="140"/>
        <w:spacing w:after="0"/>
        <w:tabs>
          <w:tab w:leader="none" w:pos="400" w:val="left"/>
        </w:tabs>
        <w:rPr>
          <w:sz w:val="20"/>
          <w:szCs w:val="20"/>
          <w:color w:val="auto"/>
        </w:rPr>
      </w:pPr>
      <w:r>
        <w:rPr>
          <w:rFonts w:ascii="Arial" w:cs="Arial" w:eastAsia="Arial" w:hAnsi="Arial"/>
          <w:sz w:val="20"/>
          <w:szCs w:val="20"/>
          <w:color w:val="auto"/>
        </w:rPr>
        <w:t>·</w:t>
        <w:tab/>
        <w:t>Monster Energy®</w:t>
      </w:r>
    </w:p>
    <w:p>
      <w:pPr>
        <w:spacing w:after="0" w:line="16" w:lineRule="exact"/>
        <w:rPr>
          <w:sz w:val="20"/>
          <w:szCs w:val="20"/>
          <w:color w:val="auto"/>
        </w:rPr>
      </w:pPr>
    </w:p>
    <w:p>
      <w:pPr>
        <w:ind w:left="140"/>
        <w:spacing w:after="0"/>
        <w:tabs>
          <w:tab w:leader="none" w:pos="400" w:val="left"/>
        </w:tabs>
        <w:rPr>
          <w:sz w:val="20"/>
          <w:szCs w:val="20"/>
          <w:color w:val="auto"/>
        </w:rPr>
      </w:pPr>
      <w:r>
        <w:rPr>
          <w:rFonts w:ascii="Arial" w:cs="Arial" w:eastAsia="Arial" w:hAnsi="Arial"/>
          <w:sz w:val="18"/>
          <w:szCs w:val="18"/>
          <w:color w:val="auto"/>
        </w:rPr>
        <w:t>·</w:t>
        <w:tab/>
        <w:t>Lo-Carb Monster Energy®</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tab/>
        <w:t>Java Monster® Kona Blend</w:t>
      </w:r>
    </w:p>
    <w:p>
      <w:pPr>
        <w:spacing w:after="0" w:line="39"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tab/>
        <w:t>Java Monster® Loca Moca®</w:t>
      </w:r>
    </w:p>
    <w:p>
      <w:pPr>
        <w:sectPr>
          <w:pgSz w:w="11900" w:h="16860" w:orient="portrait"/>
          <w:cols w:equalWidth="0" w:num="2">
            <w:col w:w="6060" w:space="720"/>
            <w:col w:w="4640"/>
          </w:cols>
          <w:pgMar w:left="240" w:top="122" w:right="239" w:bottom="0" w:gutter="0" w:footer="0" w:header="0"/>
          <w:type w:val="continuous"/>
        </w:sectPr>
      </w:pPr>
    </w:p>
    <w:bookmarkStart w:id="19" w:name="page20"/>
    <w:bookmarkEnd w:id="19"/>
    <w:tbl>
      <w:tblPr>
        <w:tblLayout w:type="fixed"/>
        <w:tblInd w:w="140" w:type="dxa"/>
        <w:tblCellMar>
          <w:top w:w="0" w:type="dxa"/>
          <w:left w:w="0" w:type="dxa"/>
          <w:bottom w:w="0" w:type="dxa"/>
          <w:right w:w="0" w:type="dxa"/>
        </w:tblCellMar>
      </w:tblPr>
      <w:tr>
        <w:trPr>
          <w:trHeight w:val="231"/>
        </w:trPr>
        <w:tc>
          <w:tcPr>
            <w:tcW w:w="160" w:type="dxa"/>
            <w:vAlign w:val="bottom"/>
          </w:tcPr>
          <w:p>
            <w:pPr>
              <w:spacing w:after="0"/>
              <w:rPr>
                <w:sz w:val="20"/>
                <w:szCs w:val="20"/>
                <w:color w:val="auto"/>
              </w:rPr>
            </w:pPr>
            <w:r>
              <w:rPr>
                <w:rFonts w:ascii="Arial" w:cs="Arial" w:eastAsia="Arial" w:hAnsi="Arial"/>
                <w:sz w:val="20"/>
                <w:szCs w:val="20"/>
                <w:color w:val="auto"/>
              </w:rPr>
              <w:t>·</w:t>
            </w:r>
          </w:p>
        </w:tc>
        <w:tc>
          <w:tcPr>
            <w:tcW w:w="5620" w:type="dxa"/>
            <w:vAlign w:val="bottom"/>
          </w:tcPr>
          <w:p>
            <w:pPr>
              <w:ind w:left="120"/>
              <w:spacing w:after="0"/>
              <w:rPr>
                <w:sz w:val="20"/>
                <w:szCs w:val="20"/>
                <w:color w:val="auto"/>
              </w:rPr>
            </w:pPr>
            <w:r>
              <w:rPr>
                <w:rFonts w:ascii="Arial" w:cs="Arial" w:eastAsia="Arial" w:hAnsi="Arial"/>
                <w:sz w:val="20"/>
                <w:szCs w:val="20"/>
                <w:color w:val="auto"/>
              </w:rPr>
              <w:t>Monster Assault®</w:t>
            </w:r>
          </w:p>
        </w:tc>
        <w:tc>
          <w:tcPr>
            <w:tcW w:w="5380" w:type="dxa"/>
            <w:vAlign w:val="bottom"/>
            <w:gridSpan w:val="2"/>
          </w:tcPr>
          <w:p>
            <w:pPr>
              <w:ind w:left="860"/>
              <w:spacing w:after="0"/>
              <w:rPr>
                <w:sz w:val="20"/>
                <w:szCs w:val="20"/>
                <w:color w:val="auto"/>
              </w:rPr>
            </w:pPr>
            <w:r>
              <w:rPr>
                <w:rFonts w:ascii="Arial" w:cs="Arial" w:eastAsia="Arial" w:hAnsi="Arial"/>
                <w:sz w:val="20"/>
                <w:szCs w:val="20"/>
                <w:color w:val="auto"/>
              </w:rPr>
              <w:t>·  Java Monster® Mean Bean®</w:t>
            </w:r>
          </w:p>
        </w:tc>
      </w:tr>
      <w:tr>
        <w:trPr>
          <w:trHeight w:val="230"/>
        </w:trPr>
        <w:tc>
          <w:tcPr>
            <w:tcW w:w="160" w:type="dxa"/>
            <w:vAlign w:val="bottom"/>
          </w:tcPr>
          <w:p>
            <w:pPr>
              <w:spacing w:after="0"/>
              <w:rPr>
                <w:sz w:val="20"/>
                <w:szCs w:val="20"/>
                <w:color w:val="auto"/>
              </w:rPr>
            </w:pPr>
            <w:r>
              <w:rPr>
                <w:rFonts w:ascii="Arial" w:cs="Arial" w:eastAsia="Arial" w:hAnsi="Arial"/>
                <w:sz w:val="20"/>
                <w:szCs w:val="20"/>
                <w:color w:val="auto"/>
              </w:rPr>
              <w:t>·</w:t>
            </w:r>
          </w:p>
        </w:tc>
        <w:tc>
          <w:tcPr>
            <w:tcW w:w="5620" w:type="dxa"/>
            <w:vAlign w:val="bottom"/>
          </w:tcPr>
          <w:p>
            <w:pPr>
              <w:ind w:left="120"/>
              <w:spacing w:after="0"/>
              <w:rPr>
                <w:sz w:val="20"/>
                <w:szCs w:val="20"/>
                <w:color w:val="auto"/>
              </w:rPr>
            </w:pPr>
            <w:r>
              <w:rPr>
                <w:rFonts w:ascii="Arial" w:cs="Arial" w:eastAsia="Arial" w:hAnsi="Arial"/>
                <w:sz w:val="20"/>
                <w:szCs w:val="20"/>
                <w:color w:val="auto"/>
              </w:rPr>
              <w:t>Juice Monster® Khaos®</w:t>
            </w:r>
          </w:p>
        </w:tc>
        <w:tc>
          <w:tcPr>
            <w:tcW w:w="5380" w:type="dxa"/>
            <w:vAlign w:val="bottom"/>
            <w:gridSpan w:val="2"/>
          </w:tcPr>
          <w:p>
            <w:pPr>
              <w:ind w:left="860"/>
              <w:spacing w:after="0"/>
              <w:rPr>
                <w:sz w:val="20"/>
                <w:szCs w:val="20"/>
                <w:color w:val="auto"/>
              </w:rPr>
            </w:pPr>
            <w:r>
              <w:rPr>
                <w:rFonts w:ascii="Arial" w:cs="Arial" w:eastAsia="Arial" w:hAnsi="Arial"/>
                <w:sz w:val="20"/>
                <w:szCs w:val="20"/>
                <w:color w:val="auto"/>
              </w:rPr>
              <w:t>·  Java Monster® Vanilla Light</w:t>
            </w:r>
          </w:p>
        </w:tc>
      </w:tr>
      <w:tr>
        <w:trPr>
          <w:trHeight w:val="230"/>
        </w:trPr>
        <w:tc>
          <w:tcPr>
            <w:tcW w:w="160" w:type="dxa"/>
            <w:vAlign w:val="bottom"/>
          </w:tcPr>
          <w:p>
            <w:pPr>
              <w:spacing w:after="0"/>
              <w:rPr>
                <w:sz w:val="20"/>
                <w:szCs w:val="20"/>
                <w:color w:val="auto"/>
              </w:rPr>
            </w:pPr>
            <w:r>
              <w:rPr>
                <w:rFonts w:ascii="Arial" w:cs="Arial" w:eastAsia="Arial" w:hAnsi="Arial"/>
                <w:sz w:val="20"/>
                <w:szCs w:val="20"/>
                <w:color w:val="auto"/>
              </w:rPr>
              <w:t>·</w:t>
            </w:r>
          </w:p>
        </w:tc>
        <w:tc>
          <w:tcPr>
            <w:tcW w:w="5620" w:type="dxa"/>
            <w:vAlign w:val="bottom"/>
          </w:tcPr>
          <w:p>
            <w:pPr>
              <w:ind w:left="120"/>
              <w:spacing w:after="0"/>
              <w:rPr>
                <w:sz w:val="20"/>
                <w:szCs w:val="20"/>
                <w:color w:val="auto"/>
              </w:rPr>
            </w:pPr>
            <w:r>
              <w:rPr>
                <w:rFonts w:ascii="Arial" w:cs="Arial" w:eastAsia="Arial" w:hAnsi="Arial"/>
                <w:sz w:val="20"/>
                <w:szCs w:val="20"/>
                <w:color w:val="auto"/>
              </w:rPr>
              <w:t>Juice Monster® Ripper®</w:t>
            </w:r>
          </w:p>
        </w:tc>
        <w:tc>
          <w:tcPr>
            <w:tcW w:w="5380" w:type="dxa"/>
            <w:vAlign w:val="bottom"/>
            <w:gridSpan w:val="2"/>
          </w:tcPr>
          <w:p>
            <w:pPr>
              <w:ind w:left="860"/>
              <w:spacing w:after="0"/>
              <w:rPr>
                <w:sz w:val="20"/>
                <w:szCs w:val="20"/>
                <w:color w:val="auto"/>
              </w:rPr>
            </w:pPr>
            <w:r>
              <w:rPr>
                <w:rFonts w:ascii="Arial" w:cs="Arial" w:eastAsia="Arial" w:hAnsi="Arial"/>
                <w:sz w:val="20"/>
                <w:szCs w:val="20"/>
                <w:color w:val="auto"/>
              </w:rPr>
              <w:t>·  Java Monster® Irish Blend®</w:t>
            </w:r>
          </w:p>
        </w:tc>
      </w:tr>
      <w:tr>
        <w:trPr>
          <w:trHeight w:val="230"/>
        </w:trPr>
        <w:tc>
          <w:tcPr>
            <w:tcW w:w="5780" w:type="dxa"/>
            <w:vAlign w:val="bottom"/>
            <w:gridSpan w:val="2"/>
          </w:tcPr>
          <w:p>
            <w:pPr>
              <w:spacing w:after="0"/>
              <w:rPr>
                <w:sz w:val="20"/>
                <w:szCs w:val="20"/>
                <w:color w:val="auto"/>
              </w:rPr>
            </w:pPr>
            <w:r>
              <w:rPr>
                <w:rFonts w:ascii="Arial" w:cs="Arial" w:eastAsia="Arial" w:hAnsi="Arial"/>
                <w:sz w:val="20"/>
                <w:szCs w:val="20"/>
                <w:color w:val="auto"/>
              </w:rPr>
              <w:t>·  Juice Monster® Pipeline Punch®</w:t>
            </w:r>
          </w:p>
        </w:tc>
        <w:tc>
          <w:tcPr>
            <w:tcW w:w="5380" w:type="dxa"/>
            <w:vAlign w:val="bottom"/>
            <w:gridSpan w:val="2"/>
          </w:tcPr>
          <w:p>
            <w:pPr>
              <w:ind w:left="860"/>
              <w:spacing w:after="0"/>
              <w:rPr>
                <w:sz w:val="20"/>
                <w:szCs w:val="20"/>
                <w:color w:val="auto"/>
              </w:rPr>
            </w:pPr>
            <w:r>
              <w:rPr>
                <w:rFonts w:ascii="Arial" w:cs="Arial" w:eastAsia="Arial" w:hAnsi="Arial"/>
                <w:sz w:val="20"/>
                <w:szCs w:val="20"/>
                <w:color w:val="auto"/>
              </w:rPr>
              <w:t>·  Java Monster® Salted Caramel</w:t>
            </w:r>
          </w:p>
        </w:tc>
      </w:tr>
      <w:tr>
        <w:trPr>
          <w:trHeight w:val="230"/>
        </w:trPr>
        <w:tc>
          <w:tcPr>
            <w:tcW w:w="5780" w:type="dxa"/>
            <w:vAlign w:val="bottom"/>
            <w:gridSpan w:val="2"/>
          </w:tcPr>
          <w:p>
            <w:pPr>
              <w:spacing w:after="0"/>
              <w:rPr>
                <w:sz w:val="20"/>
                <w:szCs w:val="20"/>
                <w:color w:val="auto"/>
              </w:rPr>
            </w:pPr>
            <w:r>
              <w:rPr>
                <w:rFonts w:ascii="Arial" w:cs="Arial" w:eastAsia="Arial" w:hAnsi="Arial"/>
                <w:sz w:val="20"/>
                <w:szCs w:val="20"/>
                <w:color w:val="auto"/>
              </w:rPr>
              <w:t>·  Juice Monster® Mango Loco</w:t>
            </w:r>
          </w:p>
        </w:tc>
        <w:tc>
          <w:tcPr>
            <w:tcW w:w="1020" w:type="dxa"/>
            <w:vAlign w:val="bottom"/>
          </w:tcPr>
          <w:p>
            <w:pPr>
              <w:ind w:left="860"/>
              <w:spacing w:after="0"/>
              <w:rPr>
                <w:sz w:val="20"/>
                <w:szCs w:val="20"/>
                <w:color w:val="auto"/>
              </w:rPr>
            </w:pPr>
            <w:r>
              <w:rPr>
                <w:rFonts w:ascii="Arial" w:cs="Arial" w:eastAsia="Arial" w:hAnsi="Arial"/>
                <w:sz w:val="20"/>
                <w:szCs w:val="20"/>
                <w:color w:val="auto"/>
              </w:rPr>
              <w:t>·</w:t>
            </w:r>
          </w:p>
        </w:tc>
        <w:tc>
          <w:tcPr>
            <w:tcW w:w="4360" w:type="dxa"/>
            <w:vAlign w:val="bottom"/>
          </w:tcPr>
          <w:p>
            <w:pPr>
              <w:ind w:left="120"/>
              <w:spacing w:after="0"/>
              <w:rPr>
                <w:sz w:val="20"/>
                <w:szCs w:val="20"/>
                <w:color w:val="auto"/>
              </w:rPr>
            </w:pPr>
            <w:r>
              <w:rPr>
                <w:rFonts w:ascii="Arial" w:cs="Arial" w:eastAsia="Arial" w:hAnsi="Arial"/>
                <w:sz w:val="20"/>
                <w:szCs w:val="20"/>
                <w:color w:val="auto"/>
              </w:rPr>
              <w:t>Mega Monster Energy®</w:t>
            </w:r>
          </w:p>
        </w:tc>
      </w:tr>
      <w:tr>
        <w:trPr>
          <w:trHeight w:val="230"/>
        </w:trPr>
        <w:tc>
          <w:tcPr>
            <w:tcW w:w="160" w:type="dxa"/>
            <w:vAlign w:val="bottom"/>
          </w:tcPr>
          <w:p>
            <w:pPr>
              <w:spacing w:after="0"/>
              <w:rPr>
                <w:sz w:val="20"/>
                <w:szCs w:val="20"/>
                <w:color w:val="auto"/>
              </w:rPr>
            </w:pPr>
            <w:r>
              <w:rPr>
                <w:rFonts w:ascii="Arial" w:cs="Arial" w:eastAsia="Arial" w:hAnsi="Arial"/>
                <w:sz w:val="20"/>
                <w:szCs w:val="20"/>
                <w:color w:val="auto"/>
              </w:rPr>
              <w:t>·</w:t>
            </w:r>
          </w:p>
        </w:tc>
        <w:tc>
          <w:tcPr>
            <w:tcW w:w="5620" w:type="dxa"/>
            <w:vAlign w:val="bottom"/>
          </w:tcPr>
          <w:p>
            <w:pPr>
              <w:ind w:left="120"/>
              <w:spacing w:after="0"/>
              <w:rPr>
                <w:sz w:val="20"/>
                <w:szCs w:val="20"/>
                <w:color w:val="auto"/>
              </w:rPr>
            </w:pPr>
            <w:r>
              <w:rPr>
                <w:rFonts w:ascii="Arial" w:cs="Arial" w:eastAsia="Arial" w:hAnsi="Arial"/>
                <w:sz w:val="20"/>
                <w:szCs w:val="20"/>
                <w:color w:val="auto"/>
              </w:rPr>
              <w:t>Monster Energy® Import</w:t>
            </w:r>
          </w:p>
        </w:tc>
        <w:tc>
          <w:tcPr>
            <w:tcW w:w="5380" w:type="dxa"/>
            <w:vAlign w:val="bottom"/>
            <w:gridSpan w:val="2"/>
          </w:tcPr>
          <w:p>
            <w:pPr>
              <w:ind w:left="860"/>
              <w:spacing w:after="0"/>
              <w:rPr>
                <w:sz w:val="20"/>
                <w:szCs w:val="20"/>
                <w:color w:val="auto"/>
              </w:rPr>
            </w:pPr>
            <w:r>
              <w:rPr>
                <w:rFonts w:ascii="Arial" w:cs="Arial" w:eastAsia="Arial" w:hAnsi="Arial"/>
                <w:sz w:val="20"/>
                <w:szCs w:val="20"/>
                <w:color w:val="auto"/>
                <w:w w:val="92"/>
              </w:rPr>
              <w:t>·  Monster Energy Extra Strength Nitrous Technology®</w:t>
            </w:r>
          </w:p>
        </w:tc>
      </w:tr>
      <w:tr>
        <w:trPr>
          <w:trHeight w:val="230"/>
        </w:trPr>
        <w:tc>
          <w:tcPr>
            <w:tcW w:w="5780" w:type="dxa"/>
            <w:vAlign w:val="bottom"/>
            <w:gridSpan w:val="2"/>
          </w:tcPr>
          <w:p>
            <w:pPr>
              <w:spacing w:after="0"/>
              <w:rPr>
                <w:sz w:val="20"/>
                <w:szCs w:val="20"/>
                <w:color w:val="auto"/>
              </w:rPr>
            </w:pPr>
            <w:r>
              <w:rPr>
                <w:rFonts w:ascii="Arial" w:cs="Arial" w:eastAsia="Arial" w:hAnsi="Arial"/>
                <w:sz w:val="20"/>
                <w:szCs w:val="20"/>
                <w:color w:val="auto"/>
              </w:rPr>
              <w:t>·  Punch Monster® Baller’s Blend® (formerly Dub Edition)</w:t>
            </w:r>
          </w:p>
        </w:tc>
        <w:tc>
          <w:tcPr>
            <w:tcW w:w="1020" w:type="dxa"/>
            <w:vAlign w:val="bottom"/>
          </w:tcPr>
          <w:p>
            <w:pPr>
              <w:spacing w:after="0"/>
              <w:rPr>
                <w:sz w:val="19"/>
                <w:szCs w:val="19"/>
                <w:color w:val="auto"/>
              </w:rPr>
            </w:pPr>
          </w:p>
        </w:tc>
        <w:tc>
          <w:tcPr>
            <w:tcW w:w="4360" w:type="dxa"/>
            <w:vAlign w:val="bottom"/>
          </w:tcPr>
          <w:p>
            <w:pPr>
              <w:ind w:left="160"/>
              <w:spacing w:after="0"/>
              <w:rPr>
                <w:sz w:val="20"/>
                <w:szCs w:val="20"/>
                <w:color w:val="auto"/>
              </w:rPr>
            </w:pPr>
            <w:r>
              <w:rPr>
                <w:rFonts w:ascii="Arial" w:cs="Arial" w:eastAsia="Arial" w:hAnsi="Arial"/>
                <w:sz w:val="20"/>
                <w:szCs w:val="20"/>
                <w:color w:val="auto"/>
              </w:rPr>
              <w:t>Super Dry™</w:t>
            </w:r>
          </w:p>
        </w:tc>
      </w:tr>
      <w:tr>
        <w:trPr>
          <w:trHeight w:val="230"/>
        </w:trPr>
        <w:tc>
          <w:tcPr>
            <w:tcW w:w="5780" w:type="dxa"/>
            <w:vAlign w:val="bottom"/>
            <w:gridSpan w:val="2"/>
          </w:tcPr>
          <w:p>
            <w:pPr>
              <w:spacing w:after="0"/>
              <w:rPr>
                <w:sz w:val="20"/>
                <w:szCs w:val="20"/>
                <w:color w:val="auto"/>
              </w:rPr>
            </w:pPr>
            <w:r>
              <w:rPr>
                <w:rFonts w:ascii="Arial" w:cs="Arial" w:eastAsia="Arial" w:hAnsi="Arial"/>
                <w:sz w:val="20"/>
                <w:szCs w:val="20"/>
                <w:color w:val="auto"/>
              </w:rPr>
              <w:t>·  Punch Monster® Mad Dog (formerly Dub Edition)</w:t>
            </w:r>
          </w:p>
        </w:tc>
        <w:tc>
          <w:tcPr>
            <w:tcW w:w="5380" w:type="dxa"/>
            <w:vAlign w:val="bottom"/>
            <w:gridSpan w:val="2"/>
          </w:tcPr>
          <w:p>
            <w:pPr>
              <w:ind w:left="860"/>
              <w:spacing w:after="0"/>
              <w:rPr>
                <w:sz w:val="20"/>
                <w:szCs w:val="20"/>
                <w:color w:val="auto"/>
              </w:rPr>
            </w:pPr>
            <w:r>
              <w:rPr>
                <w:rFonts w:ascii="Arial" w:cs="Arial" w:eastAsia="Arial" w:hAnsi="Arial"/>
                <w:sz w:val="20"/>
                <w:szCs w:val="20"/>
                <w:color w:val="auto"/>
                <w:w w:val="92"/>
              </w:rPr>
              <w:t>·  Monster Energy Extra Strength Nitrous Technology®</w:t>
            </w:r>
          </w:p>
        </w:tc>
      </w:tr>
      <w:tr>
        <w:trPr>
          <w:trHeight w:val="230"/>
        </w:trPr>
        <w:tc>
          <w:tcPr>
            <w:tcW w:w="5780" w:type="dxa"/>
            <w:vAlign w:val="bottom"/>
            <w:gridSpan w:val="2"/>
          </w:tcPr>
          <w:p>
            <w:pPr>
              <w:spacing w:after="0"/>
              <w:rPr>
                <w:sz w:val="20"/>
                <w:szCs w:val="20"/>
                <w:color w:val="auto"/>
              </w:rPr>
            </w:pPr>
            <w:r>
              <w:rPr>
                <w:rFonts w:ascii="Arial" w:cs="Arial" w:eastAsia="Arial" w:hAnsi="Arial"/>
                <w:sz w:val="20"/>
                <w:szCs w:val="20"/>
                <w:color w:val="auto"/>
              </w:rPr>
              <w:t>·  Monster Rehab® Tea + Lemonade + Energy</w:t>
            </w:r>
          </w:p>
        </w:tc>
        <w:tc>
          <w:tcPr>
            <w:tcW w:w="1020" w:type="dxa"/>
            <w:vAlign w:val="bottom"/>
          </w:tcPr>
          <w:p>
            <w:pPr>
              <w:spacing w:after="0"/>
              <w:rPr>
                <w:sz w:val="19"/>
                <w:szCs w:val="19"/>
                <w:color w:val="auto"/>
              </w:rPr>
            </w:pPr>
          </w:p>
        </w:tc>
        <w:tc>
          <w:tcPr>
            <w:tcW w:w="4360" w:type="dxa"/>
            <w:vAlign w:val="bottom"/>
          </w:tcPr>
          <w:p>
            <w:pPr>
              <w:ind w:left="160"/>
              <w:spacing w:after="0"/>
              <w:rPr>
                <w:sz w:val="20"/>
                <w:szCs w:val="20"/>
                <w:color w:val="auto"/>
              </w:rPr>
            </w:pPr>
            <w:r>
              <w:rPr>
                <w:rFonts w:ascii="Arial" w:cs="Arial" w:eastAsia="Arial" w:hAnsi="Arial"/>
                <w:sz w:val="20"/>
                <w:szCs w:val="20"/>
                <w:color w:val="auto"/>
              </w:rPr>
              <w:t>Anti-Gravity®</w:t>
            </w:r>
          </w:p>
        </w:tc>
      </w:tr>
      <w:tr>
        <w:trPr>
          <w:trHeight w:val="230"/>
        </w:trPr>
        <w:tc>
          <w:tcPr>
            <w:tcW w:w="5780" w:type="dxa"/>
            <w:vAlign w:val="bottom"/>
            <w:gridSpan w:val="2"/>
          </w:tcPr>
          <w:p>
            <w:pPr>
              <w:spacing w:after="0"/>
              <w:rPr>
                <w:sz w:val="20"/>
                <w:szCs w:val="20"/>
                <w:color w:val="auto"/>
              </w:rPr>
            </w:pPr>
            <w:r>
              <w:rPr>
                <w:rFonts w:ascii="Arial" w:cs="Arial" w:eastAsia="Arial" w:hAnsi="Arial"/>
                <w:sz w:val="20"/>
                <w:szCs w:val="20"/>
                <w:color w:val="auto"/>
              </w:rPr>
              <w:t>·  Monster Rehab® Raspberry Tea + Energy (formerly Rojo)</w:t>
            </w:r>
          </w:p>
        </w:tc>
        <w:tc>
          <w:tcPr>
            <w:tcW w:w="5380" w:type="dxa"/>
            <w:vAlign w:val="bottom"/>
            <w:gridSpan w:val="2"/>
          </w:tcPr>
          <w:p>
            <w:pPr>
              <w:ind w:left="860"/>
              <w:spacing w:after="0"/>
              <w:rPr>
                <w:sz w:val="20"/>
                <w:szCs w:val="20"/>
                <w:color w:val="auto"/>
              </w:rPr>
            </w:pPr>
            <w:r>
              <w:rPr>
                <w:rFonts w:ascii="Arial" w:cs="Arial" w:eastAsia="Arial" w:hAnsi="Arial"/>
                <w:sz w:val="20"/>
                <w:szCs w:val="20"/>
                <w:color w:val="auto"/>
              </w:rPr>
              <w:t>·  M3® Monster Energy® Super Concentrate</w:t>
            </w:r>
          </w:p>
        </w:tc>
      </w:tr>
      <w:tr>
        <w:trPr>
          <w:trHeight w:val="230"/>
        </w:trPr>
        <w:tc>
          <w:tcPr>
            <w:tcW w:w="5780" w:type="dxa"/>
            <w:vAlign w:val="bottom"/>
            <w:gridSpan w:val="2"/>
          </w:tcPr>
          <w:p>
            <w:pPr>
              <w:spacing w:after="0"/>
              <w:rPr>
                <w:sz w:val="20"/>
                <w:szCs w:val="20"/>
                <w:color w:val="auto"/>
              </w:rPr>
            </w:pPr>
            <w:r>
              <w:rPr>
                <w:rFonts w:ascii="Arial" w:cs="Arial" w:eastAsia="Arial" w:hAnsi="Arial"/>
                <w:sz w:val="20"/>
                <w:szCs w:val="20"/>
                <w:color w:val="auto"/>
              </w:rPr>
              <w:t>·  Monster Rehab® Green Tea + Energy</w:t>
            </w:r>
          </w:p>
        </w:tc>
        <w:tc>
          <w:tcPr>
            <w:tcW w:w="5380" w:type="dxa"/>
            <w:vAlign w:val="bottom"/>
            <w:gridSpan w:val="2"/>
          </w:tcPr>
          <w:p>
            <w:pPr>
              <w:ind w:left="860"/>
              <w:spacing w:after="0"/>
              <w:rPr>
                <w:sz w:val="20"/>
                <w:szCs w:val="20"/>
                <w:color w:val="auto"/>
              </w:rPr>
            </w:pPr>
            <w:r>
              <w:rPr>
                <w:rFonts w:ascii="Arial" w:cs="Arial" w:eastAsia="Arial" w:hAnsi="Arial"/>
                <w:sz w:val="20"/>
                <w:szCs w:val="20"/>
                <w:color w:val="auto"/>
              </w:rPr>
              <w:t>·  Monster Energy Zero Ultra®</w:t>
            </w:r>
          </w:p>
        </w:tc>
      </w:tr>
      <w:tr>
        <w:trPr>
          <w:trHeight w:val="230"/>
        </w:trPr>
        <w:tc>
          <w:tcPr>
            <w:tcW w:w="5780" w:type="dxa"/>
            <w:vAlign w:val="bottom"/>
            <w:gridSpan w:val="2"/>
          </w:tcPr>
          <w:p>
            <w:pPr>
              <w:spacing w:after="0"/>
              <w:rPr>
                <w:sz w:val="20"/>
                <w:szCs w:val="20"/>
                <w:color w:val="auto"/>
              </w:rPr>
            </w:pPr>
            <w:r>
              <w:rPr>
                <w:rFonts w:ascii="Arial" w:cs="Arial" w:eastAsia="Arial" w:hAnsi="Arial"/>
                <w:sz w:val="20"/>
                <w:szCs w:val="20"/>
                <w:color w:val="auto"/>
              </w:rPr>
              <w:t>·  Monster Rehab® Tea + Orangeade + Energy</w:t>
            </w:r>
          </w:p>
        </w:tc>
        <w:tc>
          <w:tcPr>
            <w:tcW w:w="5380" w:type="dxa"/>
            <w:vAlign w:val="bottom"/>
            <w:gridSpan w:val="2"/>
          </w:tcPr>
          <w:p>
            <w:pPr>
              <w:ind w:left="860"/>
              <w:spacing w:after="0"/>
              <w:rPr>
                <w:sz w:val="20"/>
                <w:szCs w:val="20"/>
                <w:color w:val="auto"/>
              </w:rPr>
            </w:pPr>
            <w:r>
              <w:rPr>
                <w:rFonts w:ascii="Arial" w:cs="Arial" w:eastAsia="Arial" w:hAnsi="Arial"/>
                <w:sz w:val="20"/>
                <w:szCs w:val="20"/>
                <w:color w:val="auto"/>
              </w:rPr>
              <w:t>·  Monster Energy Ultra Blue®</w:t>
            </w:r>
          </w:p>
        </w:tc>
      </w:tr>
      <w:tr>
        <w:trPr>
          <w:trHeight w:val="230"/>
        </w:trPr>
        <w:tc>
          <w:tcPr>
            <w:tcW w:w="5780" w:type="dxa"/>
            <w:vAlign w:val="bottom"/>
            <w:gridSpan w:val="2"/>
          </w:tcPr>
          <w:p>
            <w:pPr>
              <w:spacing w:after="0"/>
              <w:rPr>
                <w:sz w:val="20"/>
                <w:szCs w:val="20"/>
                <w:color w:val="auto"/>
              </w:rPr>
            </w:pPr>
            <w:r>
              <w:rPr>
                <w:rFonts w:ascii="Arial" w:cs="Arial" w:eastAsia="Arial" w:hAnsi="Arial"/>
                <w:sz w:val="20"/>
                <w:szCs w:val="20"/>
                <w:color w:val="auto"/>
              </w:rPr>
              <w:t>·  Monster Rehab® Tea + Pink Lemonade + Energy</w:t>
            </w:r>
          </w:p>
        </w:tc>
        <w:tc>
          <w:tcPr>
            <w:tcW w:w="5380" w:type="dxa"/>
            <w:vAlign w:val="bottom"/>
            <w:gridSpan w:val="2"/>
          </w:tcPr>
          <w:p>
            <w:pPr>
              <w:ind w:left="860"/>
              <w:spacing w:after="0"/>
              <w:rPr>
                <w:sz w:val="20"/>
                <w:szCs w:val="20"/>
                <w:color w:val="auto"/>
              </w:rPr>
            </w:pPr>
            <w:r>
              <w:rPr>
                <w:rFonts w:ascii="Arial" w:cs="Arial" w:eastAsia="Arial" w:hAnsi="Arial"/>
                <w:sz w:val="20"/>
                <w:szCs w:val="20"/>
                <w:color w:val="auto"/>
              </w:rPr>
              <w:t>·  Monster Energy Ultra Red®</w:t>
            </w:r>
          </w:p>
        </w:tc>
      </w:tr>
      <w:tr>
        <w:trPr>
          <w:trHeight w:val="230"/>
        </w:trPr>
        <w:tc>
          <w:tcPr>
            <w:tcW w:w="5780" w:type="dxa"/>
            <w:vAlign w:val="bottom"/>
            <w:gridSpan w:val="2"/>
          </w:tcPr>
          <w:p>
            <w:pPr>
              <w:spacing w:after="0"/>
              <w:rPr>
                <w:sz w:val="20"/>
                <w:szCs w:val="20"/>
                <w:color w:val="auto"/>
              </w:rPr>
            </w:pPr>
            <w:r>
              <w:rPr>
                <w:rFonts w:ascii="Arial" w:cs="Arial" w:eastAsia="Arial" w:hAnsi="Arial"/>
                <w:sz w:val="20"/>
                <w:szCs w:val="20"/>
                <w:color w:val="auto"/>
              </w:rPr>
              <w:t>·  Monster Rehab® Peach Tea + Energy</w:t>
            </w:r>
          </w:p>
        </w:tc>
        <w:tc>
          <w:tcPr>
            <w:tcW w:w="5380" w:type="dxa"/>
            <w:vAlign w:val="bottom"/>
            <w:gridSpan w:val="2"/>
          </w:tcPr>
          <w:p>
            <w:pPr>
              <w:ind w:left="860"/>
              <w:spacing w:after="0"/>
              <w:rPr>
                <w:sz w:val="20"/>
                <w:szCs w:val="20"/>
                <w:color w:val="auto"/>
              </w:rPr>
            </w:pPr>
            <w:r>
              <w:rPr>
                <w:rFonts w:ascii="Arial" w:cs="Arial" w:eastAsia="Arial" w:hAnsi="Arial"/>
                <w:sz w:val="20"/>
                <w:szCs w:val="20"/>
                <w:color w:val="auto"/>
              </w:rPr>
              <w:t>·  Monster Energy Ultra Black®</w:t>
            </w:r>
          </w:p>
        </w:tc>
      </w:tr>
      <w:tr>
        <w:trPr>
          <w:trHeight w:val="230"/>
        </w:trPr>
        <w:tc>
          <w:tcPr>
            <w:tcW w:w="160" w:type="dxa"/>
            <w:vAlign w:val="bottom"/>
          </w:tcPr>
          <w:p>
            <w:pPr>
              <w:spacing w:after="0"/>
              <w:rPr>
                <w:sz w:val="20"/>
                <w:szCs w:val="20"/>
                <w:color w:val="auto"/>
              </w:rPr>
            </w:pPr>
            <w:r>
              <w:rPr>
                <w:rFonts w:ascii="Arial" w:cs="Arial" w:eastAsia="Arial" w:hAnsi="Arial"/>
                <w:sz w:val="20"/>
                <w:szCs w:val="20"/>
                <w:color w:val="auto"/>
              </w:rPr>
              <w:t>·</w:t>
            </w:r>
          </w:p>
        </w:tc>
        <w:tc>
          <w:tcPr>
            <w:tcW w:w="5620" w:type="dxa"/>
            <w:vAlign w:val="bottom"/>
          </w:tcPr>
          <w:p>
            <w:pPr>
              <w:ind w:left="120"/>
              <w:spacing w:after="0"/>
              <w:rPr>
                <w:sz w:val="20"/>
                <w:szCs w:val="20"/>
                <w:color w:val="auto"/>
              </w:rPr>
            </w:pPr>
            <w:r>
              <w:rPr>
                <w:rFonts w:ascii="Arial" w:cs="Arial" w:eastAsia="Arial" w:hAnsi="Arial"/>
                <w:sz w:val="20"/>
                <w:szCs w:val="20"/>
                <w:color w:val="auto"/>
              </w:rPr>
              <w:t>Muscle Monster® Vanilla</w:t>
            </w:r>
          </w:p>
        </w:tc>
        <w:tc>
          <w:tcPr>
            <w:tcW w:w="5380" w:type="dxa"/>
            <w:vAlign w:val="bottom"/>
            <w:gridSpan w:val="2"/>
          </w:tcPr>
          <w:p>
            <w:pPr>
              <w:ind w:left="860"/>
              <w:spacing w:after="0"/>
              <w:rPr>
                <w:sz w:val="20"/>
                <w:szCs w:val="20"/>
                <w:color w:val="auto"/>
              </w:rPr>
            </w:pPr>
            <w:r>
              <w:rPr>
                <w:rFonts w:ascii="Arial" w:cs="Arial" w:eastAsia="Arial" w:hAnsi="Arial"/>
                <w:sz w:val="20"/>
                <w:szCs w:val="20"/>
                <w:color w:val="auto"/>
              </w:rPr>
              <w:t>·  Monster Energy Ultra Sunrise®</w:t>
            </w:r>
          </w:p>
        </w:tc>
      </w:tr>
      <w:tr>
        <w:trPr>
          <w:trHeight w:val="230"/>
        </w:trPr>
        <w:tc>
          <w:tcPr>
            <w:tcW w:w="160" w:type="dxa"/>
            <w:vAlign w:val="bottom"/>
          </w:tcPr>
          <w:p>
            <w:pPr>
              <w:spacing w:after="0"/>
              <w:rPr>
                <w:sz w:val="20"/>
                <w:szCs w:val="20"/>
                <w:color w:val="auto"/>
              </w:rPr>
            </w:pPr>
            <w:r>
              <w:rPr>
                <w:rFonts w:ascii="Arial" w:cs="Arial" w:eastAsia="Arial" w:hAnsi="Arial"/>
                <w:sz w:val="20"/>
                <w:szCs w:val="20"/>
                <w:color w:val="auto"/>
              </w:rPr>
              <w:t>·</w:t>
            </w:r>
          </w:p>
        </w:tc>
        <w:tc>
          <w:tcPr>
            <w:tcW w:w="5620" w:type="dxa"/>
            <w:vAlign w:val="bottom"/>
          </w:tcPr>
          <w:p>
            <w:pPr>
              <w:ind w:left="120"/>
              <w:spacing w:after="0"/>
              <w:rPr>
                <w:sz w:val="20"/>
                <w:szCs w:val="20"/>
                <w:color w:val="auto"/>
              </w:rPr>
            </w:pPr>
            <w:r>
              <w:rPr>
                <w:rFonts w:ascii="Arial" w:cs="Arial" w:eastAsia="Arial" w:hAnsi="Arial"/>
                <w:sz w:val="20"/>
                <w:szCs w:val="20"/>
                <w:color w:val="auto"/>
              </w:rPr>
              <w:t>Muscle Monster® Chocolate</w:t>
            </w:r>
          </w:p>
        </w:tc>
        <w:tc>
          <w:tcPr>
            <w:tcW w:w="5380" w:type="dxa"/>
            <w:vAlign w:val="bottom"/>
            <w:gridSpan w:val="2"/>
          </w:tcPr>
          <w:p>
            <w:pPr>
              <w:ind w:left="860"/>
              <w:spacing w:after="0"/>
              <w:rPr>
                <w:sz w:val="20"/>
                <w:szCs w:val="20"/>
                <w:color w:val="auto"/>
              </w:rPr>
            </w:pPr>
            <w:r>
              <w:rPr>
                <w:rFonts w:ascii="Arial" w:cs="Arial" w:eastAsia="Arial" w:hAnsi="Arial"/>
                <w:sz w:val="20"/>
                <w:szCs w:val="20"/>
                <w:color w:val="auto"/>
              </w:rPr>
              <w:t>·  Monster Energy Ultra Citron®</w:t>
            </w:r>
          </w:p>
        </w:tc>
      </w:tr>
      <w:tr>
        <w:trPr>
          <w:trHeight w:val="230"/>
        </w:trPr>
        <w:tc>
          <w:tcPr>
            <w:tcW w:w="160" w:type="dxa"/>
            <w:vAlign w:val="bottom"/>
          </w:tcPr>
          <w:p>
            <w:pPr>
              <w:spacing w:after="0"/>
              <w:rPr>
                <w:sz w:val="20"/>
                <w:szCs w:val="20"/>
                <w:color w:val="auto"/>
              </w:rPr>
            </w:pPr>
            <w:r>
              <w:rPr>
                <w:rFonts w:ascii="Arial" w:cs="Arial" w:eastAsia="Arial" w:hAnsi="Arial"/>
                <w:sz w:val="20"/>
                <w:szCs w:val="20"/>
                <w:color w:val="auto"/>
              </w:rPr>
              <w:t>·</w:t>
            </w:r>
          </w:p>
        </w:tc>
        <w:tc>
          <w:tcPr>
            <w:tcW w:w="5620" w:type="dxa"/>
            <w:vAlign w:val="bottom"/>
          </w:tcPr>
          <w:p>
            <w:pPr>
              <w:ind w:left="120"/>
              <w:spacing w:after="0"/>
              <w:rPr>
                <w:sz w:val="20"/>
                <w:szCs w:val="20"/>
                <w:color w:val="auto"/>
              </w:rPr>
            </w:pPr>
            <w:r>
              <w:rPr>
                <w:rFonts w:ascii="Arial" w:cs="Arial" w:eastAsia="Arial" w:hAnsi="Arial"/>
                <w:sz w:val="20"/>
                <w:szCs w:val="20"/>
                <w:color w:val="auto"/>
              </w:rPr>
              <w:t>Muscle Monster® Strawberry</w:t>
            </w:r>
          </w:p>
        </w:tc>
        <w:tc>
          <w:tcPr>
            <w:tcW w:w="5380" w:type="dxa"/>
            <w:vAlign w:val="bottom"/>
            <w:gridSpan w:val="2"/>
          </w:tcPr>
          <w:p>
            <w:pPr>
              <w:ind w:left="860"/>
              <w:spacing w:after="0"/>
              <w:rPr>
                <w:sz w:val="20"/>
                <w:szCs w:val="20"/>
                <w:color w:val="auto"/>
              </w:rPr>
            </w:pPr>
            <w:r>
              <w:rPr>
                <w:rFonts w:ascii="Arial" w:cs="Arial" w:eastAsia="Arial" w:hAnsi="Arial"/>
                <w:sz w:val="20"/>
                <w:szCs w:val="20"/>
                <w:color w:val="auto"/>
              </w:rPr>
              <w:t>·  Monster Energy Ultra Violet</w:t>
            </w:r>
            <w:r>
              <w:rPr>
                <w:rFonts w:ascii="Arial" w:cs="Arial" w:eastAsia="Arial" w:hAnsi="Arial"/>
                <w:sz w:val="12"/>
                <w:szCs w:val="12"/>
                <w:color w:val="auto"/>
              </w:rPr>
              <w:t>TM</w:t>
            </w:r>
          </w:p>
        </w:tc>
      </w:tr>
      <w:tr>
        <w:trPr>
          <w:trHeight w:val="230"/>
        </w:trPr>
        <w:tc>
          <w:tcPr>
            <w:tcW w:w="160" w:type="dxa"/>
            <w:vAlign w:val="bottom"/>
          </w:tcPr>
          <w:p>
            <w:pPr>
              <w:spacing w:after="0"/>
              <w:rPr>
                <w:sz w:val="20"/>
                <w:szCs w:val="20"/>
                <w:color w:val="auto"/>
              </w:rPr>
            </w:pPr>
            <w:r>
              <w:rPr>
                <w:rFonts w:ascii="Arial" w:cs="Arial" w:eastAsia="Arial" w:hAnsi="Arial"/>
                <w:sz w:val="20"/>
                <w:szCs w:val="20"/>
                <w:color w:val="auto"/>
              </w:rPr>
              <w:t>·</w:t>
            </w:r>
          </w:p>
        </w:tc>
        <w:tc>
          <w:tcPr>
            <w:tcW w:w="5620" w:type="dxa"/>
            <w:vAlign w:val="bottom"/>
          </w:tcPr>
          <w:p>
            <w:pPr>
              <w:ind w:left="120"/>
              <w:spacing w:after="0"/>
              <w:rPr>
                <w:sz w:val="20"/>
                <w:szCs w:val="20"/>
                <w:color w:val="auto"/>
              </w:rPr>
            </w:pPr>
            <w:r>
              <w:rPr>
                <w:rFonts w:ascii="Arial" w:cs="Arial" w:eastAsia="Arial" w:hAnsi="Arial"/>
                <w:sz w:val="20"/>
                <w:szCs w:val="20"/>
                <w:color w:val="auto"/>
              </w:rPr>
              <w:t>Muscle Monster® Banana</w:t>
            </w:r>
          </w:p>
        </w:tc>
        <w:tc>
          <w:tcPr>
            <w:tcW w:w="5380" w:type="dxa"/>
            <w:vAlign w:val="bottom"/>
            <w:gridSpan w:val="2"/>
          </w:tcPr>
          <w:p>
            <w:pPr>
              <w:ind w:left="860"/>
              <w:spacing w:after="0"/>
              <w:rPr>
                <w:sz w:val="20"/>
                <w:szCs w:val="20"/>
                <w:color w:val="auto"/>
              </w:rPr>
            </w:pPr>
            <w:r>
              <w:rPr>
                <w:rFonts w:ascii="Arial" w:cs="Arial" w:eastAsia="Arial" w:hAnsi="Arial"/>
                <w:sz w:val="20"/>
                <w:szCs w:val="20"/>
                <w:color w:val="auto"/>
              </w:rPr>
              <w:t>·  Monster Energy® Valentino Rossi</w:t>
            </w:r>
          </w:p>
        </w:tc>
      </w:tr>
      <w:tr>
        <w:trPr>
          <w:trHeight w:val="230"/>
        </w:trPr>
        <w:tc>
          <w:tcPr>
            <w:tcW w:w="5780" w:type="dxa"/>
            <w:vAlign w:val="bottom"/>
            <w:gridSpan w:val="2"/>
          </w:tcPr>
          <w:p>
            <w:pPr>
              <w:spacing w:after="0"/>
              <w:rPr>
                <w:sz w:val="20"/>
                <w:szCs w:val="20"/>
                <w:color w:val="auto"/>
              </w:rPr>
            </w:pPr>
            <w:r>
              <w:rPr>
                <w:rFonts w:ascii="Arial" w:cs="Arial" w:eastAsia="Arial" w:hAnsi="Arial"/>
                <w:sz w:val="20"/>
                <w:szCs w:val="20"/>
                <w:color w:val="auto"/>
              </w:rPr>
              <w:t>·  Monster Energy Absolutely Zero®</w:t>
            </w:r>
          </w:p>
        </w:tc>
        <w:tc>
          <w:tcPr>
            <w:tcW w:w="1020" w:type="dxa"/>
            <w:vAlign w:val="bottom"/>
          </w:tcPr>
          <w:p>
            <w:pPr>
              <w:ind w:left="860"/>
              <w:spacing w:after="0"/>
              <w:rPr>
                <w:sz w:val="20"/>
                <w:szCs w:val="20"/>
                <w:color w:val="auto"/>
              </w:rPr>
            </w:pPr>
            <w:r>
              <w:rPr>
                <w:rFonts w:ascii="Arial" w:cs="Arial" w:eastAsia="Arial" w:hAnsi="Arial"/>
                <w:sz w:val="20"/>
                <w:szCs w:val="20"/>
                <w:color w:val="auto"/>
              </w:rPr>
              <w:t>·</w:t>
            </w:r>
          </w:p>
        </w:tc>
        <w:tc>
          <w:tcPr>
            <w:tcW w:w="4360" w:type="dxa"/>
            <w:vAlign w:val="bottom"/>
          </w:tcPr>
          <w:p>
            <w:pPr>
              <w:ind w:left="120"/>
              <w:spacing w:after="0"/>
              <w:rPr>
                <w:sz w:val="20"/>
                <w:szCs w:val="20"/>
                <w:color w:val="auto"/>
              </w:rPr>
            </w:pPr>
            <w:r>
              <w:rPr>
                <w:rFonts w:ascii="Arial" w:cs="Arial" w:eastAsia="Arial" w:hAnsi="Arial"/>
                <w:sz w:val="20"/>
                <w:szCs w:val="20"/>
                <w:color w:val="auto"/>
              </w:rPr>
              <w:t>Übermonster® Energy Brew</w:t>
            </w:r>
            <w:r>
              <w:rPr>
                <w:rFonts w:ascii="Arial" w:cs="Arial" w:eastAsia="Arial" w:hAnsi="Arial"/>
                <w:sz w:val="12"/>
                <w:szCs w:val="12"/>
                <w:color w:val="auto"/>
              </w:rPr>
              <w:t>TM</w:t>
            </w:r>
          </w:p>
        </w:tc>
      </w:tr>
      <w:tr>
        <w:trPr>
          <w:trHeight w:val="230"/>
        </w:trPr>
        <w:tc>
          <w:tcPr>
            <w:tcW w:w="160" w:type="dxa"/>
            <w:vAlign w:val="bottom"/>
          </w:tcPr>
          <w:p>
            <w:pPr>
              <w:spacing w:after="0"/>
              <w:rPr>
                <w:sz w:val="20"/>
                <w:szCs w:val="20"/>
                <w:color w:val="auto"/>
              </w:rPr>
            </w:pPr>
            <w:r>
              <w:rPr>
                <w:rFonts w:ascii="Arial" w:cs="Arial" w:eastAsia="Arial" w:hAnsi="Arial"/>
                <w:sz w:val="20"/>
                <w:szCs w:val="20"/>
                <w:color w:val="auto"/>
              </w:rPr>
              <w:t>·</w:t>
            </w:r>
          </w:p>
        </w:tc>
        <w:tc>
          <w:tcPr>
            <w:tcW w:w="5620" w:type="dxa"/>
            <w:vAlign w:val="bottom"/>
          </w:tcPr>
          <w:p>
            <w:pPr>
              <w:ind w:left="120"/>
              <w:spacing w:after="0"/>
              <w:rPr>
                <w:sz w:val="20"/>
                <w:szCs w:val="20"/>
                <w:color w:val="auto"/>
              </w:rPr>
            </w:pPr>
            <w:r>
              <w:rPr>
                <w:rFonts w:ascii="Arial" w:cs="Arial" w:eastAsia="Arial" w:hAnsi="Arial"/>
                <w:sz w:val="20"/>
                <w:szCs w:val="20"/>
                <w:color w:val="auto"/>
              </w:rPr>
              <w:t>Monster Hydro</w:t>
            </w:r>
            <w:r>
              <w:rPr>
                <w:rFonts w:ascii="Arial" w:cs="Arial" w:eastAsia="Arial" w:hAnsi="Arial"/>
                <w:sz w:val="12"/>
                <w:szCs w:val="12"/>
                <w:color w:val="auto"/>
              </w:rPr>
              <w:t>TM</w:t>
            </w:r>
            <w:r>
              <w:rPr>
                <w:rFonts w:ascii="Arial" w:cs="Arial" w:eastAsia="Arial" w:hAnsi="Arial"/>
                <w:sz w:val="20"/>
                <w:szCs w:val="20"/>
                <w:color w:val="auto"/>
              </w:rPr>
              <w:t xml:space="preserve"> Mean Green®</w:t>
            </w:r>
          </w:p>
        </w:tc>
        <w:tc>
          <w:tcPr>
            <w:tcW w:w="5380" w:type="dxa"/>
            <w:vAlign w:val="bottom"/>
            <w:gridSpan w:val="2"/>
          </w:tcPr>
          <w:p>
            <w:pPr>
              <w:ind w:left="860"/>
              <w:spacing w:after="0"/>
              <w:rPr>
                <w:sz w:val="20"/>
                <w:szCs w:val="20"/>
                <w:color w:val="auto"/>
              </w:rPr>
            </w:pPr>
            <w:r>
              <w:rPr>
                <w:rFonts w:ascii="Arial" w:cs="Arial" w:eastAsia="Arial" w:hAnsi="Arial"/>
                <w:sz w:val="20"/>
                <w:szCs w:val="20"/>
                <w:color w:val="auto"/>
              </w:rPr>
              <w:t>·  Monster Energy® Lewis Hamilton 44</w:t>
            </w:r>
          </w:p>
        </w:tc>
      </w:tr>
      <w:tr>
        <w:trPr>
          <w:trHeight w:val="230"/>
        </w:trPr>
        <w:tc>
          <w:tcPr>
            <w:tcW w:w="5780" w:type="dxa"/>
            <w:vAlign w:val="bottom"/>
            <w:gridSpan w:val="2"/>
          </w:tcPr>
          <w:p>
            <w:pPr>
              <w:spacing w:after="0"/>
              <w:rPr>
                <w:sz w:val="20"/>
                <w:szCs w:val="20"/>
                <w:color w:val="auto"/>
              </w:rPr>
            </w:pPr>
            <w:r>
              <w:rPr>
                <w:rFonts w:ascii="Arial" w:cs="Arial" w:eastAsia="Arial" w:hAnsi="Arial"/>
                <w:sz w:val="20"/>
                <w:szCs w:val="20"/>
                <w:color w:val="auto"/>
              </w:rPr>
              <w:t>·  Monster Hydro</w:t>
            </w:r>
            <w:r>
              <w:rPr>
                <w:rFonts w:ascii="Arial" w:cs="Arial" w:eastAsia="Arial" w:hAnsi="Arial"/>
                <w:sz w:val="12"/>
                <w:szCs w:val="12"/>
                <w:color w:val="auto"/>
              </w:rPr>
              <w:t>TM</w:t>
            </w:r>
            <w:r>
              <w:rPr>
                <w:rFonts w:ascii="Arial" w:cs="Arial" w:eastAsia="Arial" w:hAnsi="Arial"/>
                <w:sz w:val="20"/>
                <w:szCs w:val="20"/>
                <w:color w:val="auto"/>
              </w:rPr>
              <w:t xml:space="preserve"> Manic Melon</w:t>
            </w:r>
            <w:r>
              <w:rPr>
                <w:rFonts w:ascii="Arial" w:cs="Arial" w:eastAsia="Arial" w:hAnsi="Arial"/>
                <w:sz w:val="12"/>
                <w:szCs w:val="12"/>
                <w:color w:val="auto"/>
              </w:rPr>
              <w:t>TM</w:t>
            </w:r>
          </w:p>
        </w:tc>
        <w:tc>
          <w:tcPr>
            <w:tcW w:w="1020" w:type="dxa"/>
            <w:vAlign w:val="bottom"/>
          </w:tcPr>
          <w:p>
            <w:pPr>
              <w:ind w:left="860"/>
              <w:spacing w:after="0"/>
              <w:rPr>
                <w:sz w:val="20"/>
                <w:szCs w:val="20"/>
                <w:color w:val="auto"/>
              </w:rPr>
            </w:pPr>
            <w:r>
              <w:rPr>
                <w:rFonts w:ascii="Arial" w:cs="Arial" w:eastAsia="Arial" w:hAnsi="Arial"/>
                <w:sz w:val="20"/>
                <w:szCs w:val="20"/>
                <w:color w:val="auto"/>
              </w:rPr>
              <w:t>·</w:t>
            </w:r>
          </w:p>
        </w:tc>
        <w:tc>
          <w:tcPr>
            <w:tcW w:w="4360" w:type="dxa"/>
            <w:vAlign w:val="bottom"/>
          </w:tcPr>
          <w:p>
            <w:pPr>
              <w:ind w:left="120"/>
              <w:spacing w:after="0"/>
              <w:rPr>
                <w:sz w:val="20"/>
                <w:szCs w:val="20"/>
                <w:color w:val="auto"/>
              </w:rPr>
            </w:pPr>
            <w:r>
              <w:rPr>
                <w:rFonts w:ascii="Arial" w:cs="Arial" w:eastAsia="Arial" w:hAnsi="Arial"/>
                <w:sz w:val="20"/>
                <w:szCs w:val="20"/>
                <w:color w:val="auto"/>
              </w:rPr>
              <w:t>Monster Energy® Gronk</w:t>
            </w:r>
          </w:p>
        </w:tc>
      </w:tr>
      <w:tr>
        <w:trPr>
          <w:trHeight w:val="250"/>
        </w:trPr>
        <w:tc>
          <w:tcPr>
            <w:tcW w:w="5780" w:type="dxa"/>
            <w:vAlign w:val="bottom"/>
            <w:gridSpan w:val="2"/>
          </w:tcPr>
          <w:p>
            <w:pPr>
              <w:spacing w:after="0"/>
              <w:rPr>
                <w:sz w:val="20"/>
                <w:szCs w:val="20"/>
                <w:color w:val="auto"/>
              </w:rPr>
            </w:pPr>
            <w:r>
              <w:rPr>
                <w:rFonts w:ascii="Arial" w:cs="Arial" w:eastAsia="Arial" w:hAnsi="Arial"/>
                <w:sz w:val="20"/>
                <w:szCs w:val="20"/>
                <w:color w:val="auto"/>
              </w:rPr>
              <w:t>·  Monster Hydro</w:t>
            </w:r>
            <w:r>
              <w:rPr>
                <w:rFonts w:ascii="Arial" w:cs="Arial" w:eastAsia="Arial" w:hAnsi="Arial"/>
                <w:sz w:val="12"/>
                <w:szCs w:val="12"/>
                <w:color w:val="auto"/>
              </w:rPr>
              <w:t>TM</w:t>
            </w:r>
            <w:r>
              <w:rPr>
                <w:rFonts w:ascii="Arial" w:cs="Arial" w:eastAsia="Arial" w:hAnsi="Arial"/>
                <w:sz w:val="20"/>
                <w:szCs w:val="20"/>
                <w:color w:val="auto"/>
              </w:rPr>
              <w:t xml:space="preserve"> Tropical Thunder</w:t>
            </w:r>
            <w:r>
              <w:rPr>
                <w:rFonts w:ascii="Arial" w:cs="Arial" w:eastAsia="Arial" w:hAnsi="Arial"/>
                <w:sz w:val="12"/>
                <w:szCs w:val="12"/>
                <w:color w:val="auto"/>
              </w:rPr>
              <w:t>TM</w:t>
            </w:r>
          </w:p>
        </w:tc>
        <w:tc>
          <w:tcPr>
            <w:tcW w:w="1020" w:type="dxa"/>
            <w:vAlign w:val="bottom"/>
          </w:tcPr>
          <w:p>
            <w:pPr>
              <w:ind w:left="860"/>
              <w:spacing w:after="0"/>
              <w:rPr>
                <w:sz w:val="20"/>
                <w:szCs w:val="20"/>
                <w:color w:val="auto"/>
              </w:rPr>
            </w:pPr>
            <w:r>
              <w:rPr>
                <w:rFonts w:ascii="Arial" w:cs="Arial" w:eastAsia="Arial" w:hAnsi="Arial"/>
                <w:sz w:val="20"/>
                <w:szCs w:val="20"/>
                <w:color w:val="auto"/>
              </w:rPr>
              <w:t>·</w:t>
            </w:r>
          </w:p>
        </w:tc>
        <w:tc>
          <w:tcPr>
            <w:tcW w:w="4360" w:type="dxa"/>
            <w:vAlign w:val="bottom"/>
          </w:tcPr>
          <w:p>
            <w:pPr>
              <w:ind w:left="120"/>
              <w:spacing w:after="0"/>
              <w:rPr>
                <w:sz w:val="20"/>
                <w:szCs w:val="20"/>
                <w:color w:val="auto"/>
              </w:rPr>
            </w:pPr>
            <w:r>
              <w:rPr>
                <w:rFonts w:ascii="Arial" w:cs="Arial" w:eastAsia="Arial" w:hAnsi="Arial"/>
                <w:sz w:val="20"/>
                <w:szCs w:val="20"/>
                <w:color w:val="auto"/>
              </w:rPr>
              <w:t>Monster Energy® Fury</w:t>
            </w:r>
          </w:p>
        </w:tc>
      </w:tr>
    </w:tbl>
    <w:p>
      <w:pPr>
        <w:spacing w:after="0" w:line="20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We have three operating and reportable segments, (i) Monster Energy® Drinks segment (“Monster Energy® Drinks”), which is comprised of the Company’s Monster Energy® drinks, Monster Hydro</w:t>
      </w:r>
      <w:r>
        <w:rPr>
          <w:rFonts w:ascii="Arial" w:cs="Arial" w:eastAsia="Arial" w:hAnsi="Arial"/>
          <w:sz w:val="11"/>
          <w:szCs w:val="11"/>
          <w:color w:val="auto"/>
        </w:rPr>
        <w:t>TM</w:t>
      </w:r>
      <w:r>
        <w:rPr>
          <w:rFonts w:ascii="Arial" w:cs="Arial" w:eastAsia="Arial" w:hAnsi="Arial"/>
          <w:sz w:val="18"/>
          <w:szCs w:val="18"/>
          <w:color w:val="auto"/>
        </w:rPr>
        <w:t xml:space="preserve"> energy drinks and Mutant® Super Soda drinks, (ii) Strategic Brands segment (“Strategic Brands”), which is comprised of the various energy drink brands acquired from TCCC in 2015 and (iii) Other segment (“Other”), which is comprised of certain products sold by AFF to independent third-party customers (the “AFF Third-Party Products”).</w:t>
      </w:r>
    </w:p>
    <w:p>
      <w:pPr>
        <w:spacing w:after="0" w:line="17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During the three-months ended September 30, 2017, we continued to expand our existing energy drink portfolio and further develop our distribution markets. During the three-months ended September 30, 2017, we introduced the following product:</w:t>
      </w:r>
    </w:p>
    <w:p>
      <w:pPr>
        <w:spacing w:after="0" w:line="166" w:lineRule="exact"/>
        <w:rPr>
          <w:sz w:val="20"/>
          <w:szCs w:val="20"/>
          <w:color w:val="auto"/>
        </w:rPr>
      </w:pPr>
    </w:p>
    <w:p>
      <w:pPr>
        <w:ind w:left="620" w:hanging="288"/>
        <w:spacing w:after="0"/>
        <w:tabs>
          <w:tab w:leader="none" w:pos="6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Monster Energy® Fury (September 2017)</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Subsequent to September 30, 2017, we introduced Espresso Monster</w:t>
      </w:r>
      <w:r>
        <w:rPr>
          <w:rFonts w:ascii="Arial" w:cs="Arial" w:eastAsia="Arial" w:hAnsi="Arial"/>
          <w:sz w:val="12"/>
          <w:szCs w:val="12"/>
          <w:color w:val="auto"/>
        </w:rPr>
        <w:t>TM</w:t>
      </w:r>
      <w:r>
        <w:rPr>
          <w:rFonts w:ascii="Arial" w:cs="Arial" w:eastAsia="Arial" w:hAnsi="Arial"/>
          <w:sz w:val="20"/>
          <w:szCs w:val="20"/>
          <w:color w:val="auto"/>
        </w:rPr>
        <w:t xml:space="preserve"> espresso + energy and NOS Nitro Mango.</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In the normal course of business we discontinue certain products and/or product lines. Those products or product lines discontinued in the three-months ended September 30, 2017, either individually or in aggregate, did not have a material adverse impact on our financial position, results of operations or liquidity.</w:t>
      </w:r>
    </w:p>
    <w:p>
      <w:pPr>
        <w:spacing w:after="0" w:line="20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Our net sales of $909.5 million for the three-months ended September 30, 2017 represented record sales for our third fiscal quarter. The vast majority of our net sales are derived from our Monster Energy® brand energy drinks. Net sales of our Monster Energy® brand energy drinks were $823.4 million for the three-months ended September 30, 2017. Net sales of our Strategic Brands were $76.6 million for the three-months ended September 30, 2017.</w:t>
      </w:r>
    </w:p>
    <w:p>
      <w:pPr>
        <w:spacing w:after="0" w:line="20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Our Monster Energy® Drinks segment represented 91.0% and 90.1% of our consolidated net sales for the three-months ended September 30, 2017 and 2016, respectively. Our Strategic Brands segment represented 8.4% and 9.2% of our consolidated net sales for the three-months ended September 30, 2017 and 2016, respectively. Our Other segment represented 0.6% and 0.7% of our consolidated net sales for the three-months ended September 30, 2017 and 2016, respectively.</w:t>
      </w:r>
    </w:p>
    <w:p>
      <w:pPr>
        <w:spacing w:after="0" w:line="20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Net changes in foreign currency exchange rates had an unfavorable impact on net sales in the Monster Energy® Drinks segment of approximately $0.4 million for the three-months ended September 30, 2017. Net changes in foreign currency exchange rates had a favorable impact on net sales in the Strategic Brands segment of approximately $1.1 million for the three-months ended September 30, 2017.</w:t>
      </w:r>
    </w:p>
    <w:p>
      <w:pPr>
        <w:spacing w:after="0" w:line="165" w:lineRule="exact"/>
        <w:rPr>
          <w:sz w:val="20"/>
          <w:szCs w:val="20"/>
          <w:color w:val="auto"/>
        </w:rPr>
      </w:pPr>
    </w:p>
    <w:p>
      <w:pPr>
        <w:jc w:val="both"/>
        <w:ind w:firstLine="743"/>
        <w:spacing w:after="0" w:line="257" w:lineRule="auto"/>
        <w:rPr>
          <w:sz w:val="20"/>
          <w:szCs w:val="20"/>
          <w:color w:val="auto"/>
        </w:rPr>
      </w:pPr>
      <w:r>
        <w:rPr>
          <w:rFonts w:ascii="Arial" w:cs="Arial" w:eastAsia="Arial" w:hAnsi="Arial"/>
          <w:sz w:val="19"/>
          <w:szCs w:val="19"/>
          <w:color w:val="auto"/>
        </w:rPr>
        <w:t>Our sales and marketing strategy for all our beverages is to focus our efforts on developing brand awareness through image-enhancing programs and product sampling. We use our branded vehicles and other promotional vehicles at events where we offer samples of our products to consumers. We utilize “push-pull” methods to enhance shelf and display space exposure in sales outlets (including racks, coolers and barrel coolers), advertising, in-store promotions and in-store placement of point-of-sale materials to encourage demand from consumers for our products. We also support our brands with prize promotions, price promotions, competitions, endorsements from selected public and sports figures, sports personality endorsements, sampling and sponsorship of selected athletes, teams, series, bands, esports, causes and events. In-store posters, outdoor posters, print, radio and television advertising (directly and through our sponsorships and endorsements) and coupons may also be used to promote our brands.</w:t>
      </w:r>
    </w:p>
    <w:p>
      <w:pPr>
        <w:spacing w:after="0" w:line="19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We believe that one of the keys to success in the beverage industry is differentiation, making our brands and products visually appealing and distinctive from other beverages on the shelves of retailers. We review our products and packaging on an ongoing basis and, where practical, endeavor to make them different and unique. The labels and graphics for many of our products are redesigned from time to time to maximize their visibility and identification, wherever they may be placed in stores, which we continue to reevaluate from time to time.</w:t>
      </w:r>
    </w:p>
    <w:p>
      <w:pPr>
        <w:sectPr>
          <w:pgSz w:w="11900" w:h="16838" w:orient="portrait"/>
          <w:cols w:equalWidth="0" w:num="1">
            <w:col w:w="11420"/>
          </w:cols>
          <w:pgMar w:left="240" w:top="121" w:right="239" w:bottom="0" w:gutter="0" w:footer="0" w:header="0"/>
        </w:sectPr>
      </w:pPr>
    </w:p>
    <w:bookmarkStart w:id="20" w:name="page21"/>
    <w:bookmarkEnd w:id="20"/>
    <w:p>
      <w:pPr>
        <w:jc w:val="both"/>
        <w:ind w:firstLine="648"/>
        <w:spacing w:after="0" w:line="245" w:lineRule="auto"/>
        <w:rPr>
          <w:sz w:val="20"/>
          <w:szCs w:val="20"/>
          <w:color w:val="auto"/>
        </w:rPr>
      </w:pPr>
      <w:r>
        <w:rPr>
          <w:rFonts w:ascii="Arial" w:cs="Arial" w:eastAsia="Arial" w:hAnsi="Arial"/>
          <w:sz w:val="20"/>
          <w:szCs w:val="20"/>
          <w:color w:val="auto"/>
        </w:rPr>
        <w:t>Our growth strategy includes expanding our international business. Net sales to customers outside the United States amounted to $260.1 million and $190.8 million for the three-months ended September 30, 2017 and 2016, respectively. Such sales were approximately 29% and 24% of net sales for the three-months ended September 30, 2017 and 2016, respectively. Net changes in foreign currency exchange rates had a favorable impact on net sales to customers outside the United States of approximately $0.7 million for the three-months ended September 30, 2017.</w:t>
      </w:r>
    </w:p>
    <w:p>
      <w:pPr>
        <w:spacing w:after="0" w:line="20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Our customers are primarily full service beverage bottlers/distributors, retail grocery and specialty chains, wholesalers, club stores, mass merchandisers, convenience chains, food service customers and the military. Percentages of our gross sales to our various customer types for the three- and nine-months ended September 30, 2017 and 2016 are reflected below. Such information includes sales made by us directly to the customer types concerned, which include our full service beverage bottlers/distributors in the United States. Such full service beverage bottlers/distributors in turn sell certain of our products to some of the same customer types listed below. We limit our description of our customer types to include only our sales to our full service bottlers/distributors without reference to such bottlers/distributors’ sales to their own customers.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9"/>
        </w:trPr>
        <w:tc>
          <w:tcPr>
            <w:tcW w:w="1280" w:type="dxa"/>
            <w:vAlign w:val="bottom"/>
            <w:tcBorders>
              <w:top w:val="single" w:sz="8" w:color="0000EE"/>
            </w:tcBorders>
          </w:tcPr>
          <w:p>
            <w:pPr>
              <w:spacing w:after="0"/>
              <w:rPr>
                <w:sz w:val="24"/>
                <w:szCs w:val="24"/>
                <w:color w:val="auto"/>
              </w:rPr>
            </w:pPr>
          </w:p>
        </w:tc>
        <w:tc>
          <w:tcPr>
            <w:tcW w:w="3880" w:type="dxa"/>
            <w:vAlign w:val="bottom"/>
          </w:tcPr>
          <w:p>
            <w:pPr>
              <w:spacing w:after="0"/>
              <w:rPr>
                <w:sz w:val="24"/>
                <w:szCs w:val="24"/>
                <w:color w:val="auto"/>
              </w:rPr>
            </w:pPr>
          </w:p>
        </w:tc>
        <w:tc>
          <w:tcPr>
            <w:tcW w:w="3200" w:type="dxa"/>
            <w:vAlign w:val="bottom"/>
            <w:gridSpan w:val="5"/>
          </w:tcPr>
          <w:p>
            <w:pPr>
              <w:jc w:val="center"/>
              <w:ind w:right="200"/>
              <w:spacing w:after="0"/>
              <w:rPr>
                <w:sz w:val="20"/>
                <w:szCs w:val="20"/>
                <w:color w:val="auto"/>
              </w:rPr>
            </w:pPr>
            <w:r>
              <w:rPr>
                <w:rFonts w:ascii="Arial" w:cs="Arial" w:eastAsia="Arial" w:hAnsi="Arial"/>
                <w:sz w:val="20"/>
                <w:szCs w:val="20"/>
                <w:color w:val="auto"/>
                <w:w w:val="89"/>
              </w:rPr>
              <w:t>Three-Months Ended</w:t>
            </w:r>
          </w:p>
        </w:tc>
        <w:tc>
          <w:tcPr>
            <w:tcW w:w="2960" w:type="dxa"/>
            <w:vAlign w:val="bottom"/>
            <w:gridSpan w:val="4"/>
          </w:tcPr>
          <w:p>
            <w:pPr>
              <w:jc w:val="center"/>
              <w:spacing w:after="0"/>
              <w:rPr>
                <w:sz w:val="20"/>
                <w:szCs w:val="20"/>
                <w:color w:val="auto"/>
              </w:rPr>
            </w:pPr>
            <w:r>
              <w:rPr>
                <w:rFonts w:ascii="Arial" w:cs="Arial" w:eastAsia="Arial" w:hAnsi="Arial"/>
                <w:sz w:val="20"/>
                <w:szCs w:val="20"/>
                <w:color w:val="auto"/>
                <w:w w:val="90"/>
              </w:rPr>
              <w:t>Nine-Months Ended</w:t>
            </w:r>
          </w:p>
        </w:tc>
        <w:tc>
          <w:tcPr>
            <w:tcW w:w="0" w:type="dxa"/>
            <w:vAlign w:val="bottom"/>
          </w:tcPr>
          <w:p>
            <w:pPr>
              <w:spacing w:after="0"/>
              <w:rPr>
                <w:sz w:val="1"/>
                <w:szCs w:val="1"/>
                <w:color w:val="auto"/>
              </w:rPr>
            </w:pPr>
          </w:p>
        </w:tc>
      </w:tr>
      <w:tr>
        <w:trPr>
          <w:trHeight w:val="246"/>
        </w:trPr>
        <w:tc>
          <w:tcPr>
            <w:tcW w:w="128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80" w:type="dxa"/>
            <w:vAlign w:val="bottom"/>
            <w:gridSpan w:val="4"/>
          </w:tcPr>
          <w:p>
            <w:pPr>
              <w:jc w:val="center"/>
              <w:ind w:right="1120"/>
              <w:spacing w:after="0"/>
              <w:rPr>
                <w:sz w:val="20"/>
                <w:szCs w:val="20"/>
                <w:color w:val="auto"/>
              </w:rPr>
            </w:pPr>
            <w:r>
              <w:rPr>
                <w:rFonts w:ascii="Arial" w:cs="Arial" w:eastAsia="Arial" w:hAnsi="Arial"/>
                <w:sz w:val="20"/>
                <w:szCs w:val="20"/>
                <w:color w:val="auto"/>
                <w:w w:val="88"/>
              </w:rPr>
              <w:t>September 30,</w:t>
            </w:r>
          </w:p>
        </w:tc>
        <w:tc>
          <w:tcPr>
            <w:tcW w:w="900" w:type="dxa"/>
            <w:vAlign w:val="bottom"/>
          </w:tcPr>
          <w:p>
            <w:pPr>
              <w:spacing w:after="0"/>
              <w:rPr>
                <w:sz w:val="21"/>
                <w:szCs w:val="21"/>
                <w:color w:val="auto"/>
              </w:rPr>
            </w:pPr>
          </w:p>
        </w:tc>
        <w:tc>
          <w:tcPr>
            <w:tcW w:w="2060" w:type="dxa"/>
            <w:vAlign w:val="bottom"/>
            <w:gridSpan w:val="3"/>
          </w:tcPr>
          <w:p>
            <w:pPr>
              <w:jc w:val="center"/>
              <w:ind w:right="801"/>
              <w:spacing w:after="0"/>
              <w:rPr>
                <w:sz w:val="20"/>
                <w:szCs w:val="20"/>
                <w:color w:val="auto"/>
              </w:rPr>
            </w:pPr>
            <w:r>
              <w:rPr>
                <w:rFonts w:ascii="Arial" w:cs="Arial" w:eastAsia="Arial" w:hAnsi="Arial"/>
                <w:sz w:val="20"/>
                <w:szCs w:val="20"/>
                <w:color w:val="auto"/>
                <w:w w:val="88"/>
              </w:rPr>
              <w:t>September 30,</w:t>
            </w:r>
          </w:p>
        </w:tc>
        <w:tc>
          <w:tcPr>
            <w:tcW w:w="0" w:type="dxa"/>
            <w:vAlign w:val="bottom"/>
          </w:tcPr>
          <w:p>
            <w:pPr>
              <w:spacing w:after="0"/>
              <w:rPr>
                <w:sz w:val="1"/>
                <w:szCs w:val="1"/>
                <w:color w:val="auto"/>
              </w:rPr>
            </w:pPr>
          </w:p>
        </w:tc>
      </w:tr>
      <w:tr>
        <w:trPr>
          <w:trHeight w:val="223"/>
        </w:trPr>
        <w:tc>
          <w:tcPr>
            <w:tcW w:w="5160" w:type="dxa"/>
            <w:vAlign w:val="bottom"/>
            <w:gridSpan w:val="2"/>
            <w:vMerge w:val="restart"/>
          </w:tcPr>
          <w:p>
            <w:pPr>
              <w:spacing w:after="0"/>
              <w:rPr>
                <w:sz w:val="20"/>
                <w:szCs w:val="20"/>
                <w:color w:val="auto"/>
              </w:rPr>
            </w:pPr>
            <w:r>
              <w:rPr>
                <w:rFonts w:ascii="Arial" w:cs="Arial" w:eastAsia="Arial" w:hAnsi="Arial"/>
                <w:sz w:val="20"/>
                <w:szCs w:val="20"/>
                <w:color w:val="auto"/>
              </w:rPr>
              <w:t>U.S. full service bottlers/distributors</w:t>
            </w:r>
          </w:p>
        </w:tc>
        <w:tc>
          <w:tcPr>
            <w:tcW w:w="920" w:type="dxa"/>
            <w:vAlign w:val="bottom"/>
            <w:tcBorders>
              <w:top w:val="single" w:sz="8" w:color="auto"/>
            </w:tcBorders>
          </w:tcPr>
          <w:p>
            <w:pPr>
              <w:jc w:val="center"/>
              <w:ind w:left="381"/>
              <w:spacing w:after="0" w:line="223" w:lineRule="exact"/>
              <w:rPr>
                <w:sz w:val="20"/>
                <w:szCs w:val="20"/>
                <w:color w:val="auto"/>
              </w:rPr>
            </w:pPr>
            <w:r>
              <w:rPr>
                <w:rFonts w:ascii="Arial" w:cs="Arial" w:eastAsia="Arial" w:hAnsi="Arial"/>
                <w:sz w:val="20"/>
                <w:szCs w:val="20"/>
                <w:color w:val="auto"/>
                <w:w w:val="89"/>
              </w:rPr>
              <w:t>2017</w:t>
            </w:r>
          </w:p>
        </w:tc>
        <w:tc>
          <w:tcPr>
            <w:tcW w:w="2080" w:type="dxa"/>
            <w:vAlign w:val="bottom"/>
            <w:tcBorders>
              <w:top w:val="single" w:sz="8" w:color="auto"/>
            </w:tcBorders>
            <w:gridSpan w:val="3"/>
          </w:tcPr>
          <w:p>
            <w:pPr>
              <w:jc w:val="center"/>
              <w:ind w:left="581"/>
              <w:spacing w:after="0" w:line="223" w:lineRule="exact"/>
              <w:rPr>
                <w:sz w:val="20"/>
                <w:szCs w:val="20"/>
                <w:color w:val="auto"/>
              </w:rPr>
            </w:pPr>
            <w:r>
              <w:rPr>
                <w:rFonts w:ascii="Arial" w:cs="Arial" w:eastAsia="Arial" w:hAnsi="Arial"/>
                <w:sz w:val="20"/>
                <w:szCs w:val="20"/>
                <w:color w:val="auto"/>
                <w:w w:val="89"/>
              </w:rPr>
              <w:t>2016</w:t>
            </w:r>
          </w:p>
        </w:tc>
        <w:tc>
          <w:tcPr>
            <w:tcW w:w="200" w:type="dxa"/>
            <w:vAlign w:val="bottom"/>
          </w:tcPr>
          <w:p>
            <w:pPr>
              <w:spacing w:after="0"/>
              <w:rPr>
                <w:sz w:val="19"/>
                <w:szCs w:val="19"/>
                <w:color w:val="auto"/>
              </w:rPr>
            </w:pPr>
          </w:p>
        </w:tc>
        <w:tc>
          <w:tcPr>
            <w:tcW w:w="900" w:type="dxa"/>
            <w:vAlign w:val="bottom"/>
            <w:tcBorders>
              <w:top w:val="single" w:sz="8" w:color="auto"/>
            </w:tcBorders>
          </w:tcPr>
          <w:p>
            <w:pPr>
              <w:jc w:val="center"/>
              <w:ind w:left="381"/>
              <w:spacing w:after="0" w:line="223" w:lineRule="exact"/>
              <w:rPr>
                <w:sz w:val="20"/>
                <w:szCs w:val="20"/>
                <w:color w:val="auto"/>
              </w:rPr>
            </w:pPr>
            <w:r>
              <w:rPr>
                <w:rFonts w:ascii="Arial" w:cs="Arial" w:eastAsia="Arial" w:hAnsi="Arial"/>
                <w:sz w:val="20"/>
                <w:szCs w:val="20"/>
                <w:color w:val="auto"/>
                <w:w w:val="85"/>
              </w:rPr>
              <w:t>2017</w:t>
            </w:r>
          </w:p>
        </w:tc>
        <w:tc>
          <w:tcPr>
            <w:tcW w:w="2060" w:type="dxa"/>
            <w:vAlign w:val="bottom"/>
            <w:tcBorders>
              <w:top w:val="single" w:sz="8" w:color="auto"/>
            </w:tcBorders>
            <w:gridSpan w:val="3"/>
          </w:tcPr>
          <w:p>
            <w:pPr>
              <w:jc w:val="center"/>
              <w:ind w:left="581"/>
              <w:spacing w:after="0" w:line="223" w:lineRule="exact"/>
              <w:rPr>
                <w:sz w:val="20"/>
                <w:szCs w:val="20"/>
                <w:color w:val="auto"/>
              </w:rPr>
            </w:pPr>
            <w:r>
              <w:rPr>
                <w:rFonts w:ascii="Arial" w:cs="Arial" w:eastAsia="Arial" w:hAnsi="Arial"/>
                <w:sz w:val="20"/>
                <w:szCs w:val="20"/>
                <w:color w:val="auto"/>
                <w:w w:val="85"/>
              </w:rPr>
              <w:t>2016</w:t>
            </w:r>
          </w:p>
        </w:tc>
        <w:tc>
          <w:tcPr>
            <w:tcW w:w="0" w:type="dxa"/>
            <w:vAlign w:val="bottom"/>
          </w:tcPr>
          <w:p>
            <w:pPr>
              <w:spacing w:after="0"/>
              <w:rPr>
                <w:sz w:val="1"/>
                <w:szCs w:val="1"/>
                <w:color w:val="auto"/>
              </w:rPr>
            </w:pPr>
          </w:p>
        </w:tc>
      </w:tr>
      <w:tr>
        <w:trPr>
          <w:trHeight w:val="206"/>
        </w:trPr>
        <w:tc>
          <w:tcPr>
            <w:tcW w:w="5160" w:type="dxa"/>
            <w:vAlign w:val="bottom"/>
            <w:gridSpan w:val="2"/>
            <w:vMerge w:val="continue"/>
          </w:tcPr>
          <w:p>
            <w:pPr>
              <w:spacing w:after="0"/>
              <w:rPr>
                <w:sz w:val="17"/>
                <w:szCs w:val="17"/>
                <w:color w:val="auto"/>
              </w:rPr>
            </w:pPr>
          </w:p>
        </w:tc>
        <w:tc>
          <w:tcPr>
            <w:tcW w:w="920" w:type="dxa"/>
            <w:vAlign w:val="bottom"/>
            <w:tcBorders>
              <w:top w:val="single" w:sz="8" w:color="auto"/>
            </w:tcBorders>
          </w:tcPr>
          <w:p>
            <w:pPr>
              <w:jc w:val="center"/>
              <w:ind w:left="381"/>
              <w:spacing w:after="0" w:line="207" w:lineRule="exact"/>
              <w:rPr>
                <w:sz w:val="20"/>
                <w:szCs w:val="20"/>
                <w:color w:val="auto"/>
              </w:rPr>
            </w:pPr>
            <w:r>
              <w:rPr>
                <w:rFonts w:ascii="Arial" w:cs="Arial" w:eastAsia="Arial" w:hAnsi="Arial"/>
                <w:sz w:val="20"/>
                <w:szCs w:val="20"/>
                <w:color w:val="auto"/>
                <w:w w:val="89"/>
              </w:rPr>
              <w:t>62%</w:t>
            </w:r>
          </w:p>
        </w:tc>
        <w:tc>
          <w:tcPr>
            <w:tcW w:w="4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89"/>
              </w:rPr>
              <w:t>65%</w:t>
            </w:r>
          </w:p>
        </w:tc>
        <w:tc>
          <w:tcPr>
            <w:tcW w:w="200" w:type="dxa"/>
            <w:vAlign w:val="bottom"/>
          </w:tcPr>
          <w:p>
            <w:pPr>
              <w:spacing w:after="0"/>
              <w:rPr>
                <w:sz w:val="17"/>
                <w:szCs w:val="17"/>
                <w:color w:val="auto"/>
              </w:rPr>
            </w:pPr>
          </w:p>
        </w:tc>
        <w:tc>
          <w:tcPr>
            <w:tcW w:w="900" w:type="dxa"/>
            <w:vAlign w:val="bottom"/>
            <w:tcBorders>
              <w:top w:val="single" w:sz="8" w:color="auto"/>
            </w:tcBorders>
          </w:tcPr>
          <w:p>
            <w:pPr>
              <w:jc w:val="center"/>
              <w:ind w:left="381"/>
              <w:spacing w:after="0" w:line="207" w:lineRule="exact"/>
              <w:rPr>
                <w:sz w:val="20"/>
                <w:szCs w:val="20"/>
                <w:color w:val="auto"/>
              </w:rPr>
            </w:pPr>
            <w:r>
              <w:rPr>
                <w:rFonts w:ascii="Arial" w:cs="Arial" w:eastAsia="Arial" w:hAnsi="Arial"/>
                <w:sz w:val="20"/>
                <w:szCs w:val="20"/>
                <w:color w:val="auto"/>
                <w:w w:val="94"/>
              </w:rPr>
              <w:t>62%</w:t>
            </w:r>
          </w:p>
        </w:tc>
        <w:tc>
          <w:tcPr>
            <w:tcW w:w="4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94"/>
              </w:rPr>
              <w:t>65%</w:t>
            </w:r>
          </w:p>
        </w:tc>
        <w:tc>
          <w:tcPr>
            <w:tcW w:w="0" w:type="dxa"/>
            <w:vAlign w:val="bottom"/>
          </w:tcPr>
          <w:p>
            <w:pPr>
              <w:spacing w:after="0"/>
              <w:rPr>
                <w:sz w:val="1"/>
                <w:szCs w:val="1"/>
                <w:color w:val="auto"/>
              </w:rPr>
            </w:pPr>
          </w:p>
        </w:tc>
      </w:tr>
      <w:tr>
        <w:trPr>
          <w:trHeight w:val="230"/>
        </w:trPr>
        <w:tc>
          <w:tcPr>
            <w:tcW w:w="5160" w:type="dxa"/>
            <w:vAlign w:val="bottom"/>
            <w:gridSpan w:val="2"/>
          </w:tcPr>
          <w:p>
            <w:pPr>
              <w:spacing w:after="0"/>
              <w:rPr>
                <w:sz w:val="20"/>
                <w:szCs w:val="20"/>
                <w:color w:val="auto"/>
              </w:rPr>
            </w:pPr>
            <w:r>
              <w:rPr>
                <w:rFonts w:ascii="Arial" w:cs="Arial" w:eastAsia="Arial" w:hAnsi="Arial"/>
                <w:sz w:val="20"/>
                <w:szCs w:val="20"/>
                <w:color w:val="auto"/>
              </w:rPr>
              <w:t>International full service bottlers/distributors</w:t>
            </w:r>
          </w:p>
        </w:tc>
        <w:tc>
          <w:tcPr>
            <w:tcW w:w="920" w:type="dxa"/>
            <w:vAlign w:val="bottom"/>
          </w:tcPr>
          <w:p>
            <w:pPr>
              <w:jc w:val="center"/>
              <w:ind w:left="381"/>
              <w:spacing w:after="0"/>
              <w:rPr>
                <w:sz w:val="20"/>
                <w:szCs w:val="20"/>
                <w:color w:val="auto"/>
              </w:rPr>
            </w:pPr>
            <w:r>
              <w:rPr>
                <w:rFonts w:ascii="Arial" w:cs="Arial" w:eastAsia="Arial" w:hAnsi="Arial"/>
                <w:sz w:val="20"/>
                <w:szCs w:val="20"/>
                <w:color w:val="auto"/>
                <w:w w:val="89"/>
              </w:rPr>
              <w:t>30%</w:t>
            </w:r>
          </w:p>
        </w:tc>
        <w:tc>
          <w:tcPr>
            <w:tcW w:w="2080" w:type="dxa"/>
            <w:vAlign w:val="bottom"/>
            <w:gridSpan w:val="3"/>
          </w:tcPr>
          <w:p>
            <w:pPr>
              <w:jc w:val="center"/>
              <w:ind w:left="581"/>
              <w:spacing w:after="0"/>
              <w:rPr>
                <w:sz w:val="20"/>
                <w:szCs w:val="20"/>
                <w:color w:val="auto"/>
              </w:rPr>
            </w:pPr>
            <w:r>
              <w:rPr>
                <w:rFonts w:ascii="Arial" w:cs="Arial" w:eastAsia="Arial" w:hAnsi="Arial"/>
                <w:sz w:val="20"/>
                <w:szCs w:val="20"/>
                <w:color w:val="auto"/>
                <w:w w:val="89"/>
              </w:rPr>
              <w:t>26%</w:t>
            </w:r>
          </w:p>
        </w:tc>
        <w:tc>
          <w:tcPr>
            <w:tcW w:w="200" w:type="dxa"/>
            <w:vAlign w:val="bottom"/>
          </w:tcPr>
          <w:p>
            <w:pPr>
              <w:spacing w:after="0"/>
              <w:rPr>
                <w:sz w:val="19"/>
                <w:szCs w:val="19"/>
                <w:color w:val="auto"/>
              </w:rPr>
            </w:pPr>
          </w:p>
        </w:tc>
        <w:tc>
          <w:tcPr>
            <w:tcW w:w="900" w:type="dxa"/>
            <w:vAlign w:val="bottom"/>
          </w:tcPr>
          <w:p>
            <w:pPr>
              <w:jc w:val="center"/>
              <w:ind w:left="381"/>
              <w:spacing w:after="0"/>
              <w:rPr>
                <w:sz w:val="20"/>
                <w:szCs w:val="20"/>
                <w:color w:val="auto"/>
              </w:rPr>
            </w:pPr>
            <w:r>
              <w:rPr>
                <w:rFonts w:ascii="Arial" w:cs="Arial" w:eastAsia="Arial" w:hAnsi="Arial"/>
                <w:sz w:val="20"/>
                <w:szCs w:val="20"/>
                <w:color w:val="auto"/>
                <w:w w:val="94"/>
              </w:rPr>
              <w:t>29%</w:t>
            </w:r>
          </w:p>
        </w:tc>
        <w:tc>
          <w:tcPr>
            <w:tcW w:w="2060" w:type="dxa"/>
            <w:vAlign w:val="bottom"/>
            <w:gridSpan w:val="3"/>
          </w:tcPr>
          <w:p>
            <w:pPr>
              <w:jc w:val="center"/>
              <w:ind w:left="581"/>
              <w:spacing w:after="0"/>
              <w:rPr>
                <w:sz w:val="20"/>
                <w:szCs w:val="20"/>
                <w:color w:val="auto"/>
              </w:rPr>
            </w:pPr>
            <w:r>
              <w:rPr>
                <w:rFonts w:ascii="Arial" w:cs="Arial" w:eastAsia="Arial" w:hAnsi="Arial"/>
                <w:sz w:val="20"/>
                <w:szCs w:val="20"/>
                <w:color w:val="auto"/>
                <w:w w:val="94"/>
              </w:rPr>
              <w:t>25%</w:t>
            </w:r>
          </w:p>
        </w:tc>
        <w:tc>
          <w:tcPr>
            <w:tcW w:w="0" w:type="dxa"/>
            <w:vAlign w:val="bottom"/>
          </w:tcPr>
          <w:p>
            <w:pPr>
              <w:spacing w:after="0"/>
              <w:rPr>
                <w:sz w:val="1"/>
                <w:szCs w:val="1"/>
                <w:color w:val="auto"/>
              </w:rPr>
            </w:pPr>
          </w:p>
        </w:tc>
      </w:tr>
      <w:tr>
        <w:trPr>
          <w:trHeight w:val="230"/>
        </w:trPr>
        <w:tc>
          <w:tcPr>
            <w:tcW w:w="5160" w:type="dxa"/>
            <w:vAlign w:val="bottom"/>
            <w:gridSpan w:val="2"/>
          </w:tcPr>
          <w:p>
            <w:pPr>
              <w:spacing w:after="0"/>
              <w:rPr>
                <w:sz w:val="20"/>
                <w:szCs w:val="20"/>
                <w:color w:val="auto"/>
              </w:rPr>
            </w:pPr>
            <w:r>
              <w:rPr>
                <w:rFonts w:ascii="Arial" w:cs="Arial" w:eastAsia="Arial" w:hAnsi="Arial"/>
                <w:sz w:val="20"/>
                <w:szCs w:val="20"/>
                <w:color w:val="auto"/>
              </w:rPr>
              <w:t>Club stores and mass merchandisers</w:t>
            </w:r>
          </w:p>
        </w:tc>
        <w:tc>
          <w:tcPr>
            <w:tcW w:w="920" w:type="dxa"/>
            <w:vAlign w:val="bottom"/>
          </w:tcPr>
          <w:p>
            <w:pPr>
              <w:jc w:val="center"/>
              <w:ind w:left="361"/>
              <w:spacing w:after="0"/>
              <w:rPr>
                <w:sz w:val="20"/>
                <w:szCs w:val="20"/>
                <w:color w:val="auto"/>
              </w:rPr>
            </w:pPr>
            <w:r>
              <w:rPr>
                <w:rFonts w:ascii="Arial" w:cs="Arial" w:eastAsia="Arial" w:hAnsi="Arial"/>
                <w:sz w:val="20"/>
                <w:szCs w:val="20"/>
                <w:color w:val="auto"/>
                <w:w w:val="89"/>
              </w:rPr>
              <w:t>7%</w:t>
            </w:r>
          </w:p>
        </w:tc>
        <w:tc>
          <w:tcPr>
            <w:tcW w:w="2080" w:type="dxa"/>
            <w:vAlign w:val="bottom"/>
            <w:gridSpan w:val="3"/>
          </w:tcPr>
          <w:p>
            <w:pPr>
              <w:jc w:val="center"/>
              <w:ind w:left="601"/>
              <w:spacing w:after="0"/>
              <w:rPr>
                <w:sz w:val="20"/>
                <w:szCs w:val="20"/>
                <w:color w:val="auto"/>
              </w:rPr>
            </w:pPr>
            <w:r>
              <w:rPr>
                <w:rFonts w:ascii="Arial" w:cs="Arial" w:eastAsia="Arial" w:hAnsi="Arial"/>
                <w:sz w:val="20"/>
                <w:szCs w:val="20"/>
                <w:color w:val="auto"/>
                <w:w w:val="89"/>
              </w:rPr>
              <w:t>7%</w:t>
            </w:r>
          </w:p>
        </w:tc>
        <w:tc>
          <w:tcPr>
            <w:tcW w:w="200" w:type="dxa"/>
            <w:vAlign w:val="bottom"/>
          </w:tcPr>
          <w:p>
            <w:pPr>
              <w:spacing w:after="0"/>
              <w:rPr>
                <w:sz w:val="19"/>
                <w:szCs w:val="19"/>
                <w:color w:val="auto"/>
              </w:rPr>
            </w:pPr>
          </w:p>
        </w:tc>
        <w:tc>
          <w:tcPr>
            <w:tcW w:w="900" w:type="dxa"/>
            <w:vAlign w:val="bottom"/>
          </w:tcPr>
          <w:p>
            <w:pPr>
              <w:jc w:val="center"/>
              <w:ind w:left="381"/>
              <w:spacing w:after="0"/>
              <w:rPr>
                <w:sz w:val="20"/>
                <w:szCs w:val="20"/>
                <w:color w:val="auto"/>
              </w:rPr>
            </w:pPr>
            <w:r>
              <w:rPr>
                <w:rFonts w:ascii="Arial" w:cs="Arial" w:eastAsia="Arial" w:hAnsi="Arial"/>
                <w:sz w:val="20"/>
                <w:szCs w:val="20"/>
                <w:color w:val="auto"/>
                <w:w w:val="89"/>
              </w:rPr>
              <w:t>7%</w:t>
            </w:r>
          </w:p>
        </w:tc>
        <w:tc>
          <w:tcPr>
            <w:tcW w:w="2060" w:type="dxa"/>
            <w:vAlign w:val="bottom"/>
            <w:gridSpan w:val="3"/>
          </w:tcPr>
          <w:p>
            <w:pPr>
              <w:jc w:val="center"/>
              <w:ind w:left="581"/>
              <w:spacing w:after="0"/>
              <w:rPr>
                <w:sz w:val="20"/>
                <w:szCs w:val="20"/>
                <w:color w:val="auto"/>
              </w:rPr>
            </w:pPr>
            <w:r>
              <w:rPr>
                <w:rFonts w:ascii="Arial" w:cs="Arial" w:eastAsia="Arial" w:hAnsi="Arial"/>
                <w:sz w:val="20"/>
                <w:szCs w:val="20"/>
                <w:color w:val="auto"/>
                <w:w w:val="89"/>
              </w:rPr>
              <w:t>8%</w:t>
            </w:r>
          </w:p>
        </w:tc>
        <w:tc>
          <w:tcPr>
            <w:tcW w:w="0" w:type="dxa"/>
            <w:vAlign w:val="bottom"/>
          </w:tcPr>
          <w:p>
            <w:pPr>
              <w:spacing w:after="0"/>
              <w:rPr>
                <w:sz w:val="1"/>
                <w:szCs w:val="1"/>
                <w:color w:val="auto"/>
              </w:rPr>
            </w:pPr>
          </w:p>
        </w:tc>
      </w:tr>
      <w:tr>
        <w:trPr>
          <w:trHeight w:val="230"/>
        </w:trPr>
        <w:tc>
          <w:tcPr>
            <w:tcW w:w="5160" w:type="dxa"/>
            <w:vAlign w:val="bottom"/>
            <w:gridSpan w:val="2"/>
          </w:tcPr>
          <w:p>
            <w:pPr>
              <w:spacing w:after="0"/>
              <w:rPr>
                <w:sz w:val="20"/>
                <w:szCs w:val="20"/>
                <w:color w:val="auto"/>
              </w:rPr>
            </w:pPr>
            <w:r>
              <w:rPr>
                <w:rFonts w:ascii="Arial" w:cs="Arial" w:eastAsia="Arial" w:hAnsi="Arial"/>
                <w:sz w:val="20"/>
                <w:szCs w:val="20"/>
                <w:color w:val="auto"/>
              </w:rPr>
              <w:t>Retail grocery, specialty chains and wholesalers</w:t>
            </w:r>
          </w:p>
        </w:tc>
        <w:tc>
          <w:tcPr>
            <w:tcW w:w="920" w:type="dxa"/>
            <w:vAlign w:val="bottom"/>
          </w:tcPr>
          <w:p>
            <w:pPr>
              <w:jc w:val="center"/>
              <w:ind w:left="361"/>
              <w:spacing w:after="0"/>
              <w:rPr>
                <w:sz w:val="20"/>
                <w:szCs w:val="20"/>
                <w:color w:val="auto"/>
              </w:rPr>
            </w:pPr>
            <w:r>
              <w:rPr>
                <w:rFonts w:ascii="Arial" w:cs="Arial" w:eastAsia="Arial" w:hAnsi="Arial"/>
                <w:sz w:val="20"/>
                <w:szCs w:val="20"/>
                <w:color w:val="auto"/>
                <w:w w:val="89"/>
              </w:rPr>
              <w:t>1%</w:t>
            </w:r>
          </w:p>
        </w:tc>
        <w:tc>
          <w:tcPr>
            <w:tcW w:w="2080" w:type="dxa"/>
            <w:vAlign w:val="bottom"/>
            <w:gridSpan w:val="3"/>
          </w:tcPr>
          <w:p>
            <w:pPr>
              <w:jc w:val="center"/>
              <w:ind w:left="601"/>
              <w:spacing w:after="0"/>
              <w:rPr>
                <w:sz w:val="20"/>
                <w:szCs w:val="20"/>
                <w:color w:val="auto"/>
              </w:rPr>
            </w:pPr>
            <w:r>
              <w:rPr>
                <w:rFonts w:ascii="Arial" w:cs="Arial" w:eastAsia="Arial" w:hAnsi="Arial"/>
                <w:sz w:val="20"/>
                <w:szCs w:val="20"/>
                <w:color w:val="auto"/>
                <w:w w:val="89"/>
              </w:rPr>
              <w:t>1%</w:t>
            </w:r>
          </w:p>
        </w:tc>
        <w:tc>
          <w:tcPr>
            <w:tcW w:w="200" w:type="dxa"/>
            <w:vAlign w:val="bottom"/>
          </w:tcPr>
          <w:p>
            <w:pPr>
              <w:spacing w:after="0"/>
              <w:rPr>
                <w:sz w:val="19"/>
                <w:szCs w:val="19"/>
                <w:color w:val="auto"/>
              </w:rPr>
            </w:pPr>
          </w:p>
        </w:tc>
        <w:tc>
          <w:tcPr>
            <w:tcW w:w="900" w:type="dxa"/>
            <w:vAlign w:val="bottom"/>
          </w:tcPr>
          <w:p>
            <w:pPr>
              <w:jc w:val="center"/>
              <w:ind w:left="381"/>
              <w:spacing w:after="0"/>
              <w:rPr>
                <w:sz w:val="20"/>
                <w:szCs w:val="20"/>
                <w:color w:val="auto"/>
              </w:rPr>
            </w:pPr>
            <w:r>
              <w:rPr>
                <w:rFonts w:ascii="Arial" w:cs="Arial" w:eastAsia="Arial" w:hAnsi="Arial"/>
                <w:sz w:val="20"/>
                <w:szCs w:val="20"/>
                <w:color w:val="auto"/>
                <w:w w:val="89"/>
              </w:rPr>
              <w:t>1%</w:t>
            </w:r>
          </w:p>
        </w:tc>
        <w:tc>
          <w:tcPr>
            <w:tcW w:w="2060" w:type="dxa"/>
            <w:vAlign w:val="bottom"/>
            <w:gridSpan w:val="3"/>
          </w:tcPr>
          <w:p>
            <w:pPr>
              <w:jc w:val="center"/>
              <w:ind w:left="581"/>
              <w:spacing w:after="0"/>
              <w:rPr>
                <w:sz w:val="20"/>
                <w:szCs w:val="20"/>
                <w:color w:val="auto"/>
              </w:rPr>
            </w:pPr>
            <w:r>
              <w:rPr>
                <w:rFonts w:ascii="Arial" w:cs="Arial" w:eastAsia="Arial" w:hAnsi="Arial"/>
                <w:sz w:val="20"/>
                <w:szCs w:val="20"/>
                <w:color w:val="auto"/>
                <w:w w:val="89"/>
              </w:rPr>
              <w:t>1%</w:t>
            </w:r>
          </w:p>
        </w:tc>
        <w:tc>
          <w:tcPr>
            <w:tcW w:w="0" w:type="dxa"/>
            <w:vAlign w:val="bottom"/>
          </w:tcPr>
          <w:p>
            <w:pPr>
              <w:spacing w:after="0"/>
              <w:rPr>
                <w:sz w:val="1"/>
                <w:szCs w:val="1"/>
                <w:color w:val="auto"/>
              </w:rPr>
            </w:pPr>
          </w:p>
        </w:tc>
      </w:tr>
      <w:tr>
        <w:trPr>
          <w:trHeight w:val="250"/>
        </w:trPr>
        <w:tc>
          <w:tcPr>
            <w:tcW w:w="5160" w:type="dxa"/>
            <w:vAlign w:val="bottom"/>
            <w:gridSpan w:val="2"/>
          </w:tcPr>
          <w:p>
            <w:pPr>
              <w:spacing w:after="0"/>
              <w:rPr>
                <w:sz w:val="20"/>
                <w:szCs w:val="20"/>
                <w:color w:val="auto"/>
              </w:rPr>
            </w:pPr>
            <w:r>
              <w:rPr>
                <w:rFonts w:ascii="Arial" w:cs="Arial" w:eastAsia="Arial" w:hAnsi="Arial"/>
                <w:sz w:val="20"/>
                <w:szCs w:val="20"/>
                <w:color w:val="auto"/>
              </w:rPr>
              <w:t>Other</w:t>
            </w:r>
          </w:p>
        </w:tc>
        <w:tc>
          <w:tcPr>
            <w:tcW w:w="920" w:type="dxa"/>
            <w:vAlign w:val="bottom"/>
          </w:tcPr>
          <w:p>
            <w:pPr>
              <w:jc w:val="center"/>
              <w:ind w:left="361"/>
              <w:spacing w:after="0"/>
              <w:rPr>
                <w:sz w:val="20"/>
                <w:szCs w:val="20"/>
                <w:color w:val="auto"/>
              </w:rPr>
            </w:pPr>
            <w:r>
              <w:rPr>
                <w:rFonts w:ascii="Arial" w:cs="Arial" w:eastAsia="Arial" w:hAnsi="Arial"/>
                <w:sz w:val="20"/>
                <w:szCs w:val="20"/>
                <w:color w:val="auto"/>
                <w:w w:val="89"/>
              </w:rPr>
              <w:t>0%</w:t>
            </w:r>
          </w:p>
        </w:tc>
        <w:tc>
          <w:tcPr>
            <w:tcW w:w="2080" w:type="dxa"/>
            <w:vAlign w:val="bottom"/>
            <w:gridSpan w:val="3"/>
          </w:tcPr>
          <w:p>
            <w:pPr>
              <w:jc w:val="center"/>
              <w:ind w:left="601"/>
              <w:spacing w:after="0"/>
              <w:rPr>
                <w:sz w:val="20"/>
                <w:szCs w:val="20"/>
                <w:color w:val="auto"/>
              </w:rPr>
            </w:pPr>
            <w:r>
              <w:rPr>
                <w:rFonts w:ascii="Arial" w:cs="Arial" w:eastAsia="Arial" w:hAnsi="Arial"/>
                <w:sz w:val="20"/>
                <w:szCs w:val="20"/>
                <w:color w:val="auto"/>
                <w:w w:val="89"/>
              </w:rPr>
              <w:t>1%</w:t>
            </w:r>
          </w:p>
        </w:tc>
        <w:tc>
          <w:tcPr>
            <w:tcW w:w="200" w:type="dxa"/>
            <w:vAlign w:val="bottom"/>
          </w:tcPr>
          <w:p>
            <w:pPr>
              <w:spacing w:after="0"/>
              <w:rPr>
                <w:sz w:val="21"/>
                <w:szCs w:val="21"/>
                <w:color w:val="auto"/>
              </w:rPr>
            </w:pPr>
          </w:p>
        </w:tc>
        <w:tc>
          <w:tcPr>
            <w:tcW w:w="900" w:type="dxa"/>
            <w:vAlign w:val="bottom"/>
          </w:tcPr>
          <w:p>
            <w:pPr>
              <w:jc w:val="center"/>
              <w:ind w:left="381"/>
              <w:spacing w:after="0"/>
              <w:rPr>
                <w:sz w:val="20"/>
                <w:szCs w:val="20"/>
                <w:color w:val="auto"/>
              </w:rPr>
            </w:pPr>
            <w:r>
              <w:rPr>
                <w:rFonts w:ascii="Arial" w:cs="Arial" w:eastAsia="Arial" w:hAnsi="Arial"/>
                <w:sz w:val="20"/>
                <w:szCs w:val="20"/>
                <w:color w:val="auto"/>
                <w:w w:val="89"/>
              </w:rPr>
              <w:t>1%</w:t>
            </w:r>
          </w:p>
        </w:tc>
        <w:tc>
          <w:tcPr>
            <w:tcW w:w="2060" w:type="dxa"/>
            <w:vAlign w:val="bottom"/>
            <w:gridSpan w:val="3"/>
          </w:tcPr>
          <w:p>
            <w:pPr>
              <w:jc w:val="center"/>
              <w:ind w:left="581"/>
              <w:spacing w:after="0"/>
              <w:rPr>
                <w:sz w:val="20"/>
                <w:szCs w:val="20"/>
                <w:color w:val="auto"/>
              </w:rPr>
            </w:pPr>
            <w:r>
              <w:rPr>
                <w:rFonts w:ascii="Arial" w:cs="Arial" w:eastAsia="Arial" w:hAnsi="Arial"/>
                <w:sz w:val="20"/>
                <w:szCs w:val="20"/>
                <w:color w:val="auto"/>
                <w:w w:val="89"/>
              </w:rPr>
              <w:t>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Our customers include Coca-Cola Refreshments USA, Inc., Coca-Cola Bottling Company, CCBCC Operations, LLC, United Bottling Contracts Company, LLC, Reyes Coca-Cola Bottling, Great Lakes Coca-Cola Bottling, Coca-Cola Southwest Beverages LLC and certain other TCCC independent bottlers, Coca-Cola European Partners, Coca-Cola Hellenic, Coca-Cola FEMSA, Coca-Cola Amatil, Swire Coca-Cola group in China, COFCO Coca-Cola group in China, Coca-Cola Beverages Africa, Asahi Soft Drinks, Co., Ltd., Kalil Bottling Group, Wal-Mart, Inc. (including Sam’s Club), Costco Wholesale Corporation and select Anheuser-Busch distributors (the “AB Distributors”). TCCC, through certain wholly-owned subsidiaries (the “TCCC Subsidiaries”), accounted for approximately 14% and 41% of our net sales for the three-months ended September 30, 2017 and 2016, respectively. The TCCC Subsidiaries, accounted for approximately 21% and 43% of our net sales for the nine-months ended September 30, 2017 and 2016, respectively. As part of TCCC’s North America Refranchising initiative (the “North America Refranchising”), the territories of certain TCCC Subsidiaries have been transitioned to certain independent/non wholly-owned TCCC bottler/distributors. Accordingly, our percentage of net sales classified as sales to the TCCC Subsidiaries decreased for the three- and nine-months ended September 30, 2017. CCBCC Operations, LLC accounted for approximately 14% and 9% of our net sales for the three-months ended September 30, 2017 and 2016, respectively. CCBCC Operations, LLC accounted for approximately 13% and 8% of our net sales for the nine-months ended September 30, 2017 and 2016, respectively. A decision by any large customer to decrease amounts purchased from us or to cease carrying our products could have a material negative effect on our financial condition and consolidated results of operations.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sets forth key statistics for the three- and nine-months ended September 30, 2017 and 2016.</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0" w:type="dxa"/>
            <w:vAlign w:val="bottom"/>
            <w:gridSpan w:val="4"/>
          </w:tcPr>
          <w:p>
            <w:pPr>
              <w:jc w:val="center"/>
              <w:ind w:right="179"/>
              <w:spacing w:after="0"/>
              <w:rPr>
                <w:sz w:val="20"/>
                <w:szCs w:val="20"/>
                <w:color w:val="auto"/>
              </w:rPr>
            </w:pPr>
            <w:r>
              <w:rPr>
                <w:rFonts w:ascii="Arial" w:cs="Arial" w:eastAsia="Arial" w:hAnsi="Arial"/>
                <w:sz w:val="16"/>
                <w:szCs w:val="16"/>
                <w:b w:val="1"/>
                <w:bCs w:val="1"/>
                <w:color w:val="auto"/>
                <w:w w:val="94"/>
              </w:rPr>
              <w:t>Three-Months Ended</w:t>
            </w:r>
          </w:p>
        </w:tc>
        <w:tc>
          <w:tcPr>
            <w:tcW w:w="180" w:type="dxa"/>
            <w:vAlign w:val="bottom"/>
          </w:tcPr>
          <w:p>
            <w:pPr>
              <w:spacing w:after="0"/>
              <w:rPr>
                <w:sz w:val="17"/>
                <w:szCs w:val="17"/>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8"/>
              </w:rPr>
              <w:t>Percentage</w:t>
            </w:r>
          </w:p>
        </w:tc>
        <w:tc>
          <w:tcPr>
            <w:tcW w:w="280" w:type="dxa"/>
            <w:vAlign w:val="bottom"/>
          </w:tcPr>
          <w:p>
            <w:pPr>
              <w:spacing w:after="0"/>
              <w:rPr>
                <w:sz w:val="17"/>
                <w:szCs w:val="17"/>
                <w:color w:val="auto"/>
              </w:rPr>
            </w:pPr>
          </w:p>
        </w:tc>
        <w:tc>
          <w:tcPr>
            <w:tcW w:w="2260" w:type="dxa"/>
            <w:vAlign w:val="bottom"/>
            <w:gridSpan w:val="4"/>
          </w:tcPr>
          <w:p>
            <w:pPr>
              <w:jc w:val="center"/>
              <w:ind w:right="219"/>
              <w:spacing w:after="0"/>
              <w:rPr>
                <w:sz w:val="20"/>
                <w:szCs w:val="20"/>
                <w:color w:val="auto"/>
              </w:rPr>
            </w:pPr>
            <w:r>
              <w:rPr>
                <w:rFonts w:ascii="Arial" w:cs="Arial" w:eastAsia="Arial" w:hAnsi="Arial"/>
                <w:sz w:val="16"/>
                <w:szCs w:val="16"/>
                <w:b w:val="1"/>
                <w:bCs w:val="1"/>
                <w:color w:val="auto"/>
                <w:w w:val="93"/>
              </w:rPr>
              <w:t>Nine-Months Ended</w:t>
            </w:r>
          </w:p>
        </w:tc>
        <w:tc>
          <w:tcPr>
            <w:tcW w:w="16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8"/>
              </w:rPr>
              <w:t>Percentage</w:t>
            </w:r>
          </w:p>
        </w:tc>
      </w:tr>
      <w:tr>
        <w:trPr>
          <w:trHeight w:val="210"/>
        </w:trPr>
        <w:tc>
          <w:tcPr>
            <w:tcW w:w="3380" w:type="dxa"/>
            <w:vAlign w:val="bottom"/>
          </w:tcPr>
          <w:p>
            <w:pPr>
              <w:spacing w:after="0"/>
              <w:rPr>
                <w:sz w:val="20"/>
                <w:szCs w:val="20"/>
                <w:color w:val="auto"/>
              </w:rPr>
            </w:pPr>
            <w:r>
              <w:rPr>
                <w:rFonts w:ascii="Arial" w:cs="Arial" w:eastAsia="Arial" w:hAnsi="Arial"/>
                <w:sz w:val="16"/>
                <w:szCs w:val="16"/>
                <w:color w:val="auto"/>
              </w:rPr>
              <w:t>(In thousands, except per share amounts)</w:t>
            </w:r>
          </w:p>
        </w:tc>
        <w:tc>
          <w:tcPr>
            <w:tcW w:w="280" w:type="dxa"/>
            <w:vAlign w:val="bottom"/>
          </w:tcPr>
          <w:p>
            <w:pPr>
              <w:spacing w:after="0"/>
              <w:rPr>
                <w:sz w:val="18"/>
                <w:szCs w:val="18"/>
                <w:color w:val="auto"/>
              </w:rPr>
            </w:pPr>
          </w:p>
        </w:tc>
        <w:tc>
          <w:tcPr>
            <w:tcW w:w="1460" w:type="dxa"/>
            <w:vAlign w:val="bottom"/>
            <w:gridSpan w:val="3"/>
          </w:tcPr>
          <w:p>
            <w:pPr>
              <w:jc w:val="center"/>
              <w:ind w:left="399"/>
              <w:spacing w:after="0"/>
              <w:rPr>
                <w:sz w:val="20"/>
                <w:szCs w:val="20"/>
                <w:color w:val="auto"/>
              </w:rPr>
            </w:pPr>
            <w:r>
              <w:rPr>
                <w:rFonts w:ascii="Arial" w:cs="Arial" w:eastAsia="Arial" w:hAnsi="Arial"/>
                <w:sz w:val="16"/>
                <w:szCs w:val="16"/>
                <w:b w:val="1"/>
                <w:bCs w:val="1"/>
                <w:color w:val="auto"/>
                <w:w w:val="89"/>
              </w:rPr>
              <w:t>September 30,</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Change</w:t>
            </w:r>
          </w:p>
        </w:tc>
        <w:tc>
          <w:tcPr>
            <w:tcW w:w="280" w:type="dxa"/>
            <w:vAlign w:val="bottom"/>
          </w:tcPr>
          <w:p>
            <w:pPr>
              <w:spacing w:after="0"/>
              <w:rPr>
                <w:sz w:val="18"/>
                <w:szCs w:val="18"/>
                <w:color w:val="auto"/>
              </w:rPr>
            </w:pPr>
          </w:p>
        </w:tc>
        <w:tc>
          <w:tcPr>
            <w:tcW w:w="1480" w:type="dxa"/>
            <w:vAlign w:val="bottom"/>
            <w:gridSpan w:val="3"/>
          </w:tcPr>
          <w:p>
            <w:pPr>
              <w:jc w:val="center"/>
              <w:ind w:left="419"/>
              <w:spacing w:after="0"/>
              <w:rPr>
                <w:sz w:val="20"/>
                <w:szCs w:val="20"/>
                <w:color w:val="auto"/>
              </w:rPr>
            </w:pPr>
            <w:r>
              <w:rPr>
                <w:rFonts w:ascii="Arial" w:cs="Arial" w:eastAsia="Arial" w:hAnsi="Arial"/>
                <w:sz w:val="16"/>
                <w:szCs w:val="16"/>
                <w:b w:val="1"/>
                <w:bCs w:val="1"/>
                <w:color w:val="auto"/>
                <w:w w:val="89"/>
              </w:rPr>
              <w:t>September 30,</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8"/>
              </w:rPr>
              <w:t>Change</w:t>
            </w:r>
          </w:p>
        </w:tc>
      </w:tr>
      <w:tr>
        <w:trPr>
          <w:trHeight w:val="202"/>
        </w:trPr>
        <w:tc>
          <w:tcPr>
            <w:tcW w:w="338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180" w:type="dxa"/>
            <w:vAlign w:val="bottom"/>
            <w:tcBorders>
              <w:top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89"/>
              </w:rPr>
              <w:t>2016</w:t>
            </w:r>
          </w:p>
        </w:tc>
        <w:tc>
          <w:tcPr>
            <w:tcW w:w="18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17 vs. 16</w:t>
            </w:r>
          </w:p>
        </w:tc>
        <w:tc>
          <w:tcPr>
            <w:tcW w:w="18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160" w:type="dxa"/>
            <w:vAlign w:val="bottom"/>
            <w:tcBorders>
              <w:top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w w:val="89"/>
              </w:rPr>
              <w:t>2016</w:t>
            </w:r>
          </w:p>
        </w:tc>
        <w:tc>
          <w:tcPr>
            <w:tcW w:w="16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17 vs. 16</w:t>
            </w:r>
          </w:p>
        </w:tc>
      </w:tr>
      <w:tr>
        <w:trPr>
          <w:trHeight w:val="186"/>
        </w:trPr>
        <w:tc>
          <w:tcPr>
            <w:tcW w:w="3380" w:type="dxa"/>
            <w:vAlign w:val="bottom"/>
          </w:tcPr>
          <w:p>
            <w:pPr>
              <w:spacing w:after="0" w:line="187" w:lineRule="exact"/>
              <w:rPr>
                <w:sz w:val="20"/>
                <w:szCs w:val="20"/>
                <w:color w:val="auto"/>
              </w:rPr>
            </w:pPr>
            <w:r>
              <w:rPr>
                <w:rFonts w:ascii="Arial" w:cs="Arial" w:eastAsia="Arial" w:hAnsi="Arial"/>
                <w:sz w:val="16"/>
                <w:szCs w:val="16"/>
                <w:color w:val="auto"/>
              </w:rPr>
              <w:t>Net sales</w:t>
            </w:r>
            <w:r>
              <w:rPr>
                <w:rFonts w:ascii="Arial" w:cs="Arial" w:eastAsia="Arial" w:hAnsi="Arial"/>
                <w:sz w:val="21"/>
                <w:szCs w:val="21"/>
                <w:color w:val="auto"/>
                <w:vertAlign w:val="superscript"/>
              </w:rPr>
              <w:t>1</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909,476</w:t>
            </w:r>
          </w:p>
        </w:tc>
        <w:tc>
          <w:tcPr>
            <w:tcW w:w="180" w:type="dxa"/>
            <w:vAlign w:val="bottom"/>
          </w:tcPr>
          <w:p>
            <w:pPr>
              <w:spacing w:after="0"/>
              <w:rPr>
                <w:sz w:val="16"/>
                <w:szCs w:val="16"/>
                <w:color w:val="auto"/>
              </w:rPr>
            </w:pP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787,954</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15.4%</w:t>
            </w:r>
          </w:p>
        </w:tc>
        <w:tc>
          <w:tcPr>
            <w:tcW w:w="180" w:type="dxa"/>
            <w:vAlign w:val="bottom"/>
          </w:tcPr>
          <w:p>
            <w:pPr>
              <w:spacing w:after="0"/>
              <w:rPr>
                <w:sz w:val="16"/>
                <w:szCs w:val="16"/>
                <w:color w:val="auto"/>
              </w:rPr>
            </w:pP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2,558,690</w:t>
            </w:r>
          </w:p>
        </w:tc>
        <w:tc>
          <w:tcPr>
            <w:tcW w:w="160" w:type="dxa"/>
            <w:vAlign w:val="bottom"/>
          </w:tcPr>
          <w:p>
            <w:pPr>
              <w:spacing w:after="0"/>
              <w:rPr>
                <w:sz w:val="16"/>
                <w:szCs w:val="16"/>
                <w:color w:val="auto"/>
              </w:rPr>
            </w:pP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w w:val="98"/>
              </w:rPr>
              <w:t>2,295,628</w:t>
            </w: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11.5%</w:t>
            </w:r>
          </w:p>
        </w:tc>
      </w:tr>
      <w:tr>
        <w:trPr>
          <w:trHeight w:val="206"/>
        </w:trPr>
        <w:tc>
          <w:tcPr>
            <w:tcW w:w="3380" w:type="dxa"/>
            <w:vAlign w:val="bottom"/>
          </w:tcPr>
          <w:p>
            <w:pPr>
              <w:spacing w:after="0"/>
              <w:rPr>
                <w:sz w:val="20"/>
                <w:szCs w:val="20"/>
                <w:color w:val="auto"/>
              </w:rPr>
            </w:pPr>
            <w:r>
              <w:rPr>
                <w:rFonts w:ascii="Arial" w:cs="Arial" w:eastAsia="Arial" w:hAnsi="Arial"/>
                <w:sz w:val="16"/>
                <w:szCs w:val="16"/>
                <w:color w:val="auto"/>
              </w:rPr>
              <w:t>Cost of sales</w:t>
            </w: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339,767</w:t>
            </w:r>
          </w:p>
        </w:tc>
        <w:tc>
          <w:tcPr>
            <w:tcW w:w="1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284,979</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19.2%</w:t>
            </w: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924,610</w:t>
            </w:r>
          </w:p>
        </w:tc>
        <w:tc>
          <w:tcPr>
            <w:tcW w:w="1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851,741</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8.6%</w:t>
            </w:r>
          </w:p>
        </w:tc>
      </w:tr>
      <w:tr>
        <w:trPr>
          <w:trHeight w:val="270"/>
        </w:trPr>
        <w:tc>
          <w:tcPr>
            <w:tcW w:w="3380" w:type="dxa"/>
            <w:vAlign w:val="bottom"/>
          </w:tcPr>
          <w:p>
            <w:pPr>
              <w:spacing w:after="0"/>
              <w:rPr>
                <w:sz w:val="20"/>
                <w:szCs w:val="20"/>
                <w:color w:val="auto"/>
              </w:rPr>
            </w:pPr>
            <w:r>
              <w:rPr>
                <w:rFonts w:ascii="Arial" w:cs="Arial" w:eastAsia="Arial" w:hAnsi="Arial"/>
                <w:sz w:val="16"/>
                <w:szCs w:val="16"/>
                <w:color w:val="auto"/>
              </w:rPr>
              <w:t>Gross profit*</w:t>
            </w:r>
            <w:r>
              <w:rPr>
                <w:rFonts w:ascii="Arial" w:cs="Arial" w:eastAsia="Arial" w:hAnsi="Arial"/>
                <w:sz w:val="21"/>
                <w:szCs w:val="21"/>
                <w:color w:val="auto"/>
                <w:vertAlign w:val="superscript"/>
              </w:rPr>
              <w:t>1</w:t>
            </w: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569,709</w:t>
            </w: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502,975</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13.3%</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1,634,080</w:t>
            </w:r>
          </w:p>
        </w:tc>
        <w:tc>
          <w:tcPr>
            <w:tcW w:w="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8"/>
              </w:rPr>
              <w:t>1,443,887</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13.2%</w:t>
            </w:r>
          </w:p>
        </w:tc>
      </w:tr>
      <w:tr>
        <w:trPr>
          <w:trHeight w:val="405"/>
        </w:trPr>
        <w:tc>
          <w:tcPr>
            <w:tcW w:w="3380" w:type="dxa"/>
            <w:vAlign w:val="bottom"/>
          </w:tcPr>
          <w:p>
            <w:pPr>
              <w:spacing w:after="0"/>
              <w:rPr>
                <w:sz w:val="20"/>
                <w:szCs w:val="20"/>
                <w:color w:val="auto"/>
              </w:rPr>
            </w:pPr>
            <w:r>
              <w:rPr>
                <w:rFonts w:ascii="Arial" w:cs="Arial" w:eastAsia="Arial" w:hAnsi="Arial"/>
                <w:sz w:val="16"/>
                <w:szCs w:val="16"/>
                <w:color w:val="auto"/>
              </w:rPr>
              <w:t>Gross profit as a percentage of net sales</w:t>
            </w:r>
            <w:r>
              <w:rPr>
                <w:rFonts w:ascii="Arial" w:cs="Arial" w:eastAsia="Arial" w:hAnsi="Arial"/>
                <w:sz w:val="21"/>
                <w:szCs w:val="21"/>
                <w:color w:val="auto"/>
                <w:vertAlign w:val="superscript"/>
              </w:rPr>
              <w:t>1</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62.6%</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63.8%</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63.9%</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62.9%</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05"/>
        </w:trPr>
        <w:tc>
          <w:tcPr>
            <w:tcW w:w="3380" w:type="dxa"/>
            <w:vAlign w:val="bottom"/>
          </w:tcPr>
          <w:p>
            <w:pPr>
              <w:spacing w:after="0"/>
              <w:rPr>
                <w:sz w:val="20"/>
                <w:szCs w:val="20"/>
                <w:color w:val="auto"/>
              </w:rPr>
            </w:pPr>
            <w:r>
              <w:rPr>
                <w:rFonts w:ascii="Arial" w:cs="Arial" w:eastAsia="Arial" w:hAnsi="Arial"/>
                <w:sz w:val="16"/>
                <w:szCs w:val="16"/>
                <w:color w:val="auto"/>
              </w:rPr>
              <w:t>Operating expenses</w:t>
            </w:r>
            <w:r>
              <w:rPr>
                <w:rFonts w:ascii="Arial" w:cs="Arial" w:eastAsia="Arial" w:hAnsi="Arial"/>
                <w:sz w:val="21"/>
                <w:szCs w:val="21"/>
                <w:color w:val="auto"/>
                <w:vertAlign w:val="superscript"/>
              </w:rPr>
              <w:t>2</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252,337</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212,600</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18.7%</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702,405</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610,277</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15.1%</w:t>
            </w:r>
          </w:p>
        </w:tc>
      </w:tr>
      <w:tr>
        <w:trPr>
          <w:trHeight w:val="334"/>
        </w:trPr>
        <w:tc>
          <w:tcPr>
            <w:tcW w:w="3380" w:type="dxa"/>
            <w:vAlign w:val="bottom"/>
          </w:tcPr>
          <w:p>
            <w:pPr>
              <w:spacing w:after="0"/>
              <w:rPr>
                <w:sz w:val="20"/>
                <w:szCs w:val="20"/>
                <w:color w:val="auto"/>
              </w:rPr>
            </w:pPr>
            <w:r>
              <w:rPr>
                <w:rFonts w:ascii="Arial" w:cs="Arial" w:eastAsia="Arial" w:hAnsi="Arial"/>
                <w:sz w:val="16"/>
                <w:szCs w:val="16"/>
                <w:color w:val="auto"/>
                <w:w w:val="96"/>
              </w:rPr>
              <w:t>Operating expenses as a percentage of net sales</w:t>
            </w: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w:t>
            </w:r>
          </w:p>
        </w:tc>
        <w:tc>
          <w:tcPr>
            <w:tcW w:w="1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w:t>
            </w:r>
          </w:p>
        </w:tc>
        <w:tc>
          <w:tcPr>
            <w:tcW w:w="1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92"/>
        </w:trPr>
        <w:tc>
          <w:tcPr>
            <w:tcW w:w="3380" w:type="dxa"/>
            <w:vAlign w:val="bottom"/>
          </w:tcPr>
          <w:p>
            <w:pPr>
              <w:spacing w:after="0"/>
              <w:rPr>
                <w:sz w:val="20"/>
                <w:szCs w:val="20"/>
                <w:color w:val="auto"/>
              </w:rPr>
            </w:pPr>
            <w:r>
              <w:rPr>
                <w:rFonts w:ascii="Arial" w:cs="Arial" w:eastAsia="Arial" w:hAnsi="Arial"/>
                <w:sz w:val="16"/>
                <w:szCs w:val="16"/>
                <w:color w:val="auto"/>
              </w:rPr>
              <w:t>Operating income</w:t>
            </w:r>
            <w:r>
              <w:rPr>
                <w:rFonts w:ascii="Arial" w:cs="Arial" w:eastAsia="Arial" w:hAnsi="Arial"/>
                <w:sz w:val="21"/>
                <w:szCs w:val="21"/>
                <w:color w:val="auto"/>
                <w:vertAlign w:val="superscript"/>
              </w:rPr>
              <w:t>1,2</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317,372</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290,375</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9.3%</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931,675</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833,610</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11.8%</w:t>
            </w:r>
          </w:p>
        </w:tc>
      </w:tr>
      <w:tr>
        <w:trPr>
          <w:trHeight w:val="206"/>
        </w:trPr>
        <w:tc>
          <w:tcPr>
            <w:tcW w:w="3380" w:type="dxa"/>
            <w:vAlign w:val="bottom"/>
          </w:tcPr>
          <w:p>
            <w:pPr>
              <w:spacing w:after="0"/>
              <w:rPr>
                <w:sz w:val="20"/>
                <w:szCs w:val="20"/>
                <w:color w:val="auto"/>
              </w:rPr>
            </w:pPr>
            <w:r>
              <w:rPr>
                <w:rFonts w:ascii="Arial" w:cs="Arial" w:eastAsia="Arial" w:hAnsi="Arial"/>
                <w:sz w:val="16"/>
                <w:szCs w:val="16"/>
                <w:color w:val="auto"/>
              </w:rPr>
              <w:t>Operating income as a percentage of net sales</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34.9%</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36.9%</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36.4%</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36.3%</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08"/>
        </w:trPr>
        <w:tc>
          <w:tcPr>
            <w:tcW w:w="3380" w:type="dxa"/>
            <w:vAlign w:val="bottom"/>
          </w:tcPr>
          <w:p>
            <w:pPr>
              <w:spacing w:after="0"/>
              <w:rPr>
                <w:sz w:val="20"/>
                <w:szCs w:val="20"/>
                <w:color w:val="auto"/>
              </w:rPr>
            </w:pPr>
            <w:r>
              <w:rPr>
                <w:rFonts w:ascii="Arial" w:cs="Arial" w:eastAsia="Arial" w:hAnsi="Arial"/>
                <w:sz w:val="16"/>
                <w:szCs w:val="16"/>
                <w:color w:val="auto"/>
              </w:rPr>
              <w:t>Interest and other income (expense), net</w:t>
            </w: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3,996</w:t>
            </w:r>
          </w:p>
        </w:tc>
        <w:tc>
          <w:tcPr>
            <w:tcW w:w="1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(1,037)</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(485.3%)</w:t>
            </w:r>
          </w:p>
        </w:tc>
        <w:tc>
          <w:tcPr>
            <w:tcW w:w="1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2,103</w:t>
            </w:r>
          </w:p>
        </w:tc>
        <w:tc>
          <w:tcPr>
            <w:tcW w:w="1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(651)</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(423.0%)</w:t>
            </w:r>
          </w:p>
        </w:tc>
      </w:tr>
    </w:tbl>
    <w:p>
      <w:pPr>
        <w:sectPr>
          <w:pgSz w:w="11900" w:h="16838" w:orient="portrait"/>
          <w:cols w:equalWidth="0" w:num="1">
            <w:col w:w="11420"/>
          </w:cols>
          <w:pgMar w:left="240" w:top="121" w:right="239" w:bottom="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3380" w:type="dxa"/>
            <w:vAlign w:val="bottom"/>
          </w:tcPr>
          <w:p>
            <w:pPr>
              <w:spacing w:after="0"/>
              <w:rPr>
                <w:sz w:val="20"/>
                <w:szCs w:val="20"/>
                <w:color w:val="auto"/>
              </w:rPr>
            </w:pPr>
            <w:r>
              <w:rPr>
                <w:rFonts w:ascii="Arial" w:cs="Arial" w:eastAsia="Arial" w:hAnsi="Arial"/>
                <w:sz w:val="16"/>
                <w:szCs w:val="16"/>
                <w:color w:val="auto"/>
              </w:rPr>
              <w:t>Income before provision for income taxes</w:t>
            </w:r>
            <w:r>
              <w:rPr>
                <w:rFonts w:ascii="Arial" w:cs="Arial" w:eastAsia="Arial" w:hAnsi="Arial"/>
                <w:sz w:val="21"/>
                <w:szCs w:val="21"/>
                <w:color w:val="auto"/>
                <w:vertAlign w:val="superscript"/>
              </w:rPr>
              <w:t>1,2</w:t>
            </w: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321,368</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289,338</w:t>
            </w:r>
          </w:p>
        </w:tc>
        <w:tc>
          <w:tcPr>
            <w:tcW w:w="1620" w:type="dxa"/>
            <w:vAlign w:val="bottom"/>
          </w:tcPr>
          <w:p>
            <w:pPr>
              <w:jc w:val="right"/>
              <w:ind w:right="159"/>
              <w:spacing w:after="0"/>
              <w:rPr>
                <w:sz w:val="20"/>
                <w:szCs w:val="20"/>
                <w:color w:val="auto"/>
              </w:rPr>
            </w:pPr>
            <w:r>
              <w:rPr>
                <w:rFonts w:ascii="Arial" w:cs="Arial" w:eastAsia="Arial" w:hAnsi="Arial"/>
                <w:sz w:val="16"/>
                <w:szCs w:val="16"/>
                <w:color w:val="auto"/>
              </w:rPr>
              <w:t>11.1%</w:t>
            </w:r>
          </w:p>
        </w:tc>
        <w:tc>
          <w:tcPr>
            <w:tcW w:w="3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933,778</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832,959</w:t>
            </w:r>
          </w:p>
        </w:tc>
        <w:tc>
          <w:tcPr>
            <w:tcW w:w="1340" w:type="dxa"/>
            <w:vAlign w:val="bottom"/>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333"/>
        </w:trPr>
        <w:tc>
          <w:tcPr>
            <w:tcW w:w="338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102,624</w:t>
            </w:r>
          </w:p>
        </w:tc>
        <w:tc>
          <w:tcPr>
            <w:tcW w:w="1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97,695</w:t>
            </w:r>
          </w:p>
        </w:tc>
        <w:tc>
          <w:tcPr>
            <w:tcW w:w="1620" w:type="dxa"/>
            <w:vAlign w:val="bottom"/>
          </w:tcPr>
          <w:p>
            <w:pPr>
              <w:jc w:val="right"/>
              <w:ind w:right="159"/>
              <w:spacing w:after="0"/>
              <w:rPr>
                <w:sz w:val="20"/>
                <w:szCs w:val="20"/>
                <w:color w:val="auto"/>
              </w:rPr>
            </w:pPr>
            <w:r>
              <w:rPr>
                <w:rFonts w:ascii="Arial" w:cs="Arial" w:eastAsia="Arial" w:hAnsi="Arial"/>
                <w:sz w:val="16"/>
                <w:szCs w:val="16"/>
                <w:color w:val="auto"/>
              </w:rPr>
              <w:t>5.0%</w:t>
            </w:r>
          </w:p>
        </w:tc>
        <w:tc>
          <w:tcPr>
            <w:tcW w:w="3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314,422</w:t>
            </w:r>
          </w:p>
        </w:tc>
        <w:tc>
          <w:tcPr>
            <w:tcW w:w="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293,221</w:t>
            </w:r>
          </w:p>
        </w:tc>
        <w:tc>
          <w:tcPr>
            <w:tcW w:w="1340" w:type="dxa"/>
            <w:vAlign w:val="bottom"/>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395"/>
        </w:trPr>
        <w:tc>
          <w:tcPr>
            <w:tcW w:w="3380" w:type="dxa"/>
            <w:vAlign w:val="bottom"/>
          </w:tcPr>
          <w:p>
            <w:pPr>
              <w:spacing w:after="0"/>
              <w:rPr>
                <w:sz w:val="20"/>
                <w:szCs w:val="20"/>
                <w:color w:val="auto"/>
              </w:rPr>
            </w:pPr>
            <w:r>
              <w:rPr>
                <w:rFonts w:ascii="Arial" w:cs="Arial" w:eastAsia="Arial" w:hAnsi="Arial"/>
                <w:sz w:val="16"/>
                <w:szCs w:val="16"/>
                <w:color w:val="auto"/>
                <w:w w:val="99"/>
              </w:rPr>
              <w:t>Income taxes as a percentage of income before</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380" w:type="dxa"/>
            <w:vAlign w:val="bottom"/>
          </w:tcPr>
          <w:p>
            <w:pPr>
              <w:ind w:left="180"/>
              <w:spacing w:after="0"/>
              <w:rPr>
                <w:sz w:val="20"/>
                <w:szCs w:val="20"/>
                <w:color w:val="auto"/>
              </w:rPr>
            </w:pPr>
            <w:r>
              <w:rPr>
                <w:rFonts w:ascii="Arial" w:cs="Arial" w:eastAsia="Arial" w:hAnsi="Arial"/>
                <w:sz w:val="16"/>
                <w:szCs w:val="16"/>
                <w:color w:val="auto"/>
              </w:rPr>
              <w:t>taxes</w:t>
            </w: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31.9%</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33.8%</w:t>
            </w:r>
          </w:p>
        </w:tc>
        <w:tc>
          <w:tcPr>
            <w:tcW w:w="1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33.7%</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35.2%</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1"/>
        </w:trPr>
        <w:tc>
          <w:tcPr>
            <w:tcW w:w="3380" w:type="dxa"/>
            <w:vAlign w:val="bottom"/>
          </w:tcPr>
          <w:p>
            <w:pPr>
              <w:spacing w:after="0"/>
              <w:rPr>
                <w:sz w:val="20"/>
                <w:szCs w:val="20"/>
                <w:color w:val="auto"/>
              </w:rPr>
            </w:pPr>
            <w:r>
              <w:rPr>
                <w:rFonts w:ascii="Arial" w:cs="Arial" w:eastAsia="Arial" w:hAnsi="Arial"/>
                <w:sz w:val="16"/>
                <w:szCs w:val="16"/>
                <w:color w:val="auto"/>
              </w:rPr>
              <w:t>Net income</w:t>
            </w:r>
            <w:r>
              <w:rPr>
                <w:rFonts w:ascii="Arial" w:cs="Arial" w:eastAsia="Arial" w:hAnsi="Arial"/>
                <w:sz w:val="21"/>
                <w:szCs w:val="21"/>
                <w:color w:val="auto"/>
                <w:vertAlign w:val="superscript"/>
              </w:rPr>
              <w:t>1,2</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218,744</w:t>
            </w:r>
          </w:p>
        </w:tc>
        <w:tc>
          <w:tcPr>
            <w:tcW w:w="180" w:type="dxa"/>
            <w:vAlign w:val="bottom"/>
          </w:tcPr>
          <w:p>
            <w:pPr>
              <w:spacing w:after="0"/>
              <w:rPr>
                <w:sz w:val="24"/>
                <w:szCs w:val="24"/>
                <w:color w:val="auto"/>
              </w:rPr>
            </w:pPr>
          </w:p>
        </w:tc>
        <w:tc>
          <w:tcPr>
            <w:tcW w:w="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191,643</w:t>
            </w:r>
          </w:p>
        </w:tc>
        <w:tc>
          <w:tcPr>
            <w:tcW w:w="1620" w:type="dxa"/>
            <w:vAlign w:val="bottom"/>
          </w:tcPr>
          <w:p>
            <w:pPr>
              <w:jc w:val="right"/>
              <w:ind w:right="159"/>
              <w:spacing w:after="0"/>
              <w:rPr>
                <w:sz w:val="20"/>
                <w:szCs w:val="20"/>
                <w:color w:val="auto"/>
              </w:rPr>
            </w:pPr>
            <w:r>
              <w:rPr>
                <w:rFonts w:ascii="Arial" w:cs="Arial" w:eastAsia="Arial" w:hAnsi="Arial"/>
                <w:sz w:val="16"/>
                <w:szCs w:val="16"/>
                <w:color w:val="auto"/>
              </w:rPr>
              <w:t>14.1%</w:t>
            </w:r>
          </w:p>
        </w:tc>
        <w:tc>
          <w:tcPr>
            <w:tcW w:w="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619,356</w:t>
            </w:r>
          </w:p>
        </w:tc>
        <w:tc>
          <w:tcPr>
            <w:tcW w:w="160" w:type="dxa"/>
            <w:vAlign w:val="bottom"/>
          </w:tcPr>
          <w:p>
            <w:pPr>
              <w:spacing w:after="0"/>
              <w:rPr>
                <w:sz w:val="24"/>
                <w:szCs w:val="24"/>
                <w:color w:val="auto"/>
              </w:rPr>
            </w:pPr>
          </w:p>
        </w:tc>
        <w:tc>
          <w:tcPr>
            <w:tcW w:w="34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539,738</w:t>
            </w:r>
          </w:p>
        </w:tc>
        <w:tc>
          <w:tcPr>
            <w:tcW w:w="1340" w:type="dxa"/>
            <w:vAlign w:val="bottom"/>
          </w:tcPr>
          <w:p>
            <w:pPr>
              <w:jc w:val="right"/>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Arial" w:cs="Arial" w:eastAsia="Arial" w:hAnsi="Arial"/>
                <w:sz w:val="16"/>
                <w:szCs w:val="16"/>
                <w:color w:val="auto"/>
              </w:rPr>
              <w:t>Net income as a percentage of net sales</w:t>
            </w: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3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24.1%</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24.3%</w:t>
            </w:r>
          </w:p>
        </w:tc>
        <w:tc>
          <w:tcPr>
            <w:tcW w:w="1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24.2%</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23.5%</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1"/>
        </w:trPr>
        <w:tc>
          <w:tcPr>
            <w:tcW w:w="3380" w:type="dxa"/>
            <w:vAlign w:val="bottom"/>
          </w:tcPr>
          <w:p>
            <w:pPr>
              <w:spacing w:after="0"/>
              <w:rPr>
                <w:sz w:val="20"/>
                <w:szCs w:val="20"/>
                <w:color w:val="auto"/>
              </w:rPr>
            </w:pPr>
            <w:r>
              <w:rPr>
                <w:rFonts w:ascii="Arial" w:cs="Arial" w:eastAsia="Arial" w:hAnsi="Arial"/>
                <w:sz w:val="16"/>
                <w:szCs w:val="16"/>
                <w:color w:val="auto"/>
              </w:rPr>
              <w:t>Net income per common share:</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180"/>
              <w:spacing w:after="0"/>
              <w:rPr>
                <w:sz w:val="20"/>
                <w:szCs w:val="20"/>
                <w:color w:val="auto"/>
              </w:rPr>
            </w:pPr>
            <w:r>
              <w:rPr>
                <w:rFonts w:ascii="Arial" w:cs="Arial" w:eastAsia="Arial" w:hAnsi="Arial"/>
                <w:sz w:val="16"/>
                <w:szCs w:val="16"/>
                <w:color w:val="auto"/>
              </w:rPr>
              <w:t>Basic</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0.39</w:t>
            </w:r>
          </w:p>
        </w:tc>
        <w:tc>
          <w:tcPr>
            <w:tcW w:w="180" w:type="dxa"/>
            <w:vAlign w:val="bottom"/>
          </w:tcPr>
          <w:p>
            <w:pPr>
              <w:spacing w:after="0"/>
              <w:rPr>
                <w:sz w:val="17"/>
                <w:szCs w:val="17"/>
                <w:color w:val="auto"/>
              </w:rPr>
            </w:pPr>
          </w:p>
        </w:tc>
        <w:tc>
          <w:tcPr>
            <w:tcW w:w="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0.34</w:t>
            </w:r>
          </w:p>
        </w:tc>
        <w:tc>
          <w:tcPr>
            <w:tcW w:w="1620" w:type="dxa"/>
            <w:vAlign w:val="bottom"/>
          </w:tcPr>
          <w:p>
            <w:pPr>
              <w:jc w:val="right"/>
              <w:ind w:right="159"/>
              <w:spacing w:after="0"/>
              <w:rPr>
                <w:sz w:val="20"/>
                <w:szCs w:val="20"/>
                <w:color w:val="auto"/>
              </w:rPr>
            </w:pPr>
            <w:r>
              <w:rPr>
                <w:rFonts w:ascii="Arial" w:cs="Arial" w:eastAsia="Arial" w:hAnsi="Arial"/>
                <w:sz w:val="16"/>
                <w:szCs w:val="16"/>
                <w:color w:val="auto"/>
              </w:rPr>
              <w:t>14.8%</w:t>
            </w:r>
          </w:p>
        </w:tc>
        <w:tc>
          <w:tcPr>
            <w:tcW w:w="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1.09</w:t>
            </w:r>
          </w:p>
        </w:tc>
        <w:tc>
          <w:tcPr>
            <w:tcW w:w="160" w:type="dxa"/>
            <w:vAlign w:val="bottom"/>
          </w:tcPr>
          <w:p>
            <w:pPr>
              <w:spacing w:after="0"/>
              <w:rPr>
                <w:sz w:val="17"/>
                <w:szCs w:val="17"/>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0.91</w:t>
            </w:r>
          </w:p>
        </w:tc>
        <w:tc>
          <w:tcPr>
            <w:tcW w:w="1340" w:type="dxa"/>
            <w:vAlign w:val="bottom"/>
          </w:tcPr>
          <w:p>
            <w:pPr>
              <w:jc w:val="right"/>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206"/>
        </w:trPr>
        <w:tc>
          <w:tcPr>
            <w:tcW w:w="3380" w:type="dxa"/>
            <w:vAlign w:val="bottom"/>
          </w:tcPr>
          <w:p>
            <w:pPr>
              <w:ind w:left="180"/>
              <w:spacing w:after="0"/>
              <w:rPr>
                <w:sz w:val="20"/>
                <w:szCs w:val="20"/>
                <w:color w:val="auto"/>
              </w:rPr>
            </w:pPr>
            <w:r>
              <w:rPr>
                <w:rFonts w:ascii="Arial" w:cs="Arial" w:eastAsia="Arial" w:hAnsi="Arial"/>
                <w:sz w:val="16"/>
                <w:szCs w:val="16"/>
                <w:color w:val="auto"/>
              </w:rPr>
              <w:t>Diluted</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0.38</w:t>
            </w:r>
          </w:p>
        </w:tc>
        <w:tc>
          <w:tcPr>
            <w:tcW w:w="180" w:type="dxa"/>
            <w:vAlign w:val="bottom"/>
          </w:tcPr>
          <w:p>
            <w:pPr>
              <w:spacing w:after="0"/>
              <w:rPr>
                <w:sz w:val="17"/>
                <w:szCs w:val="17"/>
                <w:color w:val="auto"/>
              </w:rPr>
            </w:pPr>
          </w:p>
        </w:tc>
        <w:tc>
          <w:tcPr>
            <w:tcW w:w="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0.33</w:t>
            </w:r>
          </w:p>
        </w:tc>
        <w:tc>
          <w:tcPr>
            <w:tcW w:w="1620" w:type="dxa"/>
            <w:vAlign w:val="bottom"/>
          </w:tcPr>
          <w:p>
            <w:pPr>
              <w:jc w:val="right"/>
              <w:ind w:right="159"/>
              <w:spacing w:after="0"/>
              <w:rPr>
                <w:sz w:val="20"/>
                <w:szCs w:val="20"/>
                <w:color w:val="auto"/>
              </w:rPr>
            </w:pPr>
            <w:r>
              <w:rPr>
                <w:rFonts w:ascii="Arial" w:cs="Arial" w:eastAsia="Arial" w:hAnsi="Arial"/>
                <w:sz w:val="16"/>
                <w:szCs w:val="16"/>
                <w:color w:val="auto"/>
              </w:rPr>
              <w:t>15.1%</w:t>
            </w:r>
          </w:p>
        </w:tc>
        <w:tc>
          <w:tcPr>
            <w:tcW w:w="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1.07</w:t>
            </w:r>
          </w:p>
        </w:tc>
        <w:tc>
          <w:tcPr>
            <w:tcW w:w="160" w:type="dxa"/>
            <w:vAlign w:val="bottom"/>
          </w:tcPr>
          <w:p>
            <w:pPr>
              <w:spacing w:after="0"/>
              <w:rPr>
                <w:sz w:val="17"/>
                <w:szCs w:val="17"/>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0.89</w:t>
            </w:r>
          </w:p>
        </w:tc>
        <w:tc>
          <w:tcPr>
            <w:tcW w:w="1340" w:type="dxa"/>
            <w:vAlign w:val="bottom"/>
          </w:tcPr>
          <w:p>
            <w:pPr>
              <w:jc w:val="right"/>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401"/>
        </w:trPr>
        <w:tc>
          <w:tcPr>
            <w:tcW w:w="3380" w:type="dxa"/>
            <w:vAlign w:val="bottom"/>
          </w:tcPr>
          <w:p>
            <w:pPr>
              <w:spacing w:after="0"/>
              <w:rPr>
                <w:sz w:val="20"/>
                <w:szCs w:val="20"/>
                <w:color w:val="auto"/>
              </w:rPr>
            </w:pPr>
            <w:r>
              <w:rPr>
                <w:rFonts w:ascii="Arial" w:cs="Arial" w:eastAsia="Arial" w:hAnsi="Arial"/>
                <w:sz w:val="16"/>
                <w:szCs w:val="16"/>
                <w:color w:val="auto"/>
              </w:rPr>
              <w:t>Case sales (in thousands)</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380" w:type="dxa"/>
            <w:vAlign w:val="bottom"/>
          </w:tcPr>
          <w:p>
            <w:pPr>
              <w:ind w:left="180"/>
              <w:spacing w:after="0"/>
              <w:rPr>
                <w:sz w:val="20"/>
                <w:szCs w:val="20"/>
                <w:color w:val="auto"/>
              </w:rPr>
            </w:pPr>
            <w:r>
              <w:rPr>
                <w:rFonts w:ascii="Arial" w:cs="Arial" w:eastAsia="Arial" w:hAnsi="Arial"/>
                <w:sz w:val="16"/>
                <w:szCs w:val="16"/>
                <w:color w:val="auto"/>
              </w:rPr>
              <w:t>(in 192-ounce case equivalents)</w:t>
            </w: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96,184</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82,767</w:t>
            </w:r>
          </w:p>
        </w:tc>
        <w:tc>
          <w:tcPr>
            <w:tcW w:w="1620" w:type="dxa"/>
            <w:vAlign w:val="bottom"/>
          </w:tcPr>
          <w:p>
            <w:pPr>
              <w:jc w:val="right"/>
              <w:ind w:right="159"/>
              <w:spacing w:after="0"/>
              <w:rPr>
                <w:sz w:val="20"/>
                <w:szCs w:val="20"/>
                <w:color w:val="auto"/>
              </w:rPr>
            </w:pPr>
            <w:r>
              <w:rPr>
                <w:rFonts w:ascii="Arial" w:cs="Arial" w:eastAsia="Arial" w:hAnsi="Arial"/>
                <w:sz w:val="16"/>
                <w:szCs w:val="16"/>
                <w:color w:val="auto"/>
              </w:rPr>
              <w:t>16.2%</w:t>
            </w:r>
          </w:p>
        </w:tc>
        <w:tc>
          <w:tcPr>
            <w:tcW w:w="3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273,409</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242,994</w:t>
            </w:r>
          </w:p>
        </w:tc>
        <w:tc>
          <w:tcPr>
            <w:tcW w:w="1340" w:type="dxa"/>
            <w:vAlign w:val="bottom"/>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¹Includes $11.4 million and $8.4 million for the three-months ended September 30, 2017 and 2016, respectively, related to the recognition of deferred revenue. Includes $31.6 million and $28.6 million for the nine-months ended September 30, 2017 and 2016, respectively, related to the recognition of deferred revenue.</w:t>
      </w:r>
    </w:p>
    <w:p>
      <w:pPr>
        <w:spacing w:after="0" w:line="15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²Includes $15.9 million and $4.7 million for the three-months ended September 30, 2017 and 2016, respectively, of distributor termination costs. Includes $35.9 million and $33.4 million for the nine-months ended September 30, 2017 and 2016, respectively, of distributor termination costs.</w:t>
      </w:r>
    </w:p>
    <w:p>
      <w:pPr>
        <w:spacing w:after="0" w:line="159" w:lineRule="exact"/>
        <w:rPr>
          <w:sz w:val="20"/>
          <w:szCs w:val="20"/>
          <w:color w:val="auto"/>
        </w:rPr>
      </w:pPr>
    </w:p>
    <w:p>
      <w:pPr>
        <w:jc w:val="both"/>
        <w:spacing w:after="0" w:line="278" w:lineRule="auto"/>
        <w:rPr>
          <w:sz w:val="20"/>
          <w:szCs w:val="20"/>
          <w:color w:val="auto"/>
        </w:rPr>
      </w:pPr>
      <w:r>
        <w:rPr>
          <w:rFonts w:ascii="Arial" w:cs="Arial" w:eastAsia="Arial" w:hAnsi="Arial"/>
          <w:sz w:val="16"/>
          <w:szCs w:val="16"/>
          <w:i w:val="1"/>
          <w:iCs w:val="1"/>
          <w:color w:val="auto"/>
        </w:rPr>
        <w:t>*Gross profit may not be comparable to that of other entities since some entities include all costs associated with their distribution process in cost of sales, whereas others exclude certain costs and instead include such costs within another line item such as operating expenses. We include out-bound freight and warehouse costs in operating expenses rather than in cost of sales.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for the Three-Months Ended September 30, 2017 Compared to the Three-Months Ended September 30, 2016.</w:t>
      </w:r>
    </w:p>
    <w:p>
      <w:pPr>
        <w:spacing w:after="0" w:line="2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i w:val="1"/>
          <w:iCs w:val="1"/>
          <w:color w:val="auto"/>
        </w:rPr>
        <w:t xml:space="preserve">Net Sales. </w:t>
      </w:r>
      <w:r>
        <w:rPr>
          <w:rFonts w:ascii="Arial" w:cs="Arial" w:eastAsia="Arial" w:hAnsi="Arial"/>
          <w:sz w:val="19"/>
          <w:szCs w:val="19"/>
          <w:color w:val="auto"/>
        </w:rPr>
        <w:t>Net sales were $909.5 million for the three-months ended September 30, 2017, an increase of approximately $121.5 million,</w:t>
      </w:r>
      <w:r>
        <w:rPr>
          <w:rFonts w:ascii="Arial" w:cs="Arial" w:eastAsia="Arial" w:hAnsi="Arial"/>
          <w:sz w:val="19"/>
          <w:szCs w:val="19"/>
          <w:i w:val="1"/>
          <w:iCs w:val="1"/>
          <w:color w:val="auto"/>
        </w:rPr>
        <w:t xml:space="preserve"> </w:t>
      </w:r>
      <w:r>
        <w:rPr>
          <w:rFonts w:ascii="Arial" w:cs="Arial" w:eastAsia="Arial" w:hAnsi="Arial"/>
          <w:sz w:val="19"/>
          <w:szCs w:val="19"/>
          <w:color w:val="auto"/>
        </w:rPr>
        <w:t>or 15.4% higher than net sales of $788.0 million for the three-months ended September 30, 2016. The increase in net sales of our Monster Energy® brand energy drinks represented approximately $116.0 million of the overall increase in net sales. Net sales of our Monster Energy® brand energy drinks increased partially due to increased sales by volume as a result of increased domestic and international consumer demand. Net sales of our Strategic Brands were $76.6 million for the three-months ended September 30, 2017, an increase of $4.4 million, or 6.2% higher than net sales of $72.1 million for the three-months ended September 30, 2016. Net sales of our AFF Third-Party Products were $5.2 million for the three-months ended September 30, 2017, a decrease of $0.5 million, or 8.5% lower than net sales of $5.7 million for the three-months ended September 30, 2016. No other individual product line contributed either a material increase or decrease to net sales for the three-months ended September 30, 2017.</w:t>
      </w:r>
    </w:p>
    <w:p>
      <w:pPr>
        <w:spacing w:after="0" w:line="19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Net changes in foreign currency exchange rates had an unfavorable impact on net sales in the Monster Energy® Drinks segment of approximately $0.4 million for the three-months ended September 30, 2017. Net changes in foreign currency exchange rates had a favorable impact on net sales in the Strategic Brands segment of approximately $1.1 million for the three-months ended September 30, 2017.</w:t>
      </w:r>
    </w:p>
    <w:p>
      <w:pPr>
        <w:spacing w:after="0" w:line="16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Case sales, in 192-ounce case equivalents, were 96.2 million cases for the three-months ended September 30, 2017, an increase of approximately 13.4 million cases, or 16.2% higher than case sales of 82.8 million cases for the three-months ended September 30, 2016. The overall average net sales per case (excluding net sales of AFF Third-Party Products of $5.2 million and $5.7 million for the three-months ended September 30, 2017 and 2016, respectively, as these sales do not have unit case equivalents) decreased to $9.40 for the three-months ended September 30, 2017, which was 0.5% lower than the average net sales per case of $9.45 for the three-months ended September 30, 2016. The lower average net sales price per case was primarily attributable to the changes in geographic sales mix.</w:t>
      </w:r>
    </w:p>
    <w:p>
      <w:pPr>
        <w:spacing w:after="0" w:line="179"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Net sales for the Monster Energy® Drinks segment were $827.7 million for the three-months ended September 30, 2017, an increase of approximately $117.6 million, or 16.6% higher than net sales of $710.1 million for the three-months ended September 30, 2016.</w:t>
      </w:r>
    </w:p>
    <w:p>
      <w:pPr>
        <w:spacing w:after="0" w:line="14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Net sales for the Strategic Brands segment were $76.6 million for the three-months ended September 30, 2017, an increase of approximately $4.4 million, or 6.2% higher than net sales of $72.1 million for the three-months ended September 30, 2016.</w:t>
      </w:r>
    </w:p>
    <w:p>
      <w:pPr>
        <w:spacing w:after="0" w:line="16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Net sales for the Other segment were $5.2 million for the three-months ended September 30, 2017, a decrease of approximately $0.5 million, or 8.5% lower than net sales of $5.7 million for the three-months ended September 30, 2016.</w:t>
      </w:r>
    </w:p>
    <w:p>
      <w:pPr>
        <w:spacing w:after="0" w:line="19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was $569.7 million for the three-months ended September 30, 2017, an increase of approximately $66.7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13.3% higher than the gross profit of $503.0 million for the three-months ended September 30, 2016. Gross profit as a percentage of net sales decreased to 62.6% for the three-months ended September 30, 2017 from 63.8% for the three-months ended September 30, 2016. The increase in gross profit dollars was primarily the result of the $116.0 million increase in net sales of our Monster Energy® brand energy drinks. The decrease in gross profit as a percentage of net sales was primarily attributable to geographical sales mix (our foreign operations generally have lower gross profit margins), as well as to product sales mix and increases in other costs.</w:t>
      </w:r>
    </w:p>
    <w:p>
      <w:pPr>
        <w:sectPr>
          <w:pgSz w:w="11900" w:h="16838" w:orient="portrait"/>
          <w:cols w:equalWidth="0" w:num="1">
            <w:col w:w="11420"/>
          </w:cols>
          <w:pgMar w:left="240" w:top="130" w:right="239" w:bottom="42"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0" w:right="239" w:bottom="42"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i w:val="1"/>
          <w:iCs w:val="1"/>
          <w:color w:val="auto"/>
        </w:rPr>
        <w:t>Operating Expenses</w:t>
      </w:r>
      <w:r>
        <w:rPr>
          <w:rFonts w:ascii="Arial" w:cs="Arial" w:eastAsia="Arial" w:hAnsi="Arial"/>
          <w:sz w:val="19"/>
          <w:szCs w:val="19"/>
          <w:color w:val="auto"/>
        </w:rPr>
        <w:t>. Total operating expenses were $252.3 million for the three-months ended September 30, 2017, an increase of</w:t>
      </w:r>
      <w:r>
        <w:rPr>
          <w:rFonts w:ascii="Arial" w:cs="Arial" w:eastAsia="Arial" w:hAnsi="Arial"/>
          <w:sz w:val="19"/>
          <w:szCs w:val="19"/>
          <w:i w:val="1"/>
          <w:iCs w:val="1"/>
          <w:color w:val="auto"/>
        </w:rPr>
        <w:t xml:space="preserve"> </w:t>
      </w:r>
      <w:r>
        <w:rPr>
          <w:rFonts w:ascii="Arial" w:cs="Arial" w:eastAsia="Arial" w:hAnsi="Arial"/>
          <w:sz w:val="19"/>
          <w:szCs w:val="19"/>
          <w:color w:val="auto"/>
        </w:rPr>
        <w:t>approximately $39.7 million, or 18.7% higher than total operating expenses of $212.6 million for the three-months ended September 30, 2016. The increase in operating expenses was primarily due to increased expenditures of $11.2 million associated with distributor terminations, increased expenditures of $9.0 million for sponsorships and endorsements, increased payroll expenses of $6.5 million (of which $1.1 million was related to an increase in stock-based compensation), increased out-bound freight and warehouse costs of $4.7 million, increased expenditures of $4.4 million for commissions, increased expenditures of $4.3 million for merchandise displays and increased expenditures of $4.2 million for allocated trade development. The increase in operating expenses was partially offset by decreased expenditures of $5.1 million for professional service fees, including legal and accounting costs.</w:t>
      </w:r>
    </w:p>
    <w:p>
      <w:pPr>
        <w:spacing w:after="0" w:line="19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i w:val="1"/>
          <w:iCs w:val="1"/>
          <w:color w:val="auto"/>
        </w:rPr>
        <w:t xml:space="preserve">Contribution Margin. </w:t>
      </w:r>
      <w:r>
        <w:rPr>
          <w:rFonts w:ascii="Arial" w:cs="Arial" w:eastAsia="Arial" w:hAnsi="Arial"/>
          <w:sz w:val="20"/>
          <w:szCs w:val="20"/>
          <w:color w:val="auto"/>
        </w:rPr>
        <w:t>Contribution margin for the Monster Energy® Drinks segment was $333.2 million for the three-months ended</w:t>
      </w:r>
      <w:r>
        <w:rPr>
          <w:rFonts w:ascii="Arial" w:cs="Arial" w:eastAsia="Arial" w:hAnsi="Arial"/>
          <w:sz w:val="20"/>
          <w:szCs w:val="20"/>
          <w:i w:val="1"/>
          <w:iCs w:val="1"/>
          <w:color w:val="auto"/>
        </w:rPr>
        <w:t xml:space="preserve"> </w:t>
      </w:r>
      <w:r>
        <w:rPr>
          <w:rFonts w:ascii="Arial" w:cs="Arial" w:eastAsia="Arial" w:hAnsi="Arial"/>
          <w:sz w:val="20"/>
          <w:szCs w:val="20"/>
          <w:color w:val="auto"/>
        </w:rPr>
        <w:t>September 30, 2017, an increase of approximately $24.7 million, or 8.0% higher than contribution margin of $308.5 million for the three-months ended September 30, 2016. The increase in contribution margin for the Monster Energy® Drinks segment was primarily the result of the $116.0 million increase in net sales of our Monster Energy® brand energy drinks, partially offset by increased expenditures of $11.2 million associated with distributor terminations.</w:t>
      </w:r>
    </w:p>
    <w:p>
      <w:pPr>
        <w:spacing w:after="0" w:line="20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Contribution margin for the Strategic Brands segment was $42.7 million for the three-months ended September 30, 2017, an increase of approximately $2.6 million, or 6.5% higher than contribution margin of $40.1 million for the three-months ended September 30, 2016. The increase in contribution margin for the Strategic Brands segment was primarily due to an increase in net sales.</w:t>
      </w:r>
    </w:p>
    <w:p>
      <w:pPr>
        <w:spacing w:after="0" w:line="18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Contribution margin for the Other segment was $1.5 million for the three-months ended September 30, 2017, an increase of approximately $0.3 million, or 22.3% higher than contribution margin of $1.2 million for the three-months ended September 30, 2016.</w:t>
      </w:r>
    </w:p>
    <w:p>
      <w:pPr>
        <w:spacing w:after="0" w:line="16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i w:val="1"/>
          <w:iCs w:val="1"/>
          <w:color w:val="auto"/>
        </w:rPr>
        <w:t xml:space="preserve">Operating Income. </w:t>
      </w:r>
      <w:r>
        <w:rPr>
          <w:rFonts w:ascii="Arial" w:cs="Arial" w:eastAsia="Arial" w:hAnsi="Arial"/>
          <w:sz w:val="19"/>
          <w:szCs w:val="19"/>
          <w:color w:val="auto"/>
        </w:rPr>
        <w:t>Operating income was $317.4 million for the three-months ended September 30, 2017, an increase of</w:t>
      </w:r>
      <w:r>
        <w:rPr>
          <w:rFonts w:ascii="Arial" w:cs="Arial" w:eastAsia="Arial" w:hAnsi="Arial"/>
          <w:sz w:val="19"/>
          <w:szCs w:val="19"/>
          <w:i w:val="1"/>
          <w:iCs w:val="1"/>
          <w:color w:val="auto"/>
        </w:rPr>
        <w:t xml:space="preserve"> </w:t>
      </w:r>
      <w:r>
        <w:rPr>
          <w:rFonts w:ascii="Arial" w:cs="Arial" w:eastAsia="Arial" w:hAnsi="Arial"/>
          <w:sz w:val="19"/>
          <w:szCs w:val="19"/>
          <w:color w:val="auto"/>
        </w:rPr>
        <w:t>approximately $27.0 million, or 9.3% higher than operating income of $290.4 million for the three-months ended September 30, 2016. Operating income as a percentage of net sales decreased to 34.9% for the three-months ended September 30, 2017 from 36.9% for the three-months ended September 30, 2016. The decrease in operating income as a percentage of net sales was primarily due to decrease in gross profit as a percentage of nets sales as well as increased expenditures of $11.2 million associated with distributor terminations. Operating income was $41.9 million and $22.0 million for the three-months ended September 30, 2017 and 2016, respectively, in connection with our operations in Africa, Asia, Australia, Europe, the Middle East and South America.</w:t>
      </w:r>
    </w:p>
    <w:p>
      <w:pPr>
        <w:spacing w:after="0" w:line="19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i w:val="1"/>
          <w:iCs w:val="1"/>
          <w:color w:val="auto"/>
        </w:rPr>
        <w:t>Interest and Other Income (Expense), net</w:t>
      </w:r>
      <w:r>
        <w:rPr>
          <w:rFonts w:ascii="Arial" w:cs="Arial" w:eastAsia="Arial" w:hAnsi="Arial"/>
          <w:sz w:val="20"/>
          <w:szCs w:val="20"/>
          <w:color w:val="auto"/>
        </w:rPr>
        <w:t>. Interest and other non-operating income (expense), net, was $4.0 million for the three-months ended September 30, 2017, as compared to interest and other non-operating income (expense), net of ($1.0) million for the three-months ended September 30, 2016. Foreign currency transaction gains (losses) were $1.8 million and ($1.5) million for the three-months ended September 30, 2017 and 2016, respectively. Interest income was $2.3 million and $0.4 million for the three-months ended September 30, 2017 and 2016, respectively.</w:t>
      </w:r>
    </w:p>
    <w:p>
      <w:pPr>
        <w:spacing w:after="0" w:line="20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i w:val="1"/>
          <w:iCs w:val="1"/>
          <w:color w:val="auto"/>
        </w:rPr>
        <w:t>Provision for Income Taxes</w:t>
      </w:r>
      <w:r>
        <w:rPr>
          <w:rFonts w:ascii="Arial" w:cs="Arial" w:eastAsia="Arial" w:hAnsi="Arial"/>
          <w:sz w:val="20"/>
          <w:szCs w:val="20"/>
          <w:color w:val="auto"/>
        </w:rPr>
        <w:t>. Provision for income taxes was $102.6 million for the three-months ended September 30, 2017, an</w:t>
      </w:r>
      <w:r>
        <w:rPr>
          <w:rFonts w:ascii="Arial" w:cs="Arial" w:eastAsia="Arial" w:hAnsi="Arial"/>
          <w:sz w:val="20"/>
          <w:szCs w:val="20"/>
          <w:i w:val="1"/>
          <w:iCs w:val="1"/>
          <w:color w:val="auto"/>
        </w:rPr>
        <w:t xml:space="preserve"> </w:t>
      </w:r>
      <w:r>
        <w:rPr>
          <w:rFonts w:ascii="Arial" w:cs="Arial" w:eastAsia="Arial" w:hAnsi="Arial"/>
          <w:sz w:val="20"/>
          <w:szCs w:val="20"/>
          <w:color w:val="auto"/>
        </w:rPr>
        <w:t>increase of $4.9 million, or 5.0% higher than the provision for income taxes of $97.7 million for the three-months ended September 30, 2016. The effective combined federal, state and foreign tax rate decreased to 31.9% from 33.8% for the three-months ended September 30, 2017 and 2016, respectively. The decrease in the effective tax rate was primarily due to the increase in profits earned by foreign subsidiaries in lower tax jurisdictions relative to the United States.</w:t>
      </w:r>
    </w:p>
    <w:p>
      <w:pPr>
        <w:spacing w:after="0" w:line="20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i w:val="1"/>
          <w:iCs w:val="1"/>
          <w:color w:val="auto"/>
        </w:rPr>
        <w:t>Net Income</w:t>
      </w:r>
      <w:r>
        <w:rPr>
          <w:rFonts w:ascii="Arial" w:cs="Arial" w:eastAsia="Arial" w:hAnsi="Arial"/>
          <w:sz w:val="19"/>
          <w:szCs w:val="19"/>
          <w:color w:val="auto"/>
        </w:rPr>
        <w:t>. Net income was $218.7 million for the three-months ended September 30, 2017, an increase of $27.1 million, or 14.1%</w:t>
      </w:r>
      <w:r>
        <w:rPr>
          <w:rFonts w:ascii="Arial" w:cs="Arial" w:eastAsia="Arial" w:hAnsi="Arial"/>
          <w:sz w:val="19"/>
          <w:szCs w:val="19"/>
          <w:i w:val="1"/>
          <w:iCs w:val="1"/>
          <w:color w:val="auto"/>
        </w:rPr>
        <w:t xml:space="preserve"> </w:t>
      </w:r>
      <w:r>
        <w:rPr>
          <w:rFonts w:ascii="Arial" w:cs="Arial" w:eastAsia="Arial" w:hAnsi="Arial"/>
          <w:sz w:val="19"/>
          <w:szCs w:val="19"/>
          <w:color w:val="auto"/>
        </w:rPr>
        <w:t>higher than net income of $191.6 million for the three-months ended September 30, 2016. The increase in net income was primarily due to the $66.7 million increase in gross profit. The increase in net income was partially offset by the $39.7 million increase in operating expenses, of which $11.2 million was attributable to an increase in distributor termination expenses.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for the Nine-Months Ended September 30, 2017 Compared to the Nine-Months Ended September 30, 2016.</w:t>
      </w:r>
    </w:p>
    <w:p>
      <w:pPr>
        <w:spacing w:after="0" w:line="2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were $2,558.7 million for the nine-months ended September 30, 2017, an increase of approximately $263.1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11.5% higher than net sales of $2,295.6 million for the nine-months ended September 30, 2016. The increase in net sales of our Monster Energy® brand energy drinks represented approximately $229.5 million of the overall increase in net sales. Net sales of our Monster Energy® brand energy drinks increased partially due to increased sales by volume as a result of increased domestic and international consumer demand. Net sales of our Strategic Brands were $230.3 million for the nine-months ended September 30, 2017, an increase of $22.3 million, or 10.7% higher than net sales of $208.0 million for the nine-months ended September 30, 2016. Net sales of our AFF Third-Party Products were $16.9 million for the nine-months ended September 30, 2017, an increase of $4.8 million, or 39.5% higher than net sales of $12.1 million (effectively from April 1, 2016 to September 30, 2016) for the nine-months ended September 30, 2016. No other individual product line contributed either a material increase or decrease to net sales for the nine-months ended September 30, 2017.</w:t>
      </w:r>
    </w:p>
    <w:p>
      <w:pPr>
        <w:spacing w:after="0" w:line="18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Net changes in foreign currency exchange rates had an unfavorable impact on net sales in the Monster Energy® Drinks segment of approximately $13.4 million for the nine-months ended September 30, 2017. Net changes in foreign currency exchange rates had a favorable impact on net sales in the Strategic Brands segment of approximately $2.2 million for the nine-months ended September 30, 2017.</w:t>
      </w:r>
    </w:p>
    <w:p>
      <w:pPr>
        <w:sectPr>
          <w:pgSz w:w="11900" w:h="16838" w:orient="portrait"/>
          <w:cols w:equalWidth="0" w:num="1">
            <w:col w:w="11420"/>
          </w:cols>
          <w:pgMar w:left="240" w:top="368" w:right="239" w:bottom="2" w:gutter="0" w:footer="0" w:header="0"/>
        </w:sectPr>
      </w:pPr>
    </w:p>
    <w:bookmarkStart w:id="23" w:name="page24"/>
    <w:bookmarkEnd w:id="23"/>
    <w:p>
      <w:pPr>
        <w:jc w:val="both"/>
        <w:ind w:firstLine="648"/>
        <w:spacing w:after="0" w:line="276" w:lineRule="auto"/>
        <w:rPr>
          <w:sz w:val="20"/>
          <w:szCs w:val="20"/>
          <w:color w:val="auto"/>
        </w:rPr>
      </w:pPr>
      <w:r>
        <w:rPr>
          <w:rFonts w:ascii="Arial" w:cs="Arial" w:eastAsia="Arial" w:hAnsi="Arial"/>
          <w:sz w:val="18"/>
          <w:szCs w:val="18"/>
          <w:color w:val="auto"/>
        </w:rPr>
        <w:t>Case sales, in 192-ounce case equivalents, were 273.4 million cases for the nine-months ended September 30, 2017, an increase of approximately 30.4 million cases or 12.5% higher than case sales of 243.0 million cases for the nine-months ended September 30, 2016. The overall average net sales per case (excluding net sales of AFF Third-Party Products of $16.9 million and $12.1 million for the nine-months ended September 30, 2017 and 2016, respectively, as these sales do not have unit case equivalents) decreased to $9.30 for the nine-months ended September 30, 2017, which was 1.1% lower than the average net sales per case of $9.40 for the nine-months ended September 30, 2016. The lower average net sales price per case was primarily attributable to the changes in geographic sales mix.</w:t>
      </w:r>
    </w:p>
    <w:p>
      <w:pPr>
        <w:spacing w:after="0" w:line="180"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Net sales for the Monster Energy® Drinks segment were $2,311.5 million for the nine-months ended September 30, 2017, an increase of approximately $236.0 million, or 11.4% higher than net sales of $2,075.5 million for the nine-months ended September 30, 2016.</w:t>
      </w:r>
    </w:p>
    <w:p>
      <w:pPr>
        <w:spacing w:after="0" w:line="144"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Net sales for the Strategic Brands segment were $230.3 million for the nine-months ended September 30, 2017, an increase of approximately $22.3 million, or 10.7% higher than net sales of $208.0 million for the nine-months ended September 30, 2016.</w:t>
      </w:r>
    </w:p>
    <w:p>
      <w:pPr>
        <w:spacing w:after="0" w:line="16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Net sales for the Other segment were $16.9 million for the nine-months ended September 30, 2017, an increase of approximately $4.8 million, or 39.5% higher than net sales of $12.1 million (effectively from April 1, 2016 to September 30, 2016) for the nine-months ended September 30, 2016.</w:t>
      </w:r>
    </w:p>
    <w:p>
      <w:pPr>
        <w:spacing w:after="0" w:line="20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i w:val="1"/>
          <w:iCs w:val="1"/>
          <w:color w:val="auto"/>
        </w:rPr>
        <w:t xml:space="preserve">Gross Profit. </w:t>
      </w:r>
      <w:r>
        <w:rPr>
          <w:rFonts w:ascii="Arial" w:cs="Arial" w:eastAsia="Arial" w:hAnsi="Arial"/>
          <w:sz w:val="19"/>
          <w:szCs w:val="19"/>
          <w:color w:val="auto"/>
        </w:rPr>
        <w:t>Gross profit was $1,634.1 million for the nine-months ended September 30, 2017, an increase of approximately $190.2</w:t>
      </w:r>
      <w:r>
        <w:rPr>
          <w:rFonts w:ascii="Arial" w:cs="Arial" w:eastAsia="Arial" w:hAnsi="Arial"/>
          <w:sz w:val="19"/>
          <w:szCs w:val="19"/>
          <w:i w:val="1"/>
          <w:iCs w:val="1"/>
          <w:color w:val="auto"/>
        </w:rPr>
        <w:t xml:space="preserve"> </w:t>
      </w:r>
      <w:r>
        <w:rPr>
          <w:rFonts w:ascii="Arial" w:cs="Arial" w:eastAsia="Arial" w:hAnsi="Arial"/>
          <w:sz w:val="19"/>
          <w:szCs w:val="19"/>
          <w:color w:val="auto"/>
        </w:rPr>
        <w:t>million, or 13.2% higher than the gross profit of $1,443.9 million for the nine-months ended September 30, 2016. Gross profit as a percentage of net sales increased to 63.9% for the nine-months ended September 30, 2017 from 62.9% for the nine-months ended September 30, 2016. The increase in gross profit dollars was primarily the result of the $229.5 million increase in net sales of our Monster Energy® brand energy drinks as well as an approximately $55.2 million increase in raw material cost savings for the nine-months ended September 30, 2017 from the AFF Transaction. The increase in gross profit as a percentage of net sales was primarily attributable to raw material cost savings from the AFF Transaction and changes in domestic product sales mix, which were partially offset by geographical sales mix (our foreign operations generally have lower gross profit margins) and increases in other costs.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i w:val="1"/>
          <w:iCs w:val="1"/>
          <w:color w:val="auto"/>
        </w:rPr>
        <w:t>Operating Expenses</w:t>
      </w:r>
      <w:r>
        <w:rPr>
          <w:rFonts w:ascii="Arial" w:cs="Arial" w:eastAsia="Arial" w:hAnsi="Arial"/>
          <w:sz w:val="18"/>
          <w:szCs w:val="18"/>
          <w:color w:val="auto"/>
        </w:rPr>
        <w:t>. Total operating expenses were $702.4 million for the nine-months ended September 30, 2017,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$92.1 million, or 15.1% higher than total operating expenses of $610.3 million for the nine-months ended September 30, 2016. The increase in operating expenses was primarily due to increased payroll expenses of $29.6 million (of which $5.5 million was related to an increase in stock-based compensation), increased expenditures of $22.9 million for sponsorships and endorsements, increased expenditures of $13.7 million for commissions, increased expenditures of $7.8 million for allocated trade development, increased expenditures of $6.0 million for merchandise displays and increased out-bound freight and warehouse costs of $5.5 million. The increase in operating expenses was partially offset by decreased expenditures of $13.8 million for professional service fees, including legal and accounting costs.</w:t>
      </w:r>
    </w:p>
    <w:p>
      <w:pPr>
        <w:spacing w:after="0" w:line="18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i w:val="1"/>
          <w:iCs w:val="1"/>
          <w:color w:val="auto"/>
        </w:rPr>
        <w:t xml:space="preserve">Contribution Margin. </w:t>
      </w:r>
      <w:r>
        <w:rPr>
          <w:rFonts w:ascii="Arial" w:cs="Arial" w:eastAsia="Arial" w:hAnsi="Arial"/>
          <w:sz w:val="19"/>
          <w:szCs w:val="19"/>
          <w:color w:val="auto"/>
        </w:rPr>
        <w:t>Contribution margin for the Monster Energy® Drinks segment was $968.9 million for the nine-months ended</w:t>
      </w:r>
      <w:r>
        <w:rPr>
          <w:rFonts w:ascii="Arial" w:cs="Arial" w:eastAsia="Arial" w:hAnsi="Arial"/>
          <w:sz w:val="19"/>
          <w:szCs w:val="19"/>
          <w:i w:val="1"/>
          <w:iCs w:val="1"/>
          <w:color w:val="auto"/>
        </w:rPr>
        <w:t xml:space="preserve"> </w:t>
      </w:r>
      <w:r>
        <w:rPr>
          <w:rFonts w:ascii="Arial" w:cs="Arial" w:eastAsia="Arial" w:hAnsi="Arial"/>
          <w:sz w:val="19"/>
          <w:szCs w:val="19"/>
          <w:color w:val="auto"/>
        </w:rPr>
        <w:t>September 30, 2017, an increase of approximately $94.0 million, or 10.7% higher than contribution margin of $874.8 million for the nine-months ended September 30, 2016. The increase in contribution margin for the Monster Energy® Drinks segment was primarily the result of the $229.5 million increase in net sales of our Monster Energy® brand energy drinks as well an approximately $55.2 million increase in raw material cost savings for the nine-months ended September 30, 2017 from the AFF Transaction.</w:t>
      </w:r>
    </w:p>
    <w:p>
      <w:pPr>
        <w:spacing w:after="0" w:line="19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Contribution margin for the Strategic Brands segment was $137.9 million for the nine-months ended September 30, 2017, an increase of approximately $10.8 million, or 8.5% higher than contribution margin of $127.2 million for the nine-months ended September 30, 2016. The increase in contribution margin for the Strategic Brands segment was primarily due to an increase in net sales.</w:t>
      </w:r>
    </w:p>
    <w:p>
      <w:pPr>
        <w:spacing w:after="0" w:line="18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Contribution margin for the Other segment was $4.6 million for the nine-months ended September 30, 2017, an increase of approximately $3.1 million, or 200.1% higher than contribution margin of $1.5 million for the nine-months ended September 30, 2016.</w:t>
      </w:r>
    </w:p>
    <w:p>
      <w:pPr>
        <w:spacing w:after="0" w:line="16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Operating income was $931.7 million for the nine-months ended September 30, 2017, an increase of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$98.1 million, or 11.8% higher than operating income of $833.6 million for the nine-months ended September 30, 2016. Operating income as a percentage of net sales increased to 36.4% for the nine-months ended September 30, 2017 from 36.3% for the nine-months ended September 30, 2016. Operating income was $119.3 million and $76.9 million for the nine-months ended September 30, 2017 and 2016, respectively, in connection with our operations in Africa, Asia, Australia, Europe, the Middle East and South America.</w:t>
      </w:r>
    </w:p>
    <w:p>
      <w:pPr>
        <w:spacing w:after="0" w:line="17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i w:val="1"/>
          <w:iCs w:val="1"/>
          <w:color w:val="auto"/>
        </w:rPr>
        <w:t>Interest and Other Income (Expense), net</w:t>
      </w:r>
      <w:r>
        <w:rPr>
          <w:rFonts w:ascii="Arial" w:cs="Arial" w:eastAsia="Arial" w:hAnsi="Arial"/>
          <w:sz w:val="20"/>
          <w:szCs w:val="20"/>
          <w:color w:val="auto"/>
        </w:rPr>
        <w:t>. Interest and other non-operating income (expense), net, was $2.1 million for the nine-months ended September 30, 2017, as compared to interest and other non-operating income (expense), net of ($0.7) million for the nine-months ended September 30, 2016. Foreign currency transaction losses were $2.0 million and $4.3 million for the nine-months ended September 30, 2017 and 2016, respectively. Interest income was $4.5 million and $3.5 million for the nine-months ended September 30, 2017 and 2016, respectively.</w:t>
      </w:r>
    </w:p>
    <w:p>
      <w:pPr>
        <w:spacing w:after="0" w:line="20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i w:val="1"/>
          <w:iCs w:val="1"/>
          <w:color w:val="auto"/>
        </w:rPr>
        <w:t>Provision for Income Taxes</w:t>
      </w:r>
      <w:r>
        <w:rPr>
          <w:rFonts w:ascii="Arial" w:cs="Arial" w:eastAsia="Arial" w:hAnsi="Arial"/>
          <w:sz w:val="19"/>
          <w:szCs w:val="19"/>
          <w:color w:val="auto"/>
        </w:rPr>
        <w:t>. Provision for income taxes was $314.4 million for the nine-months ended September 30, 2017, an</w:t>
      </w:r>
      <w:r>
        <w:rPr>
          <w:rFonts w:ascii="Arial" w:cs="Arial" w:eastAsia="Arial" w:hAnsi="Arial"/>
          <w:sz w:val="19"/>
          <w:szCs w:val="19"/>
          <w:i w:val="1"/>
          <w:iCs w:val="1"/>
          <w:color w:val="auto"/>
        </w:rPr>
        <w:t xml:space="preserve"> </w:t>
      </w:r>
      <w:r>
        <w:rPr>
          <w:rFonts w:ascii="Arial" w:cs="Arial" w:eastAsia="Arial" w:hAnsi="Arial"/>
          <w:sz w:val="19"/>
          <w:szCs w:val="19"/>
          <w:color w:val="auto"/>
        </w:rPr>
        <w:t>increase of $21.2 million, or 7.2% higher than the provision for income taxes of $293.2 million for the nine-months ended September 30, 2016. The effective combined federal, state and foreign tax rate decreased to 33.7% from 35.2% for the nine-months ended September 30, 2017 and 2016, respectively. The decrease in the effective tax rate was primarily due to the increase in profits earned by foreign subsidiaries in lower tax jurisdictions relative to the United States as well as the increase in equity compensation deductions.</w:t>
      </w:r>
    </w:p>
    <w:p>
      <w:pPr>
        <w:sectPr>
          <w:pgSz w:w="11900" w:h="16838" w:orient="portrait"/>
          <w:cols w:equalWidth="0" w:num="1">
            <w:col w:w="11420"/>
          </w:cols>
          <w:pgMar w:left="240" w:top="121" w:right="239" w:bottom="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24" w:name="page25"/>
    <w:bookmarkEnd w:id="24"/>
    <w:p>
      <w:pPr>
        <w:spacing w:after="0" w:line="12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Net income was $619.4 million for the nine-months ended September 30, 2017, an increase of $79.6 million, or 14.8%</w:t>
      </w:r>
      <w:r>
        <w:rPr>
          <w:rFonts w:ascii="Arial" w:cs="Arial" w:eastAsia="Arial" w:hAnsi="Arial"/>
          <w:sz w:val="18"/>
          <w:szCs w:val="18"/>
          <w:i w:val="1"/>
          <w:iCs w:val="1"/>
          <w:color w:val="auto"/>
        </w:rPr>
        <w:t xml:space="preserve"> </w:t>
      </w:r>
      <w:r>
        <w:rPr>
          <w:rFonts w:ascii="Arial" w:cs="Arial" w:eastAsia="Arial" w:hAnsi="Arial"/>
          <w:sz w:val="18"/>
          <w:szCs w:val="18"/>
          <w:color w:val="auto"/>
        </w:rPr>
        <w:t>higher than net income of $539.7 million for the nine-months ended September 30, 2016. The increase in net income was primarily due to the $190.2 million increase in gross profit. The increase in net income was partially offset by the increase in operating expenses of $92.1 million.</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23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i w:val="1"/>
          <w:iCs w:val="1"/>
          <w:color w:val="auto"/>
        </w:rPr>
        <w:t xml:space="preserve">Gross Sales**. </w:t>
      </w:r>
      <w:r>
        <w:rPr>
          <w:rFonts w:ascii="Arial" w:cs="Arial" w:eastAsia="Arial" w:hAnsi="Arial"/>
          <w:sz w:val="18"/>
          <w:szCs w:val="18"/>
          <w:color w:val="auto"/>
        </w:rPr>
        <w:t>Gross sales were $1,042.0 million for the three-months ended September 30, 2017, an increase of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$128.8 million, or 14.1% higher than gross sales of $913.3 million for the three-months ended September 30, 2016. The increase in gross sales of our Monster Energy® brand energy drinks represented approximately $120.9 million of the overall increase in gross sales. Gross sales of our Monster Energy® brand energy drinks increased partially due to increased sales by volume as a result of increased domestic and international consumer demand. Gross sales of our Strategic Brands were $80.7 million for the three-months ended September 30, 2017, an increase of $3.6 million, or 4.7% higher than gross sales of $77.1 million for the three-months ended September 30, 2016. Gross sales of our AFF Third-Party Products were $5.2 million for the three-months ended September 30, 2017, a decrease of $0.5 million, or 8.5% lower than gross sales of $5.7 million for the three-months ended September 30, 2016. No other individual product line contributed either a material increase or decrease to net sales for the three-months ended September 30, 2017. Promotional and other allowances, as described in the footnote below, were $132.6 million for the three-months ended September 30, 2017, an increase of $7.2 million, or 5.8% higher than promotional and other allowances of $125.3 million for the three-months ended September 30, 2016. Promotional and other allowances as a percentage of gross sales decreased to 12.7% from 13.7% for the three-months ended September 30, 2017 and 2016, respectively.</w:t>
      </w:r>
    </w:p>
    <w:p>
      <w:pPr>
        <w:spacing w:after="0" w:line="190" w:lineRule="exact"/>
        <w:rPr>
          <w:sz w:val="20"/>
          <w:szCs w:val="20"/>
          <w:color w:val="auto"/>
        </w:rPr>
      </w:pPr>
    </w:p>
    <w:p>
      <w:pPr>
        <w:jc w:val="both"/>
        <w:ind w:firstLine="689"/>
        <w:spacing w:after="0" w:line="291" w:lineRule="auto"/>
        <w:rPr>
          <w:sz w:val="20"/>
          <w:szCs w:val="20"/>
          <w:color w:val="auto"/>
        </w:rPr>
      </w:pPr>
      <w:r>
        <w:rPr>
          <w:rFonts w:ascii="Arial" w:cs="Arial" w:eastAsia="Arial" w:hAnsi="Arial"/>
          <w:sz w:val="18"/>
          <w:szCs w:val="18"/>
          <w:color w:val="auto"/>
        </w:rPr>
        <w:t>Net changes in foreign currency exchange rates had an unfavorable impact on gross sales in the Monster Energy® Drinks segment of approximately $0.8 million for the three-months ended September 30, 2017. Net changes in foreign currency exchange rates had a favorable impact on gross sales in the Strategic Brands segment of approximately $1.1 million for the three-months ended September 30, 2017.</w:t>
      </w:r>
    </w:p>
    <w:p>
      <w:pPr>
        <w:spacing w:after="0" w:line="16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i w:val="1"/>
          <w:iCs w:val="1"/>
          <w:color w:val="auto"/>
        </w:rPr>
        <w:t xml:space="preserve">Gross Sales**. </w:t>
      </w:r>
      <w:r>
        <w:rPr>
          <w:rFonts w:ascii="Arial" w:cs="Arial" w:eastAsia="Arial" w:hAnsi="Arial"/>
          <w:sz w:val="18"/>
          <w:szCs w:val="18"/>
          <w:color w:val="auto"/>
        </w:rPr>
        <w:t>Gross sales were $2,926.6 million for the nine-months ended September 30, 2017, an increase of approximately $289.9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11.0% higher than gross sales of $2,636.6 million for the nine-months ended September 30, 2016. The increase in gross sales of our Monster Energy® brand energy drinks represented approximately $256.4 million of the overall increase in gross sales. Gross sales of our Monster Energy® brand energy drinks increased partially due to increased sales by volume as a result of increased domestic and international consumer demand. Gross sales of our Strategic Brands were $244.0 million for the nine-months ended September 30, 2017, an increase of $18.5 million, or 8.2% higher than gross sales of $225.5 million for the nine-months ended September 30, 2016. Gross sales of our AFF Third-Party Products were $16.9 million for the nine-months ended September 30, 2017, an increase of $4.6 million, or 37.5% higher than gross sales of $12.3 million for the nine-months ended September 30, 2016. No other individual product line contributed either a material increase or decrease to net sales for the nine-months ended September 30, 2017. Promotional and other allowances, as described in the footnote below, were $367.9 million for the nine-months ended September 30, 2017, an increase of $26.9 million, or 7.9% higher than promotional and other allowances of $341.0 million for the nine-months ended September 30, 2016. Promotional and other allowances as a percentage of gross sales decreased to 12.6% from 12.9% for the nine-months ended September 30, 2017 and 2016, respectively.</w:t>
      </w:r>
    </w:p>
    <w:p>
      <w:pPr>
        <w:spacing w:after="0" w:line="190" w:lineRule="exact"/>
        <w:rPr>
          <w:sz w:val="20"/>
          <w:szCs w:val="20"/>
          <w:color w:val="auto"/>
        </w:rPr>
      </w:pPr>
    </w:p>
    <w:p>
      <w:pPr>
        <w:jc w:val="both"/>
        <w:ind w:firstLine="689"/>
        <w:spacing w:after="0" w:line="291" w:lineRule="auto"/>
        <w:rPr>
          <w:sz w:val="20"/>
          <w:szCs w:val="20"/>
          <w:color w:val="auto"/>
        </w:rPr>
      </w:pPr>
      <w:r>
        <w:rPr>
          <w:rFonts w:ascii="Arial" w:cs="Arial" w:eastAsia="Arial" w:hAnsi="Arial"/>
          <w:sz w:val="18"/>
          <w:szCs w:val="18"/>
          <w:color w:val="auto"/>
        </w:rPr>
        <w:t>Net changes in foreign currency exchange rates had an unfavorable impact on gross sales in the Monster Energy® Drinks segment of approximately $19.7 million for the nine-months ended September 30, 2017. Net changes in foreign currency exchange rates had a favorable impact on gross sales in the Strategic Brands segment of approximately $2.2 million for the nine-months ended September 30, 2017.</w:t>
      </w:r>
    </w:p>
    <w:p>
      <w:pPr>
        <w:spacing w:after="0" w:line="172" w:lineRule="exact"/>
        <w:rPr>
          <w:sz w:val="20"/>
          <w:szCs w:val="20"/>
          <w:color w:val="auto"/>
        </w:rPr>
      </w:pPr>
    </w:p>
    <w:p>
      <w:pPr>
        <w:jc w:val="both"/>
        <w:spacing w:after="0" w:line="289" w:lineRule="auto"/>
        <w:rPr>
          <w:sz w:val="20"/>
          <w:szCs w:val="20"/>
          <w:color w:val="auto"/>
        </w:rPr>
      </w:pPr>
      <w:r>
        <w:rPr>
          <w:rFonts w:ascii="Arial" w:cs="Arial" w:eastAsia="Arial" w:hAnsi="Arial"/>
          <w:sz w:val="15"/>
          <w:szCs w:val="15"/>
          <w:i w:val="1"/>
          <w:iCs w:val="1"/>
          <w:color w:val="auto"/>
        </w:rPr>
        <w:t>**Gross sales are used internally by management as an indicator of and to monitor operating performance, including sales performance of particular products, salesperson performance, product growth or declines and overall Company performance. The use of gross sales allows evaluation of sales performance before the effect of any promotional items, which can mask certain performance issues. We therefore believe that the presentation of gross sales provides a useful measure of our operating performance. The use of gross sales is not a measure that is recognized under GAAP and should not be considered as an alternative to net sales, which is determined in accordance with GAAP, and should not be used alone as an indicator of operating performance in place of net sales. Additionally, gross sales may not be comparable to similarly titled measures used by other companies, as gross sales has been defined by our internal reporting practices. In addition, gross sales may not be realized in the form of cash receipts as promotional payments and allowances may be deducted from payments received from certain customers.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 following table reconciles the non-GAAP financial measure of gross sales with the most directly comparable GAAP financial measure of net sales: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0" w:type="dxa"/>
            <w:vAlign w:val="bottom"/>
            <w:gridSpan w:val="4"/>
          </w:tcPr>
          <w:p>
            <w:pPr>
              <w:jc w:val="right"/>
              <w:ind w:right="490"/>
              <w:spacing w:after="0"/>
              <w:rPr>
                <w:sz w:val="20"/>
                <w:szCs w:val="20"/>
                <w:color w:val="auto"/>
              </w:rPr>
            </w:pPr>
            <w:r>
              <w:rPr>
                <w:rFonts w:ascii="Arial" w:cs="Arial" w:eastAsia="Arial" w:hAnsi="Arial"/>
                <w:sz w:val="18"/>
                <w:szCs w:val="18"/>
                <w:color w:val="auto"/>
              </w:rPr>
              <w:t>Three-Months Ended</w:t>
            </w:r>
          </w:p>
        </w:tc>
        <w:tc>
          <w:tcPr>
            <w:tcW w:w="180" w:type="dxa"/>
            <w:vAlign w:val="bottom"/>
          </w:tcPr>
          <w:p>
            <w:pPr>
              <w:spacing w:after="0"/>
              <w:rPr>
                <w:sz w:val="18"/>
                <w:szCs w:val="18"/>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8"/>
                <w:szCs w:val="18"/>
                <w:color w:val="auto"/>
                <w:w w:val="84"/>
              </w:rPr>
              <w:t>Percentage</w:t>
            </w:r>
          </w:p>
        </w:tc>
        <w:tc>
          <w:tcPr>
            <w:tcW w:w="320" w:type="dxa"/>
            <w:vAlign w:val="bottom"/>
          </w:tcPr>
          <w:p>
            <w:pPr>
              <w:spacing w:after="0"/>
              <w:rPr>
                <w:sz w:val="18"/>
                <w:szCs w:val="18"/>
                <w:color w:val="auto"/>
              </w:rPr>
            </w:pPr>
          </w:p>
        </w:tc>
        <w:tc>
          <w:tcPr>
            <w:tcW w:w="2340" w:type="dxa"/>
            <w:vAlign w:val="bottom"/>
            <w:gridSpan w:val="4"/>
          </w:tcPr>
          <w:p>
            <w:pPr>
              <w:jc w:val="right"/>
              <w:ind w:right="510"/>
              <w:spacing w:after="0"/>
              <w:rPr>
                <w:sz w:val="20"/>
                <w:szCs w:val="20"/>
                <w:color w:val="auto"/>
              </w:rPr>
            </w:pPr>
            <w:r>
              <w:rPr>
                <w:rFonts w:ascii="Arial" w:cs="Arial" w:eastAsia="Arial" w:hAnsi="Arial"/>
                <w:sz w:val="18"/>
                <w:szCs w:val="18"/>
                <w:color w:val="auto"/>
              </w:rPr>
              <w:t>Nine-Months Ended</w:t>
            </w:r>
          </w:p>
        </w:tc>
        <w:tc>
          <w:tcPr>
            <w:tcW w:w="1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6"/>
              </w:rPr>
              <w:t>Percentage</w:t>
            </w:r>
          </w:p>
        </w:tc>
        <w:tc>
          <w:tcPr>
            <w:tcW w:w="0" w:type="dxa"/>
            <w:vAlign w:val="bottom"/>
          </w:tcPr>
          <w:p>
            <w:pPr>
              <w:spacing w:after="0"/>
              <w:rPr>
                <w:sz w:val="1"/>
                <w:szCs w:val="1"/>
                <w:color w:val="auto"/>
              </w:rPr>
            </w:pP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(In thousands)</w:t>
            </w:r>
          </w:p>
        </w:tc>
        <w:tc>
          <w:tcPr>
            <w:tcW w:w="320" w:type="dxa"/>
            <w:vAlign w:val="bottom"/>
          </w:tcPr>
          <w:p>
            <w:pPr>
              <w:spacing w:after="0"/>
              <w:rPr>
                <w:sz w:val="20"/>
                <w:szCs w:val="20"/>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September 30,</w:t>
            </w: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Change</w:t>
            </w:r>
          </w:p>
        </w:tc>
        <w:tc>
          <w:tcPr>
            <w:tcW w:w="32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September 30,</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Change</w:t>
            </w:r>
          </w:p>
        </w:tc>
        <w:tc>
          <w:tcPr>
            <w:tcW w:w="0" w:type="dxa"/>
            <w:vAlign w:val="bottom"/>
          </w:tcPr>
          <w:p>
            <w:pPr>
              <w:spacing w:after="0"/>
              <w:rPr>
                <w:sz w:val="1"/>
                <w:szCs w:val="1"/>
                <w:color w:val="auto"/>
              </w:rPr>
            </w:pPr>
          </w:p>
        </w:tc>
      </w:tr>
      <w:tr>
        <w:trPr>
          <w:trHeight w:val="210"/>
        </w:trPr>
        <w:tc>
          <w:tcPr>
            <w:tcW w:w="3040" w:type="dxa"/>
            <w:vAlign w:val="bottom"/>
            <w:vMerge w:val="restart"/>
          </w:tcPr>
          <w:p>
            <w:pPr>
              <w:spacing w:after="0"/>
              <w:rPr>
                <w:sz w:val="20"/>
                <w:szCs w:val="20"/>
                <w:color w:val="auto"/>
              </w:rPr>
            </w:pPr>
            <w:r>
              <w:rPr>
                <w:rFonts w:ascii="Arial" w:cs="Arial" w:eastAsia="Arial" w:hAnsi="Arial"/>
                <w:sz w:val="18"/>
                <w:szCs w:val="18"/>
                <w:color w:val="auto"/>
              </w:rPr>
              <w:t>Gross sales, net of discounts and</w:t>
            </w:r>
          </w:p>
        </w:tc>
        <w:tc>
          <w:tcPr>
            <w:tcW w:w="3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2017</w:t>
            </w:r>
          </w:p>
        </w:tc>
        <w:tc>
          <w:tcPr>
            <w:tcW w:w="18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84"/>
              </w:rPr>
              <w:t>2016</w:t>
            </w:r>
          </w:p>
        </w:tc>
        <w:tc>
          <w:tcPr>
            <w:tcW w:w="18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17 vs. 16</w:t>
            </w:r>
          </w:p>
        </w:tc>
        <w:tc>
          <w:tcPr>
            <w:tcW w:w="16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2017</w:t>
            </w:r>
          </w:p>
        </w:tc>
        <w:tc>
          <w:tcPr>
            <w:tcW w:w="16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84"/>
              </w:rPr>
              <w:t>2016</w:t>
            </w:r>
          </w:p>
        </w:tc>
        <w:tc>
          <w:tcPr>
            <w:tcW w:w="16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7"/>
              </w:rPr>
              <w:t>17 vs. 16</w:t>
            </w:r>
          </w:p>
        </w:tc>
        <w:tc>
          <w:tcPr>
            <w:tcW w:w="0" w:type="dxa"/>
            <w:vAlign w:val="bottom"/>
          </w:tcPr>
          <w:p>
            <w:pPr>
              <w:spacing w:after="0"/>
              <w:rPr>
                <w:sz w:val="1"/>
                <w:szCs w:val="1"/>
                <w:color w:val="auto"/>
              </w:rPr>
            </w:pPr>
          </w:p>
        </w:tc>
      </w:tr>
      <w:tr>
        <w:trPr>
          <w:trHeight w:val="182"/>
        </w:trPr>
        <w:tc>
          <w:tcPr>
            <w:tcW w:w="30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180"/>
              <w:spacing w:after="0"/>
              <w:rPr>
                <w:sz w:val="20"/>
                <w:szCs w:val="20"/>
                <w:color w:val="auto"/>
              </w:rPr>
            </w:pPr>
            <w:r>
              <w:rPr>
                <w:rFonts w:ascii="Arial" w:cs="Arial" w:eastAsia="Arial" w:hAnsi="Arial"/>
                <w:sz w:val="18"/>
                <w:szCs w:val="18"/>
                <w:color w:val="auto"/>
              </w:rPr>
              <w:t>returns</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1,042,046</w:t>
            </w:r>
          </w:p>
        </w:tc>
        <w:tc>
          <w:tcPr>
            <w:tcW w:w="180" w:type="dxa"/>
            <w:vAlign w:val="bottom"/>
          </w:tcPr>
          <w:p>
            <w:pPr>
              <w:spacing w:after="0"/>
              <w:rPr>
                <w:sz w:val="18"/>
                <w:szCs w:val="18"/>
                <w:color w:val="auto"/>
              </w:rPr>
            </w:pP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913,277</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14.1%</w:t>
            </w:r>
          </w:p>
        </w:tc>
        <w:tc>
          <w:tcPr>
            <w:tcW w:w="160" w:type="dxa"/>
            <w:vAlign w:val="bottom"/>
          </w:tcPr>
          <w:p>
            <w:pPr>
              <w:spacing w:after="0"/>
              <w:rPr>
                <w:sz w:val="18"/>
                <w:szCs w:val="18"/>
                <w:color w:val="auto"/>
              </w:rPr>
            </w:pP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2,926,564</w:t>
            </w:r>
          </w:p>
        </w:tc>
        <w:tc>
          <w:tcPr>
            <w:tcW w:w="160" w:type="dxa"/>
            <w:vAlign w:val="bottom"/>
          </w:tcPr>
          <w:p>
            <w:pPr>
              <w:spacing w:after="0"/>
              <w:rPr>
                <w:sz w:val="18"/>
                <w:szCs w:val="18"/>
                <w:color w:val="auto"/>
              </w:rPr>
            </w:pP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2,636,631</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Less: Promotional and other</w:t>
            </w: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180"/>
              <w:spacing w:after="0"/>
              <w:rPr>
                <w:sz w:val="20"/>
                <w:szCs w:val="20"/>
                <w:color w:val="auto"/>
              </w:rPr>
            </w:pPr>
            <w:r>
              <w:rPr>
                <w:rFonts w:ascii="Arial" w:cs="Arial" w:eastAsia="Arial" w:hAnsi="Arial"/>
                <w:sz w:val="18"/>
                <w:szCs w:val="18"/>
                <w:color w:val="auto"/>
              </w:rPr>
              <w:t>allowances***</w:t>
            </w: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132,570</w:t>
            </w:r>
          </w:p>
        </w:tc>
        <w:tc>
          <w:tcPr>
            <w:tcW w:w="1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125,323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367,874</w:t>
            </w:r>
          </w:p>
        </w:tc>
        <w:tc>
          <w:tcPr>
            <w:tcW w:w="1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341,003</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0"/>
        </w:trPr>
        <w:tc>
          <w:tcPr>
            <w:tcW w:w="3040" w:type="dxa"/>
            <w:vAlign w:val="bottom"/>
          </w:tcPr>
          <w:p>
            <w:pPr>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909,476</w:t>
            </w:r>
          </w:p>
        </w:tc>
        <w:tc>
          <w:tcPr>
            <w:tcW w:w="180" w:type="dxa"/>
            <w:vAlign w:val="bottom"/>
          </w:tcPr>
          <w:p>
            <w:pPr>
              <w:spacing w:after="0"/>
              <w:rPr>
                <w:sz w:val="18"/>
                <w:szCs w:val="18"/>
                <w:color w:val="auto"/>
              </w:rPr>
            </w:pP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787,954</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15.4%</w:t>
            </w:r>
          </w:p>
        </w:tc>
        <w:tc>
          <w:tcPr>
            <w:tcW w:w="160" w:type="dxa"/>
            <w:vAlign w:val="bottom"/>
          </w:tcPr>
          <w:p>
            <w:pPr>
              <w:spacing w:after="0"/>
              <w:rPr>
                <w:sz w:val="18"/>
                <w:szCs w:val="18"/>
                <w:color w:val="auto"/>
              </w:rPr>
            </w:pP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2,558,690</w:t>
            </w:r>
          </w:p>
        </w:tc>
        <w:tc>
          <w:tcPr>
            <w:tcW w:w="160" w:type="dxa"/>
            <w:vAlign w:val="bottom"/>
          </w:tcPr>
          <w:p>
            <w:pPr>
              <w:spacing w:after="0"/>
              <w:rPr>
                <w:sz w:val="18"/>
                <w:szCs w:val="18"/>
                <w:color w:val="auto"/>
              </w:rPr>
            </w:pP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2,295,628</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spacing w:after="0" w:line="303" w:lineRule="auto"/>
        <w:rPr>
          <w:sz w:val="20"/>
          <w:szCs w:val="20"/>
          <w:color w:val="auto"/>
        </w:rPr>
      </w:pPr>
      <w:r>
        <w:rPr>
          <w:rFonts w:ascii="Arial" w:cs="Arial" w:eastAsia="Arial" w:hAnsi="Arial"/>
          <w:sz w:val="14"/>
          <w:szCs w:val="14"/>
          <w:i w:val="1"/>
          <w:iCs w:val="1"/>
          <w:color w:val="auto"/>
        </w:rPr>
        <w:t>***Although the expenditures described in this line item are determined in accordance with GAAP and meet GAAP requirements, the presentation thereof does not conform with GAAP presentation requirements. Additionally, our definition of promotional and other allowances may not be comparable to similar items presented by other companies. Promotional and other allowances primarily include consideration given to the Company’s bottlers/distributors or retail customers including, but not limited to the following:</w:t>
      </w:r>
    </w:p>
    <w:p>
      <w:pPr>
        <w:spacing w:after="0" w:line="2" w:lineRule="exact"/>
        <w:rPr>
          <w:sz w:val="20"/>
          <w:szCs w:val="20"/>
          <w:color w:val="auto"/>
        </w:rPr>
      </w:pPr>
    </w:p>
    <w:p>
      <w:pPr>
        <w:jc w:val="both"/>
        <w:ind w:firstLine="8"/>
        <w:spacing w:after="0" w:line="332" w:lineRule="auto"/>
        <w:tabs>
          <w:tab w:leader="none" w:pos="211" w:val="left"/>
        </w:tabs>
        <w:numPr>
          <w:ilvl w:val="0"/>
          <w:numId w:val="22"/>
        </w:numPr>
        <w:rPr>
          <w:rFonts w:ascii="Arial" w:cs="Arial" w:eastAsia="Arial" w:hAnsi="Arial"/>
          <w:sz w:val="14"/>
          <w:szCs w:val="14"/>
          <w:i w:val="1"/>
          <w:iCs w:val="1"/>
          <w:color w:val="auto"/>
        </w:rPr>
      </w:pPr>
      <w:r>
        <w:rPr>
          <w:rFonts w:ascii="Arial" w:cs="Arial" w:eastAsia="Arial" w:hAnsi="Arial"/>
          <w:sz w:val="14"/>
          <w:szCs w:val="14"/>
          <w:i w:val="1"/>
          <w:iCs w:val="1"/>
          <w:color w:val="auto"/>
        </w:rPr>
        <w:t>discounts granted off list prices to support price promotions to end-consumers by retailers; (ii) reimbursements given to the Company’s bottlers/distributors for agreed portions of their promotional spend with retailers, including slotting, shelf space allowances and other fees for both new and existing products; (iii) the Company’s agreed share of fees given to bottlers/distributors and/or directly to retailers for advertising, in-store marketing and promotional activities; (iv) the Company’s agreed share of slotting,</w:t>
      </w:r>
    </w:p>
    <w:p>
      <w:pPr>
        <w:sectPr>
          <w:pgSz w:w="11900" w:h="16965" w:orient="portrait"/>
          <w:cols w:equalWidth="0" w:num="1">
            <w:col w:w="11420"/>
          </w:cols>
          <w:pgMar w:left="240" w:top="368" w:right="239" w:bottom="0" w:gutter="0" w:footer="0" w:header="0"/>
        </w:sectPr>
      </w:pPr>
    </w:p>
    <w:bookmarkStart w:id="25" w:name="page26"/>
    <w:bookmarkEnd w:id="25"/>
    <w:p>
      <w:pPr>
        <w:jc w:val="both"/>
        <w:spacing w:after="0" w:line="288" w:lineRule="auto"/>
        <w:rPr>
          <w:sz w:val="20"/>
          <w:szCs w:val="20"/>
          <w:color w:val="auto"/>
        </w:rPr>
      </w:pPr>
      <w:r>
        <w:rPr>
          <w:rFonts w:ascii="Arial" w:cs="Arial" w:eastAsia="Arial" w:hAnsi="Arial"/>
          <w:sz w:val="15"/>
          <w:szCs w:val="15"/>
          <w:i w:val="1"/>
          <w:iCs w:val="1"/>
          <w:color w:val="auto"/>
        </w:rPr>
        <w:t>shelf space allowances and other fees given directly to retailers; (v) incentives given to the Company’s bottlers/distributors and/or retailers for achieving or exceeding certain predetermined sales goals; (vi) discounted or free products; (vii) contractual fees given to the Company’s bottlers/distributors related to sales made by the Company direct to certain customers that fall within the bottler’s/distributors’ sales territories; and (viii) commissions paid to our customers. The presentation of promotional and other allowances facilitates an evaluation of their impact on the determination of net sales and the spending levels incurred or correlated with such sales. Promotional and other allowances constitute a material portion of our marketing activities. The Company’s promotional allowance programs with its numerous bottlers/distributors and/or retailers are executed through separate agreements in the ordinary course of business. These agreements generally provide for one or more of the arrangements described above and are of varying durations, ranging from one week to one year. The primary drivers of our promotional and other allowance activities for the three- and nine-months ended September 30, 2017 and 2016 were (i) to increase sales volume and trial, (ii) to address market conditions, and (iii) to secure shelf and display space at retail.</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35"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i w:val="1"/>
          <w:iCs w:val="1"/>
          <w:color w:val="auto"/>
        </w:rPr>
        <w:t xml:space="preserve">Cash flows provided by operating activities. </w:t>
      </w:r>
      <w:r>
        <w:rPr>
          <w:rFonts w:ascii="Arial" w:cs="Arial" w:eastAsia="Arial" w:hAnsi="Arial"/>
          <w:sz w:val="18"/>
          <w:szCs w:val="18"/>
          <w:color w:val="auto"/>
        </w:rPr>
        <w:t>Cash provided by operating activities was $790.1 million for the nine-months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2017, as compared with cash provided by operating activities of $420.7 million for the nine-months ended September 30, 2016.</w:t>
      </w:r>
    </w:p>
    <w:p>
      <w:pPr>
        <w:spacing w:after="0" w:line="14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For the nine-months ended September 30, 2017, cash provided by operating activities was primarily attributable to net income earned of $619.4 million and adjustments for certain non-cash expenses, consisting of $39.3 million of stock-based compensation and $35.1 million of depreciation and other amortization. For the nine-months ended September 30, 2017, cash provided by operating activities also increased due to a $125.0 million decrease in the TCCC Transaction receivables, a $42.1 million increase in accrued promotional allowances, a $24.7 million increase in accounts payable, a $24.2 million decrease in prepaid income taxes, a $15.9 million increase in accrued liabilities and a $7.4 million increase in accrued distributor terminations. For the nine-months ended September 30, 2017, cash used in operating activities was primarily attributable to a $70.9 million increase in accounts receivable, a $46.7 million increase in inventories, a $12.5 million decrease in deferred revenue, a $9.2 million increase in prepaid expenses and other current assets, a $4.1 million decrease in income taxes payable and a $3.2 million decrease in accrued compensation.</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For the nine-months ended September 30, 2016, cash provided by operating activities was primarily attributable to net income earned of $539.7 million and adjustments for certain non-cash expenses, consisting of $33.7 million of stock-based compensation and $29.9 million of depreciation and other amortization. For the nine-months ended September 30, 2016, cash provided by operating activities also increased due to a $23.4 million increase in accrued promotional allowances, a $21.8 million increase in accounts payable, an $18.4 million decrease in inventories, a $16.8 million increase in deferred revenue, an $8.3 million increase in accrued liabilities and a $3.3 million increase in income taxes payable. For the nine-months ended September 30, 2016, cash used in operating activities was the result of a $136.9 million increase in prepaid income taxes, a $100.2 million increase in accounts receivable, a $21.0 million increase in distributor receivables, an $8.8 million increase in prepaid expenses and other current assets, a $5.5 million decrease in accrued distributor terminations and a $0.3 million decrease in accrued compensation.</w:t>
      </w:r>
    </w:p>
    <w:p>
      <w:pPr>
        <w:spacing w:after="0" w:line="18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i w:val="1"/>
          <w:iCs w:val="1"/>
          <w:color w:val="auto"/>
        </w:rPr>
        <w:t xml:space="preserve">Cash flows used in investing activities. </w:t>
      </w:r>
      <w:r>
        <w:rPr>
          <w:rFonts w:ascii="Arial" w:cs="Arial" w:eastAsia="Arial" w:hAnsi="Arial"/>
          <w:sz w:val="19"/>
          <w:szCs w:val="19"/>
          <w:color w:val="auto"/>
        </w:rPr>
        <w:t>Cash used in investing activities was $483.4 million for the nine-months ended September 30,</w:t>
      </w:r>
      <w:r>
        <w:rPr>
          <w:rFonts w:ascii="Arial" w:cs="Arial" w:eastAsia="Arial" w:hAnsi="Arial"/>
          <w:sz w:val="19"/>
          <w:szCs w:val="19"/>
          <w:i w:val="1"/>
          <w:iCs w:val="1"/>
          <w:color w:val="auto"/>
        </w:rPr>
        <w:t xml:space="preserve"> </w:t>
      </w:r>
      <w:r>
        <w:rPr>
          <w:rFonts w:ascii="Arial" w:cs="Arial" w:eastAsia="Arial" w:hAnsi="Arial"/>
          <w:sz w:val="19"/>
          <w:szCs w:val="19"/>
          <w:color w:val="auto"/>
        </w:rPr>
        <w:t>2017 as compared to cash used in investing activities of $266.7 million for the nine-months ended September 30, 2016.</w:t>
      </w:r>
    </w:p>
    <w:p>
      <w:pPr>
        <w:spacing w:after="0" w:line="15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For the nine-months ended September 30, 2017, cash used in investing activities was primarily attributable to purchases of available-for-sale investments. For the nine-months ended September 30, 2016, cash used in investing activities was primarily attributable to the purchase of AFF as well as purchases of held-to-maturity investments. For the nine-months ended September 30, 2017, cash provided by investing activities was primarily attributable to sales of available-for-sale investments. For the nine-months ended September 30, 2016, cash provided by investing activities was primarily attributable to maturities of held-to-maturity investments. For both the nine-months ended September 30, 2017 and 2016, cash used in investing activities also included the acquisitions of fixed assets consisting of vans and promotional vehicles, coolers and other equipment to support our marketing and promotional activities, production equipment, furniture and fixtures, office and computer equipment, real property, computer software, equipment used for sales and administrative activities, certain leasehold improvements and improvements to real property. We expect to continue to use a portion of our cash in excess of our requirements for operations for purchasing short-term and long-term investments, leasehold improvements, the acquisition of capital equipment (specifically, vans, trucks and promotional vehicles, coolers, other promotional equipment, merchandise displays, warehousing racks as well as items of production equipment required to produce certain of our existing and/or new products and to develop our brand in international markets), the completion of the construction of our new warehouse and for other corporate purposes. From time to time, we may also use cash to purchase additional real property related to our beverage business and/or acquire compatible businesses.</w:t>
      </w:r>
    </w:p>
    <w:p>
      <w:pPr>
        <w:spacing w:after="0" w:line="18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i w:val="1"/>
          <w:iCs w:val="1"/>
          <w:color w:val="auto"/>
        </w:rPr>
        <w:t xml:space="preserve">Cash flows used in financing activities. </w:t>
      </w:r>
      <w:r>
        <w:rPr>
          <w:rFonts w:ascii="Arial" w:cs="Arial" w:eastAsia="Arial" w:hAnsi="Arial"/>
          <w:sz w:val="20"/>
          <w:szCs w:val="20"/>
          <w:color w:val="auto"/>
        </w:rPr>
        <w:t>Cash used in financing activities was $224.3 million for the nine-months ended September 30,</w:t>
      </w:r>
      <w:r>
        <w:rPr>
          <w:rFonts w:ascii="Arial" w:cs="Arial" w:eastAsia="Arial" w:hAnsi="Arial"/>
          <w:sz w:val="20"/>
          <w:szCs w:val="20"/>
          <w:i w:val="1"/>
          <w:iCs w:val="1"/>
          <w:color w:val="auto"/>
        </w:rPr>
        <w:t xml:space="preserve"> </w:t>
      </w:r>
      <w:r>
        <w:rPr>
          <w:rFonts w:ascii="Arial" w:cs="Arial" w:eastAsia="Arial" w:hAnsi="Arial"/>
          <w:sz w:val="20"/>
          <w:szCs w:val="20"/>
          <w:color w:val="auto"/>
        </w:rPr>
        <w:t>2017 as compared to cash used in financing activities of $1,993.6 million for the nine-months ended September 30, 2016. The cash flows used in financing activities for both the nine-months ended September 30, 2017 and 2016 was primarily the result of the repurchases of our common stock. The cash flows provided by financing activities for both the nine-months ended September 30, 2017, and 2016 was primarily attributable to the issuance of our common stock.</w:t>
      </w:r>
    </w:p>
    <w:p>
      <w:pPr>
        <w:spacing w:after="0" w:line="20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Purchases of inventories, increases in accounts receivable and other assets, acquisition of property and equipment (including real property, personal property and coolers), leasehold improvements, advances for or the purchase of equipment for our bottlers, acquisition and maintenance of trademarks, payments of accounts payable, income taxes payable and purchases of our common stock are expected to remain our principal recurring use of cash.</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30" w:right="239" w:bottom="0" w:gutter="0" w:footer="0" w:header="0"/>
        </w:sectPr>
      </w:pPr>
    </w:p>
    <w:bookmarkStart w:id="26" w:name="page27"/>
    <w:bookmarkEnd w:id="26"/>
    <w:p>
      <w:pPr>
        <w:jc w:val="both"/>
        <w:ind w:firstLine="648"/>
        <w:spacing w:after="0" w:line="242" w:lineRule="auto"/>
        <w:rPr>
          <w:sz w:val="20"/>
          <w:szCs w:val="20"/>
          <w:color w:val="auto"/>
        </w:rPr>
      </w:pPr>
      <w:r>
        <w:rPr>
          <w:rFonts w:ascii="Arial" w:cs="Arial" w:eastAsia="Arial" w:hAnsi="Arial"/>
          <w:sz w:val="20"/>
          <w:szCs w:val="20"/>
          <w:i w:val="1"/>
          <w:iCs w:val="1"/>
          <w:color w:val="auto"/>
        </w:rPr>
        <w:t xml:space="preserve">Cash and cash equivalents, short-term and long-term investments. </w:t>
      </w:r>
      <w:r>
        <w:rPr>
          <w:rFonts w:ascii="Arial" w:cs="Arial" w:eastAsia="Arial" w:hAnsi="Arial"/>
          <w:sz w:val="20"/>
          <w:szCs w:val="20"/>
          <w:color w:val="auto"/>
        </w:rPr>
        <w:t>At September 30, 2017, we had $465.6 million in cash and cash</w:t>
      </w:r>
      <w:r>
        <w:rPr>
          <w:rFonts w:ascii="Arial" w:cs="Arial" w:eastAsia="Arial" w:hAnsi="Arial"/>
          <w:sz w:val="20"/>
          <w:szCs w:val="20"/>
          <w:i w:val="1"/>
          <w:iCs w:val="1"/>
          <w:color w:val="auto"/>
        </w:rPr>
        <w:t xml:space="preserve"> </w:t>
      </w:r>
      <w:r>
        <w:rPr>
          <w:rFonts w:ascii="Arial" w:cs="Arial" w:eastAsia="Arial" w:hAnsi="Arial"/>
          <w:sz w:val="20"/>
          <w:szCs w:val="20"/>
          <w:color w:val="auto"/>
        </w:rPr>
        <w:t>equivalents and $637.4 million in short and long-term investments. We have historically invested these amounts in U.S. Treasury bills, U.S. government agency securities and municipal securities, commercial paper, certificates of deposit, variable rate demand notes and money market funds meeting certain criteria. We maintain our investments for cash management purposes and not for purposes of speculation. Our risk management policies emphasize credit quality (primarily based on short-term ratings by nationally recognized statistical organizations) in selecting and maintaining our investments. We regularly assess market risk of our investments and believe our current policies and investment practices adequately limit those risks. However, certain of these investments are subject to general credit, liquidity, market and interest rate risks. These market risks associated with our investment portfolio may have an adverse effect on our future results of operations, liquidity and financial condition.</w:t>
      </w:r>
    </w:p>
    <w:p>
      <w:pPr>
        <w:spacing w:after="0" w:line="21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Of our $465.6 million of cash and cash equivalents held at September 30, 2017, $268.8 million was held by our foreign subsidiaries. No short-term or long-term investments were held by our foreign subsidiaries at September 30, 2017. We do not intend, nor do we foresee a need, to repatriate undistributed earnings of our foreign subsidiaries other than to repay certain intercompany debt owed to our U.S. operations. Under current tax laws, if funds in excess of intercompany amounts owed were repatriated to our U.S. operations we would be required to accrue and pay additional income taxes on such excess funds at the tax rates then in effect.</w:t>
      </w:r>
    </w:p>
    <w:p>
      <w:pPr>
        <w:spacing w:after="0" w:line="1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We believe that cash available from operations, including our cash resources and access to credit, will be sufficient for our working capital needs, including purchase commitments for raw materials and inventory, increases in accounts receivable, payments of tax liabilities, expansion and development needs, purchases of capital assets, purchases of equipment and properties, purchases of shares of our common stock and the completion of the construction of our new warehouse, through at least the next 12 months. Based on our current plans, at this time we estimate that capital expenditures, including the purchases of real property, are likely to be less than $100.0 million through September 30, 2018. However, future business opportunities may cause a change in this estimate.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represents a summary of the Company’s contractual commitments and related scheduled maturities as of September 30,</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2017:</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3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4280" w:type="dxa"/>
            <w:vAlign w:val="bottom"/>
            <w:tcBorders>
              <w:bottom w:val="single" w:sz="8" w:color="auto"/>
            </w:tcBorders>
            <w:gridSpan w:val="8"/>
          </w:tcPr>
          <w:p>
            <w:pPr>
              <w:jc w:val="center"/>
              <w:ind w:right="360"/>
              <w:spacing w:after="0"/>
              <w:rPr>
                <w:sz w:val="20"/>
                <w:szCs w:val="20"/>
                <w:color w:val="auto"/>
              </w:rPr>
            </w:pPr>
            <w:r>
              <w:rPr>
                <w:rFonts w:ascii="Arial" w:cs="Arial" w:eastAsia="Arial" w:hAnsi="Arial"/>
                <w:sz w:val="22"/>
                <w:szCs w:val="22"/>
                <w:color w:val="auto"/>
                <w:w w:val="87"/>
              </w:rPr>
              <w:t>Payments due by period (in thousands)</w:t>
            </w:r>
          </w:p>
        </w:tc>
        <w:tc>
          <w:tcPr>
            <w:tcW w:w="2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r>
      <w:tr>
        <w:trPr>
          <w:trHeight w:val="215"/>
        </w:trPr>
        <w:tc>
          <w:tcPr>
            <w:tcW w:w="3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ind w:left="20"/>
              <w:spacing w:after="0" w:line="216" w:lineRule="exact"/>
              <w:rPr>
                <w:sz w:val="20"/>
                <w:szCs w:val="20"/>
                <w:color w:val="auto"/>
              </w:rPr>
            </w:pPr>
            <w:r>
              <w:rPr>
                <w:rFonts w:ascii="Arial" w:cs="Arial" w:eastAsia="Arial" w:hAnsi="Arial"/>
                <w:sz w:val="22"/>
                <w:szCs w:val="22"/>
                <w:color w:val="auto"/>
              </w:rPr>
              <w:t>Less than</w:t>
            </w:r>
          </w:p>
        </w:tc>
        <w:tc>
          <w:tcPr>
            <w:tcW w:w="340" w:type="dxa"/>
            <w:vAlign w:val="bottom"/>
          </w:tcPr>
          <w:p>
            <w:pPr>
              <w:spacing w:after="0"/>
              <w:rPr>
                <w:sz w:val="18"/>
                <w:szCs w:val="18"/>
                <w:color w:val="auto"/>
              </w:rPr>
            </w:pPr>
          </w:p>
        </w:tc>
        <w:tc>
          <w:tcPr>
            <w:tcW w:w="1020" w:type="dxa"/>
            <w:vAlign w:val="bottom"/>
          </w:tcPr>
          <w:p>
            <w:pPr>
              <w:jc w:val="center"/>
              <w:ind w:right="232"/>
              <w:spacing w:after="0" w:line="216" w:lineRule="exact"/>
              <w:rPr>
                <w:sz w:val="20"/>
                <w:szCs w:val="20"/>
                <w:color w:val="auto"/>
              </w:rPr>
            </w:pPr>
            <w:r>
              <w:rPr>
                <w:rFonts w:ascii="Arial" w:cs="Arial" w:eastAsia="Arial" w:hAnsi="Arial"/>
                <w:sz w:val="22"/>
                <w:szCs w:val="22"/>
                <w:color w:val="auto"/>
                <w:w w:val="87"/>
              </w:rPr>
              <w:t>1-3</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ind w:right="452"/>
              <w:spacing w:after="0" w:line="216" w:lineRule="exact"/>
              <w:rPr>
                <w:sz w:val="20"/>
                <w:szCs w:val="20"/>
                <w:color w:val="auto"/>
              </w:rPr>
            </w:pPr>
            <w:r>
              <w:rPr>
                <w:rFonts w:ascii="Arial" w:cs="Arial" w:eastAsia="Arial" w:hAnsi="Arial"/>
                <w:sz w:val="22"/>
                <w:szCs w:val="22"/>
                <w:color w:val="auto"/>
              </w:rPr>
              <w:t>3-5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152"/>
              <w:spacing w:after="0" w:line="216" w:lineRule="exact"/>
              <w:rPr>
                <w:sz w:val="20"/>
                <w:szCs w:val="20"/>
                <w:color w:val="auto"/>
              </w:rPr>
            </w:pPr>
            <w:r>
              <w:rPr>
                <w:rFonts w:ascii="Arial" w:cs="Arial" w:eastAsia="Arial" w:hAnsi="Arial"/>
                <w:sz w:val="22"/>
                <w:szCs w:val="22"/>
                <w:color w:val="auto"/>
                <w:w w:val="90"/>
              </w:rPr>
              <w:t>More than</w:t>
            </w:r>
          </w:p>
        </w:tc>
      </w:tr>
      <w:tr>
        <w:trPr>
          <w:trHeight w:val="265"/>
        </w:trPr>
        <w:tc>
          <w:tcPr>
            <w:tcW w:w="3640" w:type="dxa"/>
            <w:vAlign w:val="bottom"/>
            <w:tcBorders>
              <w:bottom w:val="single" w:sz="8" w:color="auto"/>
            </w:tcBorders>
          </w:tcPr>
          <w:p>
            <w:pPr>
              <w:ind w:left="1320"/>
              <w:spacing w:after="0"/>
              <w:rPr>
                <w:sz w:val="20"/>
                <w:szCs w:val="20"/>
                <w:color w:val="auto"/>
              </w:rPr>
            </w:pPr>
            <w:r>
              <w:rPr>
                <w:rFonts w:ascii="Arial" w:cs="Arial" w:eastAsia="Arial" w:hAnsi="Arial"/>
                <w:sz w:val="22"/>
                <w:szCs w:val="22"/>
                <w:color w:val="auto"/>
              </w:rPr>
              <w:t>Obligations</w:t>
            </w:r>
          </w:p>
        </w:tc>
        <w:tc>
          <w:tcPr>
            <w:tcW w:w="2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52"/>
              <w:spacing w:after="0"/>
              <w:rPr>
                <w:sz w:val="20"/>
                <w:szCs w:val="20"/>
                <w:color w:val="auto"/>
              </w:rPr>
            </w:pPr>
            <w:r>
              <w:rPr>
                <w:rFonts w:ascii="Arial" w:cs="Arial" w:eastAsia="Arial" w:hAnsi="Arial"/>
                <w:sz w:val="22"/>
                <w:szCs w:val="22"/>
                <w:color w:val="auto"/>
              </w:rPr>
              <w:t>Total</w:t>
            </w:r>
          </w:p>
        </w:tc>
        <w:tc>
          <w:tcPr>
            <w:tcW w:w="1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color w:val="auto"/>
              </w:rPr>
              <w:t>1 year</w:t>
            </w:r>
          </w:p>
        </w:tc>
        <w:tc>
          <w:tcPr>
            <w:tcW w:w="1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center"/>
              <w:ind w:right="212"/>
              <w:spacing w:after="0"/>
              <w:rPr>
                <w:sz w:val="20"/>
                <w:szCs w:val="20"/>
                <w:color w:val="auto"/>
              </w:rPr>
            </w:pPr>
            <w:r>
              <w:rPr>
                <w:rFonts w:ascii="Arial" w:cs="Arial" w:eastAsia="Arial" w:hAnsi="Arial"/>
                <w:sz w:val="22"/>
                <w:szCs w:val="22"/>
                <w:color w:val="auto"/>
                <w:w w:val="85"/>
              </w:rPr>
              <w:t>years</w:t>
            </w:r>
          </w:p>
        </w:tc>
        <w:tc>
          <w:tcPr>
            <w:tcW w:w="14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52"/>
              <w:spacing w:after="0"/>
              <w:rPr>
                <w:sz w:val="20"/>
                <w:szCs w:val="20"/>
                <w:color w:val="auto"/>
              </w:rPr>
            </w:pPr>
            <w:r>
              <w:rPr>
                <w:rFonts w:ascii="Arial" w:cs="Arial" w:eastAsia="Arial" w:hAnsi="Arial"/>
                <w:sz w:val="22"/>
                <w:szCs w:val="22"/>
                <w:color w:val="auto"/>
              </w:rPr>
              <w:t>years</w:t>
            </w:r>
          </w:p>
        </w:tc>
        <w:tc>
          <w:tcPr>
            <w:tcW w:w="1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292"/>
              <w:spacing w:after="0"/>
              <w:rPr>
                <w:sz w:val="20"/>
                <w:szCs w:val="20"/>
                <w:color w:val="auto"/>
              </w:rPr>
            </w:pPr>
            <w:r>
              <w:rPr>
                <w:rFonts w:ascii="Arial" w:cs="Arial" w:eastAsia="Arial" w:hAnsi="Arial"/>
                <w:sz w:val="22"/>
                <w:szCs w:val="22"/>
                <w:color w:val="auto"/>
              </w:rPr>
              <w:t>5 years</w:t>
            </w:r>
          </w:p>
        </w:tc>
      </w:tr>
      <w:tr>
        <w:trPr>
          <w:trHeight w:val="431"/>
        </w:trPr>
        <w:tc>
          <w:tcPr>
            <w:tcW w:w="3840" w:type="dxa"/>
            <w:vAlign w:val="bottom"/>
            <w:gridSpan w:val="2"/>
          </w:tcPr>
          <w:p>
            <w:pPr>
              <w:spacing w:after="0"/>
              <w:rPr>
                <w:sz w:val="20"/>
                <w:szCs w:val="20"/>
                <w:color w:val="auto"/>
              </w:rPr>
            </w:pPr>
            <w:r>
              <w:rPr>
                <w:rFonts w:ascii="Arial" w:cs="Arial" w:eastAsia="Arial" w:hAnsi="Arial"/>
                <w:sz w:val="22"/>
                <w:szCs w:val="22"/>
                <w:color w:val="auto"/>
              </w:rPr>
              <w:t>Contractual Obligations</w:t>
            </w:r>
            <w:r>
              <w:rPr>
                <w:rFonts w:ascii="Arial" w:cs="Arial" w:eastAsia="Arial" w:hAnsi="Arial"/>
                <w:sz w:val="28"/>
                <w:szCs w:val="28"/>
                <w:color w:val="auto"/>
                <w:vertAlign w:val="superscript"/>
              </w:rPr>
              <w:t>1</w:t>
            </w:r>
          </w:p>
        </w:tc>
        <w:tc>
          <w:tcPr>
            <w:tcW w:w="32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1020" w:type="dxa"/>
            <w:vAlign w:val="bottom"/>
          </w:tcPr>
          <w:p>
            <w:pPr>
              <w:jc w:val="right"/>
              <w:spacing w:after="0"/>
              <w:rPr>
                <w:sz w:val="20"/>
                <w:szCs w:val="20"/>
                <w:color w:val="auto"/>
              </w:rPr>
            </w:pPr>
            <w:r>
              <w:rPr>
                <w:rFonts w:ascii="Arial" w:cs="Arial" w:eastAsia="Arial" w:hAnsi="Arial"/>
                <w:sz w:val="22"/>
                <w:szCs w:val="22"/>
                <w:color w:val="auto"/>
              </w:rPr>
              <w:t>126,008</w:t>
            </w:r>
          </w:p>
        </w:tc>
        <w:tc>
          <w:tcPr>
            <w:tcW w:w="1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22"/>
                <w:szCs w:val="22"/>
                <w:color w:val="auto"/>
              </w:rPr>
              <w:t>$</w:t>
            </w:r>
          </w:p>
        </w:tc>
        <w:tc>
          <w:tcPr>
            <w:tcW w:w="1120" w:type="dxa"/>
            <w:vAlign w:val="bottom"/>
          </w:tcPr>
          <w:p>
            <w:pPr>
              <w:jc w:val="right"/>
              <w:spacing w:after="0"/>
              <w:rPr>
                <w:sz w:val="20"/>
                <w:szCs w:val="20"/>
                <w:color w:val="auto"/>
              </w:rPr>
            </w:pPr>
            <w:r>
              <w:rPr>
                <w:rFonts w:ascii="Arial" w:cs="Arial" w:eastAsia="Arial" w:hAnsi="Arial"/>
                <w:sz w:val="22"/>
                <w:szCs w:val="22"/>
                <w:color w:val="auto"/>
              </w:rPr>
              <w:t>75,522</w:t>
            </w:r>
          </w:p>
        </w:tc>
        <w:tc>
          <w:tcPr>
            <w:tcW w:w="160" w:type="dxa"/>
            <w:vAlign w:val="bottom"/>
          </w:tcPr>
          <w:p>
            <w:pPr>
              <w:spacing w:after="0"/>
              <w:rPr>
                <w:sz w:val="24"/>
                <w:szCs w:val="24"/>
                <w:color w:val="auto"/>
              </w:rPr>
            </w:pPr>
          </w:p>
        </w:tc>
        <w:tc>
          <w:tcPr>
            <w:tcW w:w="34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1020" w:type="dxa"/>
            <w:vAlign w:val="bottom"/>
          </w:tcPr>
          <w:p>
            <w:pPr>
              <w:jc w:val="right"/>
              <w:spacing w:after="0"/>
              <w:rPr>
                <w:sz w:val="20"/>
                <w:szCs w:val="20"/>
                <w:color w:val="auto"/>
              </w:rPr>
            </w:pPr>
            <w:r>
              <w:rPr>
                <w:rFonts w:ascii="Arial" w:cs="Arial" w:eastAsia="Arial" w:hAnsi="Arial"/>
                <w:sz w:val="22"/>
                <w:szCs w:val="22"/>
                <w:color w:val="auto"/>
              </w:rPr>
              <w:t>41,512</w:t>
            </w:r>
          </w:p>
        </w:tc>
        <w:tc>
          <w:tcPr>
            <w:tcW w:w="140" w:type="dxa"/>
            <w:vAlign w:val="bottom"/>
          </w:tcPr>
          <w:p>
            <w:pPr>
              <w:spacing w:after="0"/>
              <w:rPr>
                <w:sz w:val="24"/>
                <w:szCs w:val="24"/>
                <w:color w:val="auto"/>
              </w:rPr>
            </w:pPr>
          </w:p>
        </w:tc>
        <w:tc>
          <w:tcPr>
            <w:tcW w:w="36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1040" w:type="dxa"/>
            <w:vAlign w:val="bottom"/>
          </w:tcPr>
          <w:p>
            <w:pPr>
              <w:jc w:val="right"/>
              <w:spacing w:after="0"/>
              <w:rPr>
                <w:sz w:val="20"/>
                <w:szCs w:val="20"/>
                <w:color w:val="auto"/>
              </w:rPr>
            </w:pPr>
            <w:r>
              <w:rPr>
                <w:rFonts w:ascii="Arial" w:cs="Arial" w:eastAsia="Arial" w:hAnsi="Arial"/>
                <w:sz w:val="22"/>
                <w:szCs w:val="22"/>
                <w:color w:val="auto"/>
              </w:rPr>
              <w:t>8,974</w:t>
            </w:r>
          </w:p>
        </w:tc>
        <w:tc>
          <w:tcPr>
            <w:tcW w:w="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22"/>
                <w:szCs w:val="22"/>
                <w:color w:val="auto"/>
              </w:rPr>
              <w:t>$</w:t>
            </w:r>
          </w:p>
        </w:tc>
        <w:tc>
          <w:tcPr>
            <w:tcW w:w="118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43"/>
        </w:trPr>
        <w:tc>
          <w:tcPr>
            <w:tcW w:w="3840" w:type="dxa"/>
            <w:vAlign w:val="bottom"/>
            <w:gridSpan w:val="2"/>
          </w:tcPr>
          <w:p>
            <w:pPr>
              <w:spacing w:after="0" w:line="243" w:lineRule="exact"/>
              <w:rPr>
                <w:sz w:val="20"/>
                <w:szCs w:val="20"/>
                <w:color w:val="auto"/>
              </w:rPr>
            </w:pPr>
            <w:r>
              <w:rPr>
                <w:rFonts w:ascii="Arial" w:cs="Arial" w:eastAsia="Arial" w:hAnsi="Arial"/>
                <w:sz w:val="22"/>
                <w:szCs w:val="22"/>
                <w:color w:val="auto"/>
              </w:rPr>
              <w:t>Capital Leases</w:t>
            </w:r>
          </w:p>
        </w:tc>
        <w:tc>
          <w:tcPr>
            <w:tcW w:w="32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1,231</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1,231</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r>
      <w:tr>
        <w:trPr>
          <w:trHeight w:val="243"/>
        </w:trPr>
        <w:tc>
          <w:tcPr>
            <w:tcW w:w="3840" w:type="dxa"/>
            <w:vAlign w:val="bottom"/>
            <w:gridSpan w:val="2"/>
          </w:tcPr>
          <w:p>
            <w:pPr>
              <w:spacing w:after="0" w:line="243" w:lineRule="exact"/>
              <w:rPr>
                <w:sz w:val="20"/>
                <w:szCs w:val="20"/>
                <w:color w:val="auto"/>
              </w:rPr>
            </w:pPr>
            <w:r>
              <w:rPr>
                <w:rFonts w:ascii="Arial" w:cs="Arial" w:eastAsia="Arial" w:hAnsi="Arial"/>
                <w:sz w:val="22"/>
                <w:szCs w:val="22"/>
                <w:color w:val="auto"/>
              </w:rPr>
              <w:t>Operating Leases</w:t>
            </w:r>
          </w:p>
        </w:tc>
        <w:tc>
          <w:tcPr>
            <w:tcW w:w="32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17,428</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3,147</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3,528</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spacing w:after="0" w:line="243" w:lineRule="exact"/>
              <w:rPr>
                <w:sz w:val="20"/>
                <w:szCs w:val="20"/>
                <w:color w:val="auto"/>
              </w:rPr>
            </w:pPr>
            <w:r>
              <w:rPr>
                <w:rFonts w:ascii="Arial" w:cs="Arial" w:eastAsia="Arial" w:hAnsi="Arial"/>
                <w:sz w:val="22"/>
                <w:szCs w:val="22"/>
                <w:color w:val="auto"/>
              </w:rPr>
              <w:t>3,279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line="243" w:lineRule="exact"/>
              <w:rPr>
                <w:sz w:val="20"/>
                <w:szCs w:val="20"/>
                <w:color w:val="auto"/>
              </w:rPr>
            </w:pPr>
            <w:r>
              <w:rPr>
                <w:rFonts w:ascii="Arial" w:cs="Arial" w:eastAsia="Arial" w:hAnsi="Arial"/>
                <w:sz w:val="22"/>
                <w:szCs w:val="22"/>
                <w:color w:val="auto"/>
              </w:rPr>
              <w:t>7,474</w:t>
            </w:r>
          </w:p>
        </w:tc>
      </w:tr>
      <w:tr>
        <w:trPr>
          <w:trHeight w:val="243"/>
        </w:trPr>
        <w:tc>
          <w:tcPr>
            <w:tcW w:w="3840" w:type="dxa"/>
            <w:vAlign w:val="bottom"/>
            <w:gridSpan w:val="2"/>
          </w:tcPr>
          <w:p>
            <w:pPr>
              <w:spacing w:after="0" w:line="243" w:lineRule="exact"/>
              <w:rPr>
                <w:sz w:val="20"/>
                <w:szCs w:val="20"/>
                <w:color w:val="auto"/>
              </w:rPr>
            </w:pPr>
            <w:r>
              <w:rPr>
                <w:rFonts w:ascii="Arial" w:cs="Arial" w:eastAsia="Arial" w:hAnsi="Arial"/>
                <w:sz w:val="22"/>
                <w:szCs w:val="22"/>
                <w:color w:val="auto"/>
              </w:rPr>
              <w:t>Purchase Commitments</w:t>
            </w:r>
            <w:r>
              <w:rPr>
                <w:rFonts w:ascii="Arial" w:cs="Arial" w:eastAsia="Arial" w:hAnsi="Arial"/>
                <w:sz w:val="28"/>
                <w:szCs w:val="28"/>
                <w:color w:val="auto"/>
                <w:vertAlign w:val="superscript"/>
              </w:rPr>
              <w:t>2</w:t>
            </w:r>
          </w:p>
        </w:tc>
        <w:tc>
          <w:tcPr>
            <w:tcW w:w="32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28,118</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28,118</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r>
      <w:tr>
        <w:trPr>
          <w:trHeight w:val="265"/>
        </w:trPr>
        <w:tc>
          <w:tcPr>
            <w:tcW w:w="3840" w:type="dxa"/>
            <w:vAlign w:val="bottom"/>
            <w:gridSpan w:val="2"/>
          </w:tcPr>
          <w:p>
            <w:pPr>
              <w:spacing w:after="0" w:line="265" w:lineRule="exact"/>
              <w:rPr>
                <w:sz w:val="20"/>
                <w:szCs w:val="20"/>
                <w:color w:val="auto"/>
              </w:rPr>
            </w:pPr>
            <w:r>
              <w:rPr>
                <w:rFonts w:ascii="Arial" w:cs="Arial" w:eastAsia="Arial" w:hAnsi="Arial"/>
                <w:sz w:val="22"/>
                <w:szCs w:val="22"/>
                <w:color w:val="auto"/>
              </w:rPr>
              <w:t>Construction Contract</w:t>
            </w:r>
            <w:r>
              <w:rPr>
                <w:rFonts w:ascii="Arial" w:cs="Arial" w:eastAsia="Arial" w:hAnsi="Arial"/>
                <w:sz w:val="28"/>
                <w:szCs w:val="28"/>
                <w:color w:val="auto"/>
                <w:vertAlign w:val="superscript"/>
              </w:rPr>
              <w:t>3</w:t>
            </w: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6,150</w:t>
            </w:r>
          </w:p>
        </w:tc>
        <w:tc>
          <w:tcPr>
            <w:tcW w:w="1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6,150</w:t>
            </w:r>
          </w:p>
        </w:tc>
        <w:tc>
          <w:tcPr>
            <w:tcW w:w="1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r>
      <w:tr>
        <w:trPr>
          <w:trHeight w:val="237"/>
        </w:trPr>
        <w:tc>
          <w:tcPr>
            <w:tcW w:w="3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Borders>
              <w:bottom w:val="single" w:sz="8" w:color="auto"/>
            </w:tcBorders>
          </w:tcPr>
          <w:p>
            <w:pPr>
              <w:jc w:val="right"/>
              <w:ind w:right="12"/>
              <w:spacing w:after="0" w:line="237" w:lineRule="exact"/>
              <w:rPr>
                <w:sz w:val="20"/>
                <w:szCs w:val="20"/>
                <w:color w:val="auto"/>
              </w:rPr>
            </w:pPr>
            <w:r>
              <w:rPr>
                <w:rFonts w:ascii="Arial" w:cs="Arial" w:eastAsia="Arial" w:hAnsi="Arial"/>
                <w:sz w:val="22"/>
                <w:szCs w:val="22"/>
                <w:color w:val="auto"/>
              </w:rPr>
              <w:t>$</w:t>
            </w:r>
          </w:p>
        </w:tc>
        <w:tc>
          <w:tcPr>
            <w:tcW w:w="102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178,935</w:t>
            </w:r>
          </w:p>
        </w:tc>
        <w:tc>
          <w:tcPr>
            <w:tcW w:w="180" w:type="dxa"/>
            <w:vAlign w:val="bottom"/>
          </w:tcPr>
          <w:p>
            <w:pPr>
              <w:spacing w:after="0"/>
              <w:rPr>
                <w:sz w:val="20"/>
                <w:szCs w:val="20"/>
                <w:color w:val="auto"/>
              </w:rPr>
            </w:pPr>
          </w:p>
        </w:tc>
        <w:tc>
          <w:tcPr>
            <w:tcW w:w="2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w:t>
            </w:r>
          </w:p>
        </w:tc>
        <w:tc>
          <w:tcPr>
            <w:tcW w:w="112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114,168</w:t>
            </w:r>
          </w:p>
        </w:tc>
        <w:tc>
          <w:tcPr>
            <w:tcW w:w="160" w:type="dxa"/>
            <w:vAlign w:val="bottom"/>
          </w:tcPr>
          <w:p>
            <w:pPr>
              <w:spacing w:after="0"/>
              <w:rPr>
                <w:sz w:val="20"/>
                <w:szCs w:val="20"/>
                <w:color w:val="auto"/>
              </w:rPr>
            </w:pPr>
          </w:p>
        </w:tc>
        <w:tc>
          <w:tcPr>
            <w:tcW w:w="340" w:type="dxa"/>
            <w:vAlign w:val="bottom"/>
            <w:tcBorders>
              <w:bottom w:val="single" w:sz="8" w:color="auto"/>
            </w:tcBorders>
          </w:tcPr>
          <w:p>
            <w:pPr>
              <w:jc w:val="right"/>
              <w:ind w:right="12"/>
              <w:spacing w:after="0" w:line="237" w:lineRule="exact"/>
              <w:rPr>
                <w:sz w:val="20"/>
                <w:szCs w:val="20"/>
                <w:color w:val="auto"/>
              </w:rPr>
            </w:pPr>
            <w:r>
              <w:rPr>
                <w:rFonts w:ascii="Arial" w:cs="Arial" w:eastAsia="Arial" w:hAnsi="Arial"/>
                <w:sz w:val="22"/>
                <w:szCs w:val="22"/>
                <w:color w:val="auto"/>
              </w:rPr>
              <w:t>$</w:t>
            </w:r>
          </w:p>
        </w:tc>
        <w:tc>
          <w:tcPr>
            <w:tcW w:w="102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45,040</w:t>
            </w:r>
          </w:p>
        </w:tc>
        <w:tc>
          <w:tcPr>
            <w:tcW w:w="140" w:type="dxa"/>
            <w:vAlign w:val="bottom"/>
          </w:tcPr>
          <w:p>
            <w:pPr>
              <w:spacing w:after="0"/>
              <w:rPr>
                <w:sz w:val="20"/>
                <w:szCs w:val="20"/>
                <w:color w:val="auto"/>
              </w:rPr>
            </w:pPr>
          </w:p>
        </w:tc>
        <w:tc>
          <w:tcPr>
            <w:tcW w:w="360" w:type="dxa"/>
            <w:vAlign w:val="bottom"/>
            <w:tcBorders>
              <w:bottom w:val="single" w:sz="8" w:color="auto"/>
            </w:tcBorders>
          </w:tcPr>
          <w:p>
            <w:pPr>
              <w:jc w:val="right"/>
              <w:ind w:right="32"/>
              <w:spacing w:after="0" w:line="237" w:lineRule="exact"/>
              <w:rPr>
                <w:sz w:val="20"/>
                <w:szCs w:val="20"/>
                <w:color w:val="auto"/>
              </w:rPr>
            </w:pPr>
            <w:r>
              <w:rPr>
                <w:rFonts w:ascii="Arial" w:cs="Arial" w:eastAsia="Arial" w:hAnsi="Arial"/>
                <w:sz w:val="22"/>
                <w:szCs w:val="22"/>
                <w:color w:val="auto"/>
              </w:rPr>
              <w:t>$</w:t>
            </w:r>
          </w:p>
        </w:tc>
        <w:tc>
          <w:tcPr>
            <w:tcW w:w="104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12,253</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w:t>
            </w:r>
          </w:p>
        </w:tc>
        <w:tc>
          <w:tcPr>
            <w:tcW w:w="118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7,474</w:t>
            </w:r>
          </w:p>
        </w:tc>
      </w:tr>
      <w:tr>
        <w:trPr>
          <w:trHeight w:val="20"/>
        </w:trPr>
        <w:tc>
          <w:tcPr>
            <w:tcW w:w="3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21"/>
          <w:szCs w:val="21"/>
          <w:i w:val="1"/>
          <w:iCs w:val="1"/>
          <w:color w:val="auto"/>
          <w:vertAlign w:val="superscript"/>
        </w:rPr>
        <w:t>1</w:t>
      </w:r>
      <w:r>
        <w:rPr>
          <w:rFonts w:ascii="Arial" w:cs="Arial" w:eastAsia="Arial" w:hAnsi="Arial"/>
          <w:sz w:val="16"/>
          <w:szCs w:val="16"/>
          <w:i w:val="1"/>
          <w:iCs w:val="1"/>
          <w:color w:val="auto"/>
        </w:rPr>
        <w:t>Contractual obligations include our obligations related to sponsorships and other commitments.</w:t>
      </w:r>
    </w:p>
    <w:p>
      <w:pPr>
        <w:spacing w:after="0" w:line="164" w:lineRule="exact"/>
        <w:rPr>
          <w:sz w:val="20"/>
          <w:szCs w:val="20"/>
          <w:color w:val="auto"/>
        </w:rPr>
      </w:pPr>
    </w:p>
    <w:p>
      <w:pPr>
        <w:jc w:val="both"/>
        <w:spacing w:after="0" w:line="230" w:lineRule="auto"/>
        <w:rPr>
          <w:sz w:val="20"/>
          <w:szCs w:val="20"/>
          <w:color w:val="auto"/>
        </w:rPr>
      </w:pPr>
      <w:r>
        <w:rPr>
          <w:rFonts w:ascii="Arial" w:cs="Arial" w:eastAsia="Arial" w:hAnsi="Arial"/>
          <w:sz w:val="21"/>
          <w:szCs w:val="21"/>
          <w:i w:val="1"/>
          <w:iCs w:val="1"/>
          <w:color w:val="auto"/>
          <w:vertAlign w:val="superscript"/>
        </w:rPr>
        <w:t>2</w:t>
      </w:r>
      <w:r>
        <w:rPr>
          <w:rFonts w:ascii="Arial" w:cs="Arial" w:eastAsia="Arial" w:hAnsi="Arial"/>
          <w:sz w:val="16"/>
          <w:szCs w:val="16"/>
          <w:i w:val="1"/>
          <w:iCs w:val="1"/>
          <w:color w:val="auto"/>
        </w:rPr>
        <w:t>Purchase commitments include obligations made by us and our subsidiaries to various suppliers for raw materials used in the production of our products. These obligations vary in terms, but are generally satisfied within one year.</w:t>
      </w:r>
    </w:p>
    <w:p>
      <w:pPr>
        <w:spacing w:after="0" w:line="214" w:lineRule="exact"/>
        <w:rPr>
          <w:sz w:val="20"/>
          <w:szCs w:val="20"/>
          <w:color w:val="auto"/>
        </w:rPr>
      </w:pPr>
    </w:p>
    <w:p>
      <w:pPr>
        <w:jc w:val="both"/>
        <w:spacing w:after="0" w:line="271" w:lineRule="auto"/>
        <w:rPr>
          <w:sz w:val="20"/>
          <w:szCs w:val="20"/>
          <w:color w:val="auto"/>
        </w:rPr>
      </w:pPr>
      <w:r>
        <w:rPr>
          <w:rFonts w:ascii="Arial" w:cs="Arial" w:eastAsia="Arial" w:hAnsi="Arial"/>
          <w:sz w:val="20"/>
          <w:szCs w:val="20"/>
          <w:i w:val="1"/>
          <w:iCs w:val="1"/>
          <w:color w:val="auto"/>
          <w:vertAlign w:val="superscript"/>
        </w:rPr>
        <w:t>3</w:t>
      </w:r>
      <w:r>
        <w:rPr>
          <w:rFonts w:ascii="Arial" w:cs="Arial" w:eastAsia="Arial" w:hAnsi="Arial"/>
          <w:sz w:val="15"/>
          <w:szCs w:val="15"/>
          <w:i w:val="1"/>
          <w:iCs w:val="1"/>
          <w:color w:val="auto"/>
        </w:rPr>
        <w:t>In September 2016, the Company completed its acquisition of approximately 49 acres of land, located in Rialto, CA, for a purchase price of approximately $39.1 million. The Company is constructing an approximately 1,000,000 square-foot building (the “Rialto Warehouse”), which it anticipates will be LEED certified, to replace its current leased warehouse and distribution facilities located in Corona, CA. The Company entered into an approximately $38.1 million guaranteed maximum price construction contract for the construction of the building, of which $6.2 million remained outstanding as of September 30, 2017. During the three-months ended September 30, 2017, the Company commenced its transition to the Rialto Warehouse and estimates that it will be fully operational by December 31, 2017.</w:t>
      </w:r>
    </w:p>
    <w:p>
      <w:pPr>
        <w:spacing w:after="0" w:line="18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In addition, approximately $6.5 million of unrecognized tax benefits have been recorded as liabilities as of September 30, 2017. It is expected that the amount of unrecognized tax benefits will not significantly change within the next 12 months. As of September 30, 2017, we had $1.2 million of accrued interest and penalties related to unrecognized tax benefits.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Sales</w:t>
      </w:r>
    </w:p>
    <w:p>
      <w:pPr>
        <w:spacing w:after="0" w:line="235"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The table below discloses selected quarterly data regarding sales for the three- and nine-months ended September 30, 2017 and 2016, respectively. Data from any one or more quarters or periods is not necessarily indicative of annual results or continuing trends.</w:t>
      </w:r>
    </w:p>
    <w:p>
      <w:pPr>
        <w:spacing w:after="0" w:line="14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Sales of beverages are expressed in unit case volume. A “unit case” means a unit of measurement equal to 192 U.S. fluid ounces of finished beverage (24 eight-ounce servings). Unit case volume means the number of unit cases (or unit case equivalents) of finished products or concentrates as if converted into finished products sold by us.</w:t>
      </w:r>
    </w:p>
    <w:p>
      <w:pPr>
        <w:spacing w:after="0" w:line="200"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16"/>
          <w:szCs w:val="16"/>
          <w:color w:val="auto"/>
        </w:rPr>
        <w:t>Our quarterly results of operations reflect seasonal trends that are primarily the result of increased demand in the warmer months of the year. It has been our experience that beverage sales tend to be lower during the first and fourth quarters of each calendar year. However, our experience with our energy drink products suggests they may be less seasonal than the seasonality of traditional beverages. In addition, our continued growth internationally may further reduce the impact of seasonality on our business. Quarterly fluctuations may also be affected by other factors including the introduction of new products, the opening of new markets where temperature fluctuations are more pronounced, the</w:t>
      </w:r>
    </w:p>
    <w:p>
      <w:pPr>
        <w:sectPr>
          <w:pgSz w:w="11900" w:h="16838" w:orient="portrait"/>
          <w:cols w:equalWidth="0" w:num="1">
            <w:col w:w="11420"/>
          </w:cols>
          <w:pgMar w:left="240" w:top="121" w:right="239" w:bottom="0" w:gutter="0" w:footer="0" w:header="0"/>
        </w:sectPr>
      </w:pPr>
    </w:p>
    <w:bookmarkStart w:id="27" w:name="page28"/>
    <w:bookmarkEnd w:id="27"/>
    <w:p>
      <w:pPr>
        <w:spacing w:after="0" w:line="39"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addition of new bottlers, customers and distributors, changes in the sales mix of our products and changes in advertising and promotional expenses.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gridSpan w:val="2"/>
          </w:tcPr>
          <w:p>
            <w:pPr>
              <w:spacing w:after="0"/>
              <w:rPr>
                <w:sz w:val="20"/>
                <w:szCs w:val="20"/>
                <w:color w:val="auto"/>
              </w:rPr>
            </w:pPr>
            <w:r>
              <w:rPr>
                <w:rFonts w:ascii="Arial" w:cs="Arial" w:eastAsia="Arial" w:hAnsi="Arial"/>
                <w:sz w:val="20"/>
                <w:szCs w:val="20"/>
                <w:color w:val="auto"/>
              </w:rPr>
              <w:t>(In thousands, except average</w:t>
            </w:r>
          </w:p>
        </w:tc>
        <w:tc>
          <w:tcPr>
            <w:tcW w:w="340" w:type="dxa"/>
            <w:vAlign w:val="bottom"/>
          </w:tcPr>
          <w:p>
            <w:pPr>
              <w:spacing w:after="0"/>
              <w:rPr>
                <w:sz w:val="19"/>
                <w:szCs w:val="19"/>
                <w:color w:val="auto"/>
              </w:rPr>
            </w:pPr>
          </w:p>
        </w:tc>
        <w:tc>
          <w:tcPr>
            <w:tcW w:w="2960" w:type="dxa"/>
            <w:vAlign w:val="bottom"/>
            <w:gridSpan w:val="5"/>
          </w:tcPr>
          <w:p>
            <w:pPr>
              <w:ind w:left="320"/>
              <w:spacing w:after="0"/>
              <w:rPr>
                <w:sz w:val="20"/>
                <w:szCs w:val="20"/>
                <w:color w:val="auto"/>
              </w:rPr>
            </w:pPr>
            <w:r>
              <w:rPr>
                <w:rFonts w:ascii="Arial" w:cs="Arial" w:eastAsia="Arial" w:hAnsi="Arial"/>
                <w:sz w:val="20"/>
                <w:szCs w:val="20"/>
                <w:color w:val="auto"/>
              </w:rPr>
              <w:t>Three-Months Ended</w:t>
            </w:r>
          </w:p>
        </w:tc>
        <w:tc>
          <w:tcPr>
            <w:tcW w:w="280" w:type="dxa"/>
            <w:vAlign w:val="bottom"/>
          </w:tcPr>
          <w:p>
            <w:pPr>
              <w:spacing w:after="0"/>
              <w:rPr>
                <w:sz w:val="19"/>
                <w:szCs w:val="19"/>
                <w:color w:val="auto"/>
              </w:rPr>
            </w:pPr>
          </w:p>
        </w:tc>
        <w:tc>
          <w:tcPr>
            <w:tcW w:w="2800" w:type="dxa"/>
            <w:vAlign w:val="bottom"/>
            <w:gridSpan w:val="4"/>
          </w:tcPr>
          <w:p>
            <w:pPr>
              <w:jc w:val="right"/>
              <w:ind w:right="641"/>
              <w:spacing w:after="0"/>
              <w:rPr>
                <w:sz w:val="20"/>
                <w:szCs w:val="20"/>
                <w:color w:val="auto"/>
              </w:rPr>
            </w:pPr>
            <w:r>
              <w:rPr>
                <w:rFonts w:ascii="Arial" w:cs="Arial" w:eastAsia="Arial" w:hAnsi="Arial"/>
                <w:sz w:val="20"/>
                <w:szCs w:val="20"/>
                <w:color w:val="auto"/>
              </w:rPr>
              <w:t>Nine-Months Ended</w:t>
            </w:r>
          </w:p>
        </w:tc>
        <w:tc>
          <w:tcPr>
            <w:tcW w:w="0" w:type="dxa"/>
            <w:vAlign w:val="bottom"/>
          </w:tcPr>
          <w:p>
            <w:pPr>
              <w:spacing w:after="0"/>
              <w:rPr>
                <w:sz w:val="1"/>
                <w:szCs w:val="1"/>
                <w:color w:val="auto"/>
              </w:rPr>
            </w:pPr>
          </w:p>
        </w:tc>
      </w:tr>
      <w:tr>
        <w:trPr>
          <w:trHeight w:val="246"/>
        </w:trPr>
        <w:tc>
          <w:tcPr>
            <w:tcW w:w="4760" w:type="dxa"/>
            <w:vAlign w:val="bottom"/>
            <w:tcBorders>
              <w:bottom w:val="single" w:sz="8" w:color="auto"/>
            </w:tcBorders>
          </w:tcPr>
          <w:p>
            <w:pPr>
              <w:ind w:left="180"/>
              <w:spacing w:after="0"/>
              <w:rPr>
                <w:sz w:val="20"/>
                <w:szCs w:val="20"/>
                <w:color w:val="auto"/>
              </w:rPr>
            </w:pPr>
            <w:r>
              <w:rPr>
                <w:rFonts w:ascii="Arial" w:cs="Arial" w:eastAsia="Arial" w:hAnsi="Arial"/>
                <w:sz w:val="20"/>
                <w:szCs w:val="20"/>
                <w:color w:val="auto"/>
              </w:rPr>
              <w:t>net sales per case)</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September 30,</w:t>
            </w:r>
          </w:p>
        </w:tc>
        <w:tc>
          <w:tcPr>
            <w:tcW w:w="90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September 30,</w:t>
            </w:r>
          </w:p>
        </w:tc>
        <w:tc>
          <w:tcPr>
            <w:tcW w:w="9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040" w:type="dxa"/>
            <w:vAlign w:val="bottom"/>
            <w:gridSpan w:val="2"/>
            <w:vMerge w:val="restart"/>
          </w:tcPr>
          <w:p>
            <w:pPr>
              <w:spacing w:after="0"/>
              <w:rPr>
                <w:sz w:val="20"/>
                <w:szCs w:val="20"/>
                <w:color w:val="auto"/>
              </w:rPr>
            </w:pPr>
            <w:r>
              <w:rPr>
                <w:rFonts w:ascii="Arial" w:cs="Arial" w:eastAsia="Arial" w:hAnsi="Arial"/>
                <w:sz w:val="20"/>
                <w:szCs w:val="20"/>
                <w:color w:val="auto"/>
              </w:rPr>
              <w:t>Net sales</w:t>
            </w:r>
            <w:r>
              <w:rPr>
                <w:rFonts w:ascii="Arial" w:cs="Arial" w:eastAsia="Arial" w:hAnsi="Arial"/>
                <w:sz w:val="12"/>
                <w:szCs w:val="12"/>
                <w:color w:val="auto"/>
              </w:rPr>
              <w:t>1</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rPr>
              <w:t>2017</w:t>
            </w:r>
          </w:p>
        </w:tc>
        <w:tc>
          <w:tcPr>
            <w:tcW w:w="3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w w:val="89"/>
              </w:rPr>
              <w:t>2016</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rPr>
              <w:t>2017</w:t>
            </w:r>
          </w:p>
        </w:tc>
        <w:tc>
          <w:tcPr>
            <w:tcW w:w="26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41"/>
              <w:spacing w:after="0" w:line="223" w:lineRule="exact"/>
              <w:rPr>
                <w:sz w:val="20"/>
                <w:szCs w:val="20"/>
                <w:color w:val="auto"/>
              </w:rPr>
            </w:pPr>
            <w:r>
              <w:rPr>
                <w:rFonts w:ascii="Arial" w:cs="Arial" w:eastAsia="Arial" w:hAnsi="Arial"/>
                <w:sz w:val="20"/>
                <w:szCs w:val="20"/>
                <w:color w:val="auto"/>
                <w:w w:val="85"/>
              </w:rPr>
              <w:t>2016</w:t>
            </w:r>
          </w:p>
        </w:tc>
        <w:tc>
          <w:tcPr>
            <w:tcW w:w="0" w:type="dxa"/>
            <w:vAlign w:val="bottom"/>
          </w:tcPr>
          <w:p>
            <w:pPr>
              <w:spacing w:after="0"/>
              <w:rPr>
                <w:sz w:val="1"/>
                <w:szCs w:val="1"/>
                <w:color w:val="auto"/>
              </w:rPr>
            </w:pPr>
          </w:p>
        </w:tc>
      </w:tr>
      <w:tr>
        <w:trPr>
          <w:trHeight w:val="206"/>
        </w:trPr>
        <w:tc>
          <w:tcPr>
            <w:tcW w:w="5040" w:type="dxa"/>
            <w:vAlign w:val="bottom"/>
            <w:gridSpan w:val="2"/>
            <w:vMerge w:val="continue"/>
          </w:tcPr>
          <w:p>
            <w:pPr>
              <w:spacing w:after="0"/>
              <w:rPr>
                <w:sz w:val="17"/>
                <w:szCs w:val="17"/>
                <w:color w:val="auto"/>
              </w:rPr>
            </w:pPr>
          </w:p>
        </w:tc>
        <w:tc>
          <w:tcPr>
            <w:tcW w:w="34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1020" w:type="dxa"/>
            <w:vAlign w:val="bottom"/>
          </w:tcPr>
          <w:p>
            <w:pPr>
              <w:jc w:val="right"/>
              <w:ind w:right="1"/>
              <w:spacing w:after="0" w:line="207" w:lineRule="exact"/>
              <w:rPr>
                <w:sz w:val="20"/>
                <w:szCs w:val="20"/>
                <w:color w:val="auto"/>
              </w:rPr>
            </w:pPr>
            <w:r>
              <w:rPr>
                <w:rFonts w:ascii="Arial" w:cs="Arial" w:eastAsia="Arial" w:hAnsi="Arial"/>
                <w:sz w:val="20"/>
                <w:szCs w:val="20"/>
                <w:color w:val="auto"/>
              </w:rPr>
              <w:t>909,476</w:t>
            </w:r>
          </w:p>
        </w:tc>
        <w:tc>
          <w:tcPr>
            <w:tcW w:w="300" w:type="dxa"/>
            <w:vAlign w:val="bottom"/>
          </w:tcPr>
          <w:p>
            <w:pPr>
              <w:spacing w:after="0"/>
              <w:rPr>
                <w:sz w:val="17"/>
                <w:szCs w:val="17"/>
                <w:color w:val="auto"/>
              </w:rPr>
            </w:pPr>
          </w:p>
        </w:tc>
        <w:tc>
          <w:tcPr>
            <w:tcW w:w="460" w:type="dxa"/>
            <w:vAlign w:val="bottom"/>
          </w:tcPr>
          <w:p>
            <w:pPr>
              <w:jc w:val="right"/>
              <w:ind w:right="161"/>
              <w:spacing w:after="0" w:line="207" w:lineRule="exact"/>
              <w:rPr>
                <w:sz w:val="20"/>
                <w:szCs w:val="20"/>
                <w:color w:val="auto"/>
              </w:rPr>
            </w:pPr>
            <w:r>
              <w:rPr>
                <w:rFonts w:ascii="Arial" w:cs="Arial" w:eastAsia="Arial" w:hAnsi="Arial"/>
                <w:sz w:val="20"/>
                <w:szCs w:val="20"/>
                <w:color w:val="auto"/>
              </w:rPr>
              <w:t>$</w:t>
            </w:r>
          </w:p>
        </w:tc>
        <w:tc>
          <w:tcPr>
            <w:tcW w:w="900" w:type="dxa"/>
            <w:vAlign w:val="bottom"/>
          </w:tcPr>
          <w:p>
            <w:pPr>
              <w:jc w:val="right"/>
              <w:ind w:right="21"/>
              <w:spacing w:after="0" w:line="207" w:lineRule="exact"/>
              <w:rPr>
                <w:sz w:val="20"/>
                <w:szCs w:val="20"/>
                <w:color w:val="auto"/>
              </w:rPr>
            </w:pPr>
            <w:r>
              <w:rPr>
                <w:rFonts w:ascii="Arial" w:cs="Arial" w:eastAsia="Arial" w:hAnsi="Arial"/>
                <w:sz w:val="20"/>
                <w:szCs w:val="20"/>
                <w:color w:val="auto"/>
              </w:rPr>
              <w:t>787,954</w:t>
            </w:r>
          </w:p>
        </w:tc>
        <w:tc>
          <w:tcPr>
            <w:tcW w:w="280" w:type="dxa"/>
            <w:vAlign w:val="bottom"/>
          </w:tcPr>
          <w:p>
            <w:pPr>
              <w:spacing w:after="0"/>
              <w:rPr>
                <w:sz w:val="17"/>
                <w:szCs w:val="17"/>
                <w:color w:val="auto"/>
              </w:rPr>
            </w:pPr>
          </w:p>
        </w:tc>
        <w:tc>
          <w:tcPr>
            <w:tcW w:w="280" w:type="dxa"/>
            <w:vAlign w:val="bottom"/>
          </w:tcPr>
          <w:p>
            <w:pPr>
              <w:jc w:val="right"/>
              <w:ind w:right="81"/>
              <w:spacing w:after="0" w:line="207" w:lineRule="exact"/>
              <w:rPr>
                <w:sz w:val="20"/>
                <w:szCs w:val="20"/>
                <w:color w:val="auto"/>
              </w:rPr>
            </w:pPr>
            <w:r>
              <w:rPr>
                <w:rFonts w:ascii="Arial" w:cs="Arial" w:eastAsia="Arial" w:hAnsi="Arial"/>
                <w:sz w:val="20"/>
                <w:szCs w:val="20"/>
                <w:color w:val="auto"/>
                <w:w w:val="71"/>
              </w:rPr>
              <w:t>$</w:t>
            </w:r>
          </w:p>
        </w:tc>
        <w:tc>
          <w:tcPr>
            <w:tcW w:w="1080" w:type="dxa"/>
            <w:vAlign w:val="bottom"/>
          </w:tcPr>
          <w:p>
            <w:pPr>
              <w:jc w:val="right"/>
              <w:ind w:right="21"/>
              <w:spacing w:after="0" w:line="207" w:lineRule="exact"/>
              <w:rPr>
                <w:sz w:val="20"/>
                <w:szCs w:val="20"/>
                <w:color w:val="auto"/>
              </w:rPr>
            </w:pPr>
            <w:r>
              <w:rPr>
                <w:rFonts w:ascii="Arial" w:cs="Arial" w:eastAsia="Arial" w:hAnsi="Arial"/>
                <w:sz w:val="20"/>
                <w:szCs w:val="20"/>
                <w:color w:val="auto"/>
              </w:rPr>
              <w:t>2,558,690</w:t>
            </w:r>
          </w:p>
        </w:tc>
        <w:tc>
          <w:tcPr>
            <w:tcW w:w="260" w:type="dxa"/>
            <w:vAlign w:val="bottom"/>
          </w:tcPr>
          <w:p>
            <w:pPr>
              <w:spacing w:after="0"/>
              <w:rPr>
                <w:sz w:val="17"/>
                <w:szCs w:val="17"/>
                <w:color w:val="auto"/>
              </w:rPr>
            </w:pPr>
          </w:p>
        </w:tc>
        <w:tc>
          <w:tcPr>
            <w:tcW w:w="520" w:type="dxa"/>
            <w:vAlign w:val="bottom"/>
          </w:tcPr>
          <w:p>
            <w:pPr>
              <w:jc w:val="right"/>
              <w:ind w:right="281"/>
              <w:spacing w:after="0" w:line="207" w:lineRule="exact"/>
              <w:rPr>
                <w:sz w:val="20"/>
                <w:szCs w:val="20"/>
                <w:color w:val="auto"/>
              </w:rPr>
            </w:pPr>
            <w:r>
              <w:rPr>
                <w:rFonts w:ascii="Arial" w:cs="Arial" w:eastAsia="Arial" w:hAnsi="Arial"/>
                <w:sz w:val="20"/>
                <w:szCs w:val="20"/>
                <w:color w:val="auto"/>
              </w:rPr>
              <w:t>$</w:t>
            </w:r>
          </w:p>
        </w:tc>
        <w:tc>
          <w:tcPr>
            <w:tcW w:w="940" w:type="dxa"/>
            <w:vAlign w:val="bottom"/>
          </w:tcPr>
          <w:p>
            <w:pPr>
              <w:jc w:val="right"/>
              <w:ind w:right="21"/>
              <w:spacing w:after="0" w:line="207" w:lineRule="exact"/>
              <w:rPr>
                <w:sz w:val="20"/>
                <w:szCs w:val="20"/>
                <w:color w:val="auto"/>
              </w:rPr>
            </w:pPr>
            <w:r>
              <w:rPr>
                <w:rFonts w:ascii="Arial" w:cs="Arial" w:eastAsia="Arial" w:hAnsi="Arial"/>
                <w:sz w:val="20"/>
                <w:szCs w:val="20"/>
                <w:color w:val="auto"/>
                <w:w w:val="89"/>
              </w:rPr>
              <w:t>2,295,628</w:t>
            </w:r>
          </w:p>
        </w:tc>
        <w:tc>
          <w:tcPr>
            <w:tcW w:w="0" w:type="dxa"/>
            <w:vAlign w:val="bottom"/>
          </w:tcPr>
          <w:p>
            <w:pPr>
              <w:spacing w:after="0"/>
              <w:rPr>
                <w:sz w:val="1"/>
                <w:szCs w:val="1"/>
                <w:color w:val="auto"/>
              </w:rPr>
            </w:pPr>
          </w:p>
        </w:tc>
      </w:tr>
      <w:tr>
        <w:trPr>
          <w:trHeight w:val="240"/>
        </w:trPr>
        <w:tc>
          <w:tcPr>
            <w:tcW w:w="5040" w:type="dxa"/>
            <w:vAlign w:val="bottom"/>
            <w:gridSpan w:val="2"/>
          </w:tcPr>
          <w:p>
            <w:pPr>
              <w:spacing w:after="0"/>
              <w:rPr>
                <w:sz w:val="20"/>
                <w:szCs w:val="20"/>
                <w:color w:val="auto"/>
              </w:rPr>
            </w:pPr>
            <w:r>
              <w:rPr>
                <w:rFonts w:ascii="Arial" w:cs="Arial" w:eastAsia="Arial" w:hAnsi="Arial"/>
                <w:sz w:val="20"/>
                <w:szCs w:val="20"/>
                <w:color w:val="auto"/>
              </w:rPr>
              <w:t>Less: AFF third-party sales</w:t>
            </w: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(5,200)</w:t>
            </w:r>
          </w:p>
        </w:tc>
        <w:tc>
          <w:tcPr>
            <w:tcW w:w="3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(5,686)</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(16,914)</w:t>
            </w:r>
          </w:p>
        </w:tc>
        <w:tc>
          <w:tcPr>
            <w:tcW w:w="2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(12,127)</w:t>
            </w: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line="220" w:lineRule="exact"/>
              <w:rPr>
                <w:sz w:val="20"/>
                <w:szCs w:val="20"/>
                <w:color w:val="auto"/>
              </w:rPr>
            </w:pPr>
            <w:r>
              <w:rPr>
                <w:rFonts w:ascii="Arial" w:cs="Arial" w:eastAsia="Arial" w:hAnsi="Arial"/>
                <w:sz w:val="20"/>
                <w:szCs w:val="20"/>
                <w:color w:val="auto"/>
              </w:rPr>
              <w:t>Adjusted net sales</w:t>
            </w:r>
            <w:r>
              <w:rPr>
                <w:rFonts w:ascii="Arial" w:cs="Arial" w:eastAsia="Arial" w:hAnsi="Arial"/>
                <w:sz w:val="12"/>
                <w:szCs w:val="12"/>
                <w:color w:val="auto"/>
              </w:rPr>
              <w:t>2</w:t>
            </w:r>
          </w:p>
        </w:tc>
        <w:tc>
          <w:tcPr>
            <w:tcW w:w="3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904,276</w:t>
            </w:r>
          </w:p>
        </w:tc>
        <w:tc>
          <w:tcPr>
            <w:tcW w:w="300" w:type="dxa"/>
            <w:vAlign w:val="bottom"/>
          </w:tcPr>
          <w:p>
            <w:pPr>
              <w:spacing w:after="0"/>
              <w:rPr>
                <w:sz w:val="19"/>
                <w:szCs w:val="19"/>
                <w:color w:val="auto"/>
              </w:rPr>
            </w:pPr>
          </w:p>
        </w:tc>
        <w:tc>
          <w:tcPr>
            <w:tcW w:w="46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782,268</w:t>
            </w:r>
          </w:p>
        </w:tc>
        <w:tc>
          <w:tcPr>
            <w:tcW w:w="280" w:type="dxa"/>
            <w:vAlign w:val="bottom"/>
          </w:tcPr>
          <w:p>
            <w:pPr>
              <w:spacing w:after="0"/>
              <w:rPr>
                <w:sz w:val="19"/>
                <w:szCs w:val="19"/>
                <w:color w:val="auto"/>
              </w:rPr>
            </w:pPr>
          </w:p>
        </w:tc>
        <w:tc>
          <w:tcPr>
            <w:tcW w:w="2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w w:val="71"/>
              </w:rPr>
              <w:t>$</w:t>
            </w: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2,541,776</w:t>
            </w:r>
          </w:p>
        </w:tc>
        <w:tc>
          <w:tcPr>
            <w:tcW w:w="260" w:type="dxa"/>
            <w:vAlign w:val="bottom"/>
          </w:tcPr>
          <w:p>
            <w:pPr>
              <w:spacing w:after="0"/>
              <w:rPr>
                <w:sz w:val="19"/>
                <w:szCs w:val="19"/>
                <w:color w:val="auto"/>
              </w:rPr>
            </w:pPr>
          </w:p>
        </w:tc>
        <w:tc>
          <w:tcPr>
            <w:tcW w:w="52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w w:val="89"/>
              </w:rPr>
              <w:t>2,283,501</w:t>
            </w: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line="207" w:lineRule="exact"/>
              <w:rPr>
                <w:sz w:val="20"/>
                <w:szCs w:val="20"/>
                <w:color w:val="auto"/>
              </w:rPr>
            </w:pPr>
            <w:r>
              <w:rPr>
                <w:rFonts w:ascii="Arial" w:cs="Arial" w:eastAsia="Arial" w:hAnsi="Arial"/>
                <w:sz w:val="20"/>
                <w:szCs w:val="20"/>
                <w:color w:val="auto"/>
              </w:rPr>
              <w:t>Case sales by segment:</w:t>
            </w: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0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040" w:type="dxa"/>
            <w:vAlign w:val="bottom"/>
            <w:gridSpan w:val="2"/>
          </w:tcPr>
          <w:p>
            <w:pPr>
              <w:ind w:left="180"/>
              <w:spacing w:after="0"/>
              <w:rPr>
                <w:sz w:val="20"/>
                <w:szCs w:val="20"/>
                <w:color w:val="auto"/>
              </w:rPr>
            </w:pPr>
            <w:r>
              <w:rPr>
                <w:rFonts w:ascii="Arial" w:cs="Arial" w:eastAsia="Arial" w:hAnsi="Arial"/>
                <w:sz w:val="20"/>
                <w:szCs w:val="20"/>
                <w:color w:val="auto"/>
              </w:rPr>
              <w:t>Monster Energy® Drinks</w:t>
            </w:r>
          </w:p>
        </w:tc>
        <w:tc>
          <w:tcPr>
            <w:tcW w:w="3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78,330</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20"/>
                <w:szCs w:val="20"/>
                <w:color w:val="auto"/>
              </w:rPr>
              <w:t>66,870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20"/>
                <w:szCs w:val="20"/>
                <w:color w:val="auto"/>
              </w:rPr>
              <w:t>220,433</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ind w:right="21"/>
              <w:spacing w:after="0"/>
              <w:rPr>
                <w:sz w:val="20"/>
                <w:szCs w:val="20"/>
                <w:color w:val="auto"/>
              </w:rPr>
            </w:pPr>
            <w:r>
              <w:rPr>
                <w:rFonts w:ascii="Arial" w:cs="Arial" w:eastAsia="Arial" w:hAnsi="Arial"/>
                <w:sz w:val="20"/>
                <w:szCs w:val="20"/>
                <w:color w:val="auto"/>
              </w:rPr>
              <w:t>192,887</w:t>
            </w:r>
          </w:p>
        </w:tc>
        <w:tc>
          <w:tcPr>
            <w:tcW w:w="0" w:type="dxa"/>
            <w:vAlign w:val="bottom"/>
          </w:tcPr>
          <w:p>
            <w:pPr>
              <w:spacing w:after="0"/>
              <w:rPr>
                <w:sz w:val="1"/>
                <w:szCs w:val="1"/>
                <w:color w:val="auto"/>
              </w:rPr>
            </w:pPr>
          </w:p>
        </w:tc>
      </w:tr>
      <w:tr>
        <w:trPr>
          <w:trHeight w:val="230"/>
        </w:trPr>
        <w:tc>
          <w:tcPr>
            <w:tcW w:w="5040" w:type="dxa"/>
            <w:vAlign w:val="bottom"/>
            <w:gridSpan w:val="2"/>
          </w:tcPr>
          <w:p>
            <w:pPr>
              <w:ind w:left="180"/>
              <w:spacing w:after="0"/>
              <w:rPr>
                <w:sz w:val="20"/>
                <w:szCs w:val="20"/>
                <w:color w:val="auto"/>
              </w:rPr>
            </w:pPr>
            <w:r>
              <w:rPr>
                <w:rFonts w:ascii="Arial" w:cs="Arial" w:eastAsia="Arial" w:hAnsi="Arial"/>
                <w:sz w:val="20"/>
                <w:szCs w:val="20"/>
                <w:color w:val="auto"/>
              </w:rPr>
              <w:t>Strategic Brands</w:t>
            </w:r>
          </w:p>
        </w:tc>
        <w:tc>
          <w:tcPr>
            <w:tcW w:w="3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17,854</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20"/>
                <w:szCs w:val="20"/>
                <w:color w:val="auto"/>
              </w:rPr>
              <w:t>15,897</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20"/>
                <w:szCs w:val="20"/>
                <w:color w:val="auto"/>
              </w:rPr>
              <w:t>52,976</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ind w:right="21"/>
              <w:spacing w:after="0"/>
              <w:rPr>
                <w:sz w:val="20"/>
                <w:szCs w:val="20"/>
                <w:color w:val="auto"/>
              </w:rPr>
            </w:pPr>
            <w:r>
              <w:rPr>
                <w:rFonts w:ascii="Arial" w:cs="Arial" w:eastAsia="Arial" w:hAnsi="Arial"/>
                <w:sz w:val="20"/>
                <w:szCs w:val="20"/>
                <w:color w:val="auto"/>
              </w:rPr>
              <w:t>50,107</w:t>
            </w:r>
          </w:p>
        </w:tc>
        <w:tc>
          <w:tcPr>
            <w:tcW w:w="0" w:type="dxa"/>
            <w:vAlign w:val="bottom"/>
          </w:tcPr>
          <w:p>
            <w:pPr>
              <w:spacing w:after="0"/>
              <w:rPr>
                <w:sz w:val="1"/>
                <w:szCs w:val="1"/>
                <w:color w:val="auto"/>
              </w:rPr>
            </w:pPr>
          </w:p>
        </w:tc>
      </w:tr>
      <w:tr>
        <w:trPr>
          <w:trHeight w:val="240"/>
        </w:trPr>
        <w:tc>
          <w:tcPr>
            <w:tcW w:w="5040" w:type="dxa"/>
            <w:vAlign w:val="bottom"/>
            <w:gridSpan w:val="2"/>
          </w:tcPr>
          <w:p>
            <w:pPr>
              <w:ind w:left="180"/>
              <w:spacing w:after="0"/>
              <w:rPr>
                <w:sz w:val="20"/>
                <w:szCs w:val="20"/>
                <w:color w:val="auto"/>
              </w:rPr>
            </w:pPr>
            <w:r>
              <w:rPr>
                <w:rFonts w:ascii="Arial" w:cs="Arial" w:eastAsia="Arial" w:hAnsi="Arial"/>
                <w:sz w:val="20"/>
                <w:szCs w:val="20"/>
                <w:color w:val="auto"/>
              </w:rPr>
              <w:t>Other</w:t>
            </w:r>
            <w:r>
              <w:rPr>
                <w:rFonts w:ascii="Arial" w:cs="Arial" w:eastAsia="Arial" w:hAnsi="Arial"/>
                <w:sz w:val="12"/>
                <w:szCs w:val="12"/>
                <w:color w:val="auto"/>
              </w:rPr>
              <w:t>2</w:t>
            </w: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3"/>
        </w:trPr>
        <w:tc>
          <w:tcPr>
            <w:tcW w:w="5040" w:type="dxa"/>
            <w:vAlign w:val="bottom"/>
            <w:gridSpan w:val="2"/>
          </w:tcPr>
          <w:p>
            <w:pPr>
              <w:spacing w:after="0" w:line="213" w:lineRule="exact"/>
              <w:rPr>
                <w:sz w:val="20"/>
                <w:szCs w:val="20"/>
                <w:color w:val="auto"/>
              </w:rPr>
            </w:pPr>
            <w:r>
              <w:rPr>
                <w:rFonts w:ascii="Arial" w:cs="Arial" w:eastAsia="Arial" w:hAnsi="Arial"/>
                <w:sz w:val="20"/>
                <w:szCs w:val="20"/>
                <w:color w:val="auto"/>
              </w:rPr>
              <w:t>Total case sales</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
              <w:spacing w:after="0" w:line="213" w:lineRule="exact"/>
              <w:rPr>
                <w:sz w:val="20"/>
                <w:szCs w:val="20"/>
                <w:color w:val="auto"/>
              </w:rPr>
            </w:pPr>
            <w:r>
              <w:rPr>
                <w:rFonts w:ascii="Arial" w:cs="Arial" w:eastAsia="Arial" w:hAnsi="Arial"/>
                <w:sz w:val="20"/>
                <w:szCs w:val="20"/>
                <w:color w:val="auto"/>
              </w:rPr>
              <w:t>96,184</w:t>
            </w:r>
          </w:p>
        </w:tc>
        <w:tc>
          <w:tcPr>
            <w:tcW w:w="3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
              <w:spacing w:after="0" w:line="213" w:lineRule="exact"/>
              <w:rPr>
                <w:sz w:val="20"/>
                <w:szCs w:val="20"/>
                <w:color w:val="auto"/>
              </w:rPr>
            </w:pPr>
            <w:r>
              <w:rPr>
                <w:rFonts w:ascii="Arial" w:cs="Arial" w:eastAsia="Arial" w:hAnsi="Arial"/>
                <w:sz w:val="20"/>
                <w:szCs w:val="20"/>
                <w:color w:val="auto"/>
              </w:rPr>
              <w:t>82,767</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1"/>
              <w:spacing w:after="0" w:line="213" w:lineRule="exact"/>
              <w:rPr>
                <w:sz w:val="20"/>
                <w:szCs w:val="20"/>
                <w:color w:val="auto"/>
              </w:rPr>
            </w:pPr>
            <w:r>
              <w:rPr>
                <w:rFonts w:ascii="Arial" w:cs="Arial" w:eastAsia="Arial" w:hAnsi="Arial"/>
                <w:sz w:val="20"/>
                <w:szCs w:val="20"/>
                <w:color w:val="auto"/>
              </w:rPr>
              <w:t>273,409</w:t>
            </w:r>
          </w:p>
        </w:tc>
        <w:tc>
          <w:tcPr>
            <w:tcW w:w="26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1"/>
              <w:spacing w:after="0" w:line="213" w:lineRule="exact"/>
              <w:rPr>
                <w:sz w:val="20"/>
                <w:szCs w:val="20"/>
                <w:color w:val="auto"/>
              </w:rPr>
            </w:pPr>
            <w:r>
              <w:rPr>
                <w:rFonts w:ascii="Arial" w:cs="Arial" w:eastAsia="Arial" w:hAnsi="Arial"/>
                <w:sz w:val="20"/>
                <w:szCs w:val="20"/>
                <w:color w:val="auto"/>
              </w:rPr>
              <w:t>242,994</w:t>
            </w: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line="220" w:lineRule="exact"/>
              <w:rPr>
                <w:sz w:val="20"/>
                <w:szCs w:val="20"/>
                <w:color w:val="auto"/>
              </w:rPr>
            </w:pPr>
            <w:r>
              <w:rPr>
                <w:rFonts w:ascii="Arial" w:cs="Arial" w:eastAsia="Arial" w:hAnsi="Arial"/>
                <w:sz w:val="20"/>
                <w:szCs w:val="20"/>
                <w:color w:val="auto"/>
              </w:rPr>
              <w:t>Average net sales per case</w:t>
            </w:r>
          </w:p>
        </w:tc>
        <w:tc>
          <w:tcPr>
            <w:tcW w:w="3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9.40</w:t>
            </w:r>
          </w:p>
        </w:tc>
        <w:tc>
          <w:tcPr>
            <w:tcW w:w="300" w:type="dxa"/>
            <w:vAlign w:val="bottom"/>
          </w:tcPr>
          <w:p>
            <w:pPr>
              <w:spacing w:after="0"/>
              <w:rPr>
                <w:sz w:val="19"/>
                <w:szCs w:val="19"/>
                <w:color w:val="auto"/>
              </w:rPr>
            </w:pPr>
          </w:p>
        </w:tc>
        <w:tc>
          <w:tcPr>
            <w:tcW w:w="46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9.45</w:t>
            </w:r>
          </w:p>
        </w:tc>
        <w:tc>
          <w:tcPr>
            <w:tcW w:w="280" w:type="dxa"/>
            <w:vAlign w:val="bottom"/>
          </w:tcPr>
          <w:p>
            <w:pPr>
              <w:spacing w:after="0"/>
              <w:rPr>
                <w:sz w:val="19"/>
                <w:szCs w:val="19"/>
                <w:color w:val="auto"/>
              </w:rPr>
            </w:pPr>
          </w:p>
        </w:tc>
        <w:tc>
          <w:tcPr>
            <w:tcW w:w="2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w w:val="71"/>
              </w:rPr>
              <w:t>$</w:t>
            </w: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9.30</w:t>
            </w:r>
          </w:p>
        </w:tc>
        <w:tc>
          <w:tcPr>
            <w:tcW w:w="260" w:type="dxa"/>
            <w:vAlign w:val="bottom"/>
          </w:tcPr>
          <w:p>
            <w:pPr>
              <w:spacing w:after="0"/>
              <w:rPr>
                <w:sz w:val="19"/>
                <w:szCs w:val="19"/>
                <w:color w:val="auto"/>
              </w:rPr>
            </w:pPr>
          </w:p>
        </w:tc>
        <w:tc>
          <w:tcPr>
            <w:tcW w:w="52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9.40</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jc w:val="both"/>
        <w:spacing w:after="0" w:line="230" w:lineRule="auto"/>
        <w:rPr>
          <w:sz w:val="20"/>
          <w:szCs w:val="20"/>
          <w:color w:val="auto"/>
        </w:rPr>
      </w:pPr>
      <w:r>
        <w:rPr>
          <w:rFonts w:ascii="Arial" w:cs="Arial" w:eastAsia="Arial" w:hAnsi="Arial"/>
          <w:sz w:val="21"/>
          <w:szCs w:val="21"/>
          <w:i w:val="1"/>
          <w:iCs w:val="1"/>
          <w:color w:val="auto"/>
          <w:vertAlign w:val="superscript"/>
        </w:rPr>
        <w:t>1</w:t>
      </w:r>
      <w:r>
        <w:rPr>
          <w:rFonts w:ascii="Arial" w:cs="Arial" w:eastAsia="Arial" w:hAnsi="Arial"/>
          <w:sz w:val="16"/>
          <w:szCs w:val="16"/>
          <w:i w:val="1"/>
          <w:iCs w:val="1"/>
          <w:color w:val="auto"/>
        </w:rPr>
        <w:t>Includes $11.4 million and $8.4 million for the three-months ended September 30, 2017 and 2016, respectively, related to the recognition of deferred revenue. Includes $31.6 million and $28.6 million for the nine-months ended September 30, 2017 and 2016, respectively, related to the recognition of deferred revenue.</w:t>
      </w:r>
    </w:p>
    <w:p>
      <w:pPr>
        <w:spacing w:after="0" w:line="227" w:lineRule="exact"/>
        <w:rPr>
          <w:sz w:val="20"/>
          <w:szCs w:val="20"/>
          <w:color w:val="auto"/>
        </w:rPr>
      </w:pPr>
    </w:p>
    <w:p>
      <w:pPr>
        <w:jc w:val="both"/>
        <w:spacing w:after="0" w:line="248" w:lineRule="auto"/>
        <w:rPr>
          <w:sz w:val="20"/>
          <w:szCs w:val="20"/>
          <w:color w:val="auto"/>
        </w:rPr>
      </w:pPr>
      <w:r>
        <w:rPr>
          <w:rFonts w:ascii="Arial" w:cs="Arial" w:eastAsia="Arial" w:hAnsi="Arial"/>
          <w:sz w:val="21"/>
          <w:szCs w:val="21"/>
          <w:i w:val="1"/>
          <w:iCs w:val="1"/>
          <w:color w:val="auto"/>
          <w:vertAlign w:val="superscript"/>
        </w:rPr>
        <w:t>2</w:t>
      </w:r>
      <w:r>
        <w:rPr>
          <w:rFonts w:ascii="Arial" w:cs="Arial" w:eastAsia="Arial" w:hAnsi="Arial"/>
          <w:sz w:val="16"/>
          <w:szCs w:val="16"/>
          <w:i w:val="1"/>
          <w:iCs w:val="1"/>
          <w:color w:val="auto"/>
        </w:rPr>
        <w:t>Excludes Other segment net sales of $5.2 million and $5.7 million for the three-months ended September 30, 2017 and 2016, respectively, comprised of net sales of AFF Third-Party Products to independent third-party customers as these sales do not have unit case equivalents. Excludes Other segment net sales of $16.9 million and $12.1 million for the nine-months ended September 30, 2017 and 2016, respectively, comprised of sales of AFF Third-Party Products to independent third-party customers as these sales do not have unit case equivalents.</w:t>
      </w:r>
    </w:p>
    <w:p>
      <w:pPr>
        <w:spacing w:after="0" w:line="21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See Item 2, “Management’s Discussion and Analysis of Financial Condition and Results of Operations - Our Business” for additional information related to the increase in sales.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w:t>
      </w:r>
    </w:p>
    <w:p>
      <w:pPr>
        <w:spacing w:after="0" w:line="23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There have been no material changes to our critical accounting policies from the information provided in Item 7, “Management’s Discussion and Analysis of Financial Condition and Results of Operations”, included in our Annual Report on Form 10-K for the fiscal year ended December 31, 2016 (“Form 10-K”).</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Accounting Pronouncements</w:t>
      </w:r>
    </w:p>
    <w:p>
      <w:pPr>
        <w:spacing w:after="0" w:line="2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252525"/>
        </w:rPr>
        <w:t>In May 2017, the FASB issued Accounting Standards Update (“ASU”) No. 2017-09, “Compensation—Stock Compensation (Topic 718): Scope of Modification Accounting,” clarifying when a change to the terms or conditions of a share-based payment award must be accounted for as a modification. The new guidance requires modification accounting if the fair value, vesting condition or the classification of the award is not the same immediately before and after a change to the terms and conditions of the award. The new guidance is effective for the Company on a prospective basis beginning on January 1, 2018, with early adoption permitted. The Company is currently evaluating the impact of ASU No. 2017-09 on its financial position, results of operations and liquidity.</w:t>
      </w:r>
    </w:p>
    <w:p>
      <w:pPr>
        <w:spacing w:after="0" w:line="19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252525"/>
        </w:rPr>
        <w:t>In January 2017, the FASB issued ASU No. 2017-01, “Business Combinations (Topic 805): Clarifying the Definition of a Business”, which clarifies the definition of a business with the objective of adding guidance to assist entities with evaluating whether transactions should be accounted for as acquisitions (or disposals) of assets or businesses. This amendment is effective for fiscal years beginning after December 15, 2017, and interim periods within those fiscal years. Early adoption is permitted. The Company is currently evaluating the impact of ASU No. 2017-01 on its financial position, results of operations and liquidity.</w:t>
      </w:r>
    </w:p>
    <w:p>
      <w:pPr>
        <w:spacing w:after="0" w:line="20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252525"/>
        </w:rPr>
        <w:t>In January 2017, the FASB issued ASU No. 2017-04, “Intangibles and Other (Topic 350): Simplifying the Test for Goodwill Impairment”, which eliminates the requirement to calculate the implied fair value of goodwill, but rather requires an entity to record an impairment charge based on the excess of a reporting unit’s carrying value over its fair value. This amendment is effective for annual or interim goodwill impairment tests in fiscal years beginning after December 15, 2019. Early adoption is permitted. The Company is currently evaluating the impact of ASU No. 2017-04 on its financial position, results of operations and liquidity.</w:t>
      </w:r>
    </w:p>
    <w:p>
      <w:pPr>
        <w:spacing w:after="0" w:line="19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252525"/>
        </w:rPr>
        <w:t>In October 2016, the FASB issued ASU No. 2016-16, “Income Taxes (Topic 740): Intra-Entity Transfers of Assets Other Than Inventory”, in an effort to improve the accounting for the income tax consequences of intra-entity transfers of assets other than inventory. Current GAAP prohibits the recognition of current and deferred income taxes for an intra-entity asset transfer until the asset has been sold to an outside party. FASB ASU No. 2016-16 establishes the requirement that an entity recognize the income tax consequences of an intra-entity transfer of an asset other than inventory when the transfer occurs. ASU No. 2016-16 is effective for financial statements issued for annual periods beginning after December 15, 2017 and interim periods within those annual periods. Earlier application is permitted as of the beginning of an interim or annual reporting period, with any adjustments reflected as of the beginning of the fiscal year of adoption. The Company is currently evaluating the impact of ASU No. 2016-16 on its financial position, results of operations and liquidity.</w:t>
      </w:r>
    </w:p>
    <w:p>
      <w:pPr>
        <w:spacing w:after="0" w:line="18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252525"/>
        </w:rPr>
        <w:t>In August 2016, the FASB issued ASU No. 2016-15, “Statement of Cash Flows (Topic 230)”. The new guidance is intended to reduce diversity in practice in how certain transactions are classified in the statement of cash flows. ASU No. 2016-15 is effective for fiscal years, and interim periods within those years, beginning after December 15, 2017. Early adoption is permitted, provided that all of the amendments are</w:t>
      </w:r>
    </w:p>
    <w:p>
      <w:pPr>
        <w:sectPr>
          <w:pgSz w:w="11900" w:h="16877" w:orient="portrait"/>
          <w:cols w:equalWidth="0" w:num="1">
            <w:col w:w="11420"/>
          </w:cols>
          <w:pgMar w:left="240" w:top="121" w:right="239" w:bottom="0" w:gutter="0" w:footer="0" w:header="0"/>
        </w:sectPr>
      </w:pPr>
    </w:p>
    <w:bookmarkStart w:id="28" w:name="page29"/>
    <w:bookmarkEnd w:id="28"/>
    <w:p>
      <w:pPr>
        <w:spacing w:after="0" w:line="47"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252525"/>
        </w:rPr>
        <w:t>adopted in the same period. The guidance requires application using a retrospective transition method. The Company is currently evaluating the impact of ASU No. 2016-15 on its financial position, results of operations and liquidity.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252525"/>
        </w:rPr>
        <w:t>In June 2016, the FASB issued ASU No. 2016-13, “Financial Instruments - Credit Losses (Topic 326): Measurement of Credit Losses on Financial Instruments”. The accounting standard changes the methodology for measuring credit losses on financial instruments and the timing when such losses are recorded. ASU No. 2016-13 is effective for fiscal years, and interim periods within those years, beginning after December 15, 2019. Early adoption is permitted for fiscal years, and interim periods within those years, beginning after December 15, 2018. The Company is currently evaluating the impact of ASU No. 2016-13 on its financial position, results of operations and liquidity.</w:t>
      </w:r>
    </w:p>
    <w:p>
      <w:pPr>
        <w:spacing w:after="0" w:line="17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252525"/>
        </w:rPr>
        <w:t>In February 2016, the FASB issued ASU No. 2016-02, “Leases (Topic 842)”. This update is intended to increase transparency and comparability among organizations by recognizing lease assets and lease liabilities on the balance sheet and disclosing key information about leasing arrangements. This update is effective for annual and interim reporting periods beginning after December 15, 2018, including interim periods within those fiscal years. Early adoption is permitted. The Company is currently evaluating the impact of ASU No. 2016-02 on its financial position, results of operations and liquidity.</w:t>
      </w:r>
    </w:p>
    <w:p>
      <w:pPr>
        <w:spacing w:after="0" w:line="20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252525"/>
        </w:rPr>
        <w:t xml:space="preserve">In May 2014, the FASB issued ASU No. 2014-09, “Revenue from Contracts with Customers (Topic 606)”, which supersedes previous revenue recognition guidance. ASU No. 2014-09 requires that a company recognize revenue at an amount that reflects the consideration to which the company expects to be entitled in exchange for transferring goods or services to a customer. In applying the new guidance, a company will (i) identify the contract(s) with a customer; (ii) identify the performance obligations in the contract; (iii) determine the transaction price; (iv) allocate the transaction price to the contract’s performance obligations; and (v) recognize revenue when (or as) the entity satisfies a performance obligation. ASU No. 2014-09 was to be effective for reporting periods beginning after December 15, 2016. However, on July 9, 2015, the FASB voted to approve a one-year deferral of the effective date. This new guidance is effective for the Company beginning January 1, 2018 and can be adopted using either a full retrospective or modified approach. The Company has made significant progress in its evaluation of the amended revenue recognition guidance in Topic 606, however, such evaluation has yet to progress to a stage where there is sufficient information for a preliminary position of the impact on the Company’s consolidated financial statements. Therefore, the Company is unable at this time to provide (i) qualitative financial statement disclosures of the potential impact that this standard will have on its financial statements when adopted, (ii) a description of the effects of the accounting policies it expects to apply, (iii) a comparison to its current revenue recognition policies and (iv) a method for adoption. </w:t>
      </w:r>
      <w:r>
        <w:rPr>
          <w:rFonts w:ascii="Arial" w:cs="Arial" w:eastAsia="Arial" w:hAnsi="Arial"/>
          <w:sz w:val="18"/>
          <w:szCs w:val="18"/>
          <w:color w:val="000000"/>
        </w:rPr>
        <w:t>The Company’s expects to complete its evaluation by December 15, 2017.</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Inflation</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We believe inflation did not have a significant impact on our results of operations for the periods presented.</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3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Certain statements made in this report may constitute forward-looking statements (within the meaning of Section 27A of the Securities Act of 1933, as amended, and Section 21E of the Securities Exchange Act of 1934, as amended) (the “Exchange Act”) regarding the expectations of management with respect to revenues, profitability, adequacy of funds from operations and our existing credit facility, among other things. All statements containing a projection of revenues, income (loss), earnings (loss) per share, capital expenditures, dividends, capital structure or other financial items, a statement of management’s plans and objectives for future operations, or a statement of future economic performance contained in management’s discussion and analysis of financial condition and results of operations, including statements related to new products, volume growth and statements encompassing general optimism about future operating results and non-historical information, are forward-looking statements within the meaning of the Act. Without limiting the foregoing, the words “believes,” “thinks,” “anticipates,” “plans,” “expects,” and similar expressions are intended to identify forward-looking statements.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Management cautions that these statements are qualified by their terms and/or important factors, many of which are outside our control, and involve a number of risks, uncertainties and other factors, that could cause actual results and events to differ materially from the statements made including, but not limited to, the following:</w:t>
      </w:r>
    </w:p>
    <w:p>
      <w:pPr>
        <w:spacing w:after="0" w:line="200" w:lineRule="exact"/>
        <w:rPr>
          <w:sz w:val="20"/>
          <w:szCs w:val="20"/>
          <w:color w:val="auto"/>
        </w:rPr>
      </w:pPr>
    </w:p>
    <w:p>
      <w:pPr>
        <w:ind w:left="440" w:hanging="432"/>
        <w:spacing w:after="0"/>
        <w:tabs>
          <w:tab w:leader="none" w:pos="4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Our ability to recognize any and/or all of the benefits from the TCCC transaction and the AFF Transaction;</w:t>
      </w:r>
    </w:p>
    <w:p>
      <w:pPr>
        <w:spacing w:after="0" w:line="15" w:lineRule="exact"/>
        <w:rPr>
          <w:rFonts w:ascii="Arial" w:cs="Arial" w:eastAsia="Arial" w:hAnsi="Arial"/>
          <w:sz w:val="20"/>
          <w:szCs w:val="20"/>
          <w:color w:val="auto"/>
        </w:rPr>
      </w:pPr>
    </w:p>
    <w:p>
      <w:pPr>
        <w:ind w:left="440" w:hanging="432"/>
        <w:spacing w:after="0"/>
        <w:tabs>
          <w:tab w:leader="none" w:pos="4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effect of our extensive commercial arrangements with TCCC on our future performance;</w:t>
      </w:r>
    </w:p>
    <w:p>
      <w:pPr>
        <w:ind w:left="440" w:hanging="432"/>
        <w:spacing w:after="0" w:line="239" w:lineRule="auto"/>
        <w:tabs>
          <w:tab w:leader="none" w:pos="4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effect of TCCC becoming one of our significant shareholders and the potential divergence of TCCC’s interests from those of our other shareholders;</w:t>
      </w:r>
    </w:p>
    <w:p>
      <w:pPr>
        <w:spacing w:after="0" w:line="1" w:lineRule="exact"/>
        <w:rPr>
          <w:rFonts w:ascii="Arial" w:cs="Arial" w:eastAsia="Arial" w:hAnsi="Arial"/>
          <w:sz w:val="20"/>
          <w:szCs w:val="20"/>
          <w:color w:val="auto"/>
        </w:rPr>
      </w:pPr>
    </w:p>
    <w:p>
      <w:pPr>
        <w:ind w:left="440" w:hanging="432"/>
        <w:spacing w:after="0" w:line="239" w:lineRule="auto"/>
        <w:tabs>
          <w:tab w:leader="none" w:pos="4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effect of TCCC’s refranchising initiative to transition from a TCCC owned system to an independent/non-wholly owned bottling system, including our ability to maintain relationships with the bottler/distributors;</w:t>
      </w:r>
    </w:p>
    <w:p>
      <w:pPr>
        <w:spacing w:after="0" w:line="1" w:lineRule="exact"/>
        <w:rPr>
          <w:rFonts w:ascii="Arial" w:cs="Arial" w:eastAsia="Arial" w:hAnsi="Arial"/>
          <w:sz w:val="20"/>
          <w:szCs w:val="20"/>
          <w:color w:val="auto"/>
        </w:rPr>
      </w:pPr>
    </w:p>
    <w:p>
      <w:pPr>
        <w:ind w:left="440" w:hanging="432"/>
        <w:spacing w:after="0" w:line="239" w:lineRule="auto"/>
        <w:tabs>
          <w:tab w:leader="none" w:pos="4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Our ability to successfully enter into new distribution agreements with bottlers/distributors within the TCCC distribution system for new international territories;</w:t>
      </w:r>
    </w:p>
    <w:p>
      <w:pPr>
        <w:spacing w:after="0" w:line="1" w:lineRule="exact"/>
        <w:rPr>
          <w:rFonts w:ascii="Arial" w:cs="Arial" w:eastAsia="Arial" w:hAnsi="Arial"/>
          <w:sz w:val="20"/>
          <w:szCs w:val="20"/>
          <w:color w:val="auto"/>
        </w:rPr>
      </w:pPr>
    </w:p>
    <w:p>
      <w:pPr>
        <w:ind w:left="440" w:hanging="432"/>
        <w:spacing w:after="0"/>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slowing of and/or decline in the sales growth rates of the energy drink category and/or the U.S. convenience store market generally;</w:t>
      </w:r>
    </w:p>
    <w:p>
      <w:pPr>
        <w:spacing w:after="0" w:line="22" w:lineRule="exact"/>
        <w:rPr>
          <w:rFonts w:ascii="Arial" w:cs="Arial" w:eastAsia="Arial" w:hAnsi="Arial"/>
          <w:sz w:val="18"/>
          <w:szCs w:val="18"/>
          <w:color w:val="auto"/>
        </w:rPr>
      </w:pPr>
    </w:p>
    <w:p>
      <w:pPr>
        <w:ind w:left="440" w:hanging="432"/>
        <w:spacing w:after="0" w:line="239" w:lineRule="auto"/>
        <w:tabs>
          <w:tab w:leader="none" w:pos="4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Disruption in distribution or sales and/or decline in sales due to the termination and/or appointment of existing and/or new domestic and/or international distributors;</w:t>
      </w:r>
    </w:p>
    <w:p>
      <w:pPr>
        <w:spacing w:after="0" w:line="1" w:lineRule="exact"/>
        <w:rPr>
          <w:rFonts w:ascii="Arial" w:cs="Arial" w:eastAsia="Arial" w:hAnsi="Arial"/>
          <w:sz w:val="20"/>
          <w:szCs w:val="20"/>
          <w:color w:val="auto"/>
        </w:rPr>
      </w:pPr>
    </w:p>
    <w:p>
      <w:pPr>
        <w:ind w:left="440" w:hanging="432"/>
        <w:spacing w:after="0"/>
        <w:tabs>
          <w:tab w:leader="none" w:pos="4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Lack of anticipated demand for our products in domestic and/or international markets;</w:t>
      </w:r>
    </w:p>
    <w:p>
      <w:pPr>
        <w:ind w:left="440" w:hanging="432"/>
        <w:spacing w:after="0"/>
        <w:tabs>
          <w:tab w:leader="none" w:pos="440" w:val="left"/>
        </w:tabs>
        <w:numPr>
          <w:ilvl w:val="0"/>
          <w:numId w:val="23"/>
        </w:numPr>
        <w:rPr>
          <w:rFonts w:ascii="Arial" w:cs="Arial" w:eastAsia="Arial" w:hAnsi="Arial"/>
          <w:sz w:val="19"/>
          <w:szCs w:val="19"/>
          <w:color w:val="auto"/>
        </w:rPr>
      </w:pPr>
      <w:r>
        <w:rPr>
          <w:rFonts w:ascii="Arial" w:cs="Arial" w:eastAsia="Arial" w:hAnsi="Arial"/>
          <w:sz w:val="19"/>
          <w:szCs w:val="19"/>
          <w:color w:val="auto"/>
        </w:rPr>
        <w:t>Fluctuations in the inventory levels of our bottlers/distributors, planned or otherwise, and the resultant impact on our revenues;</w:t>
      </w:r>
    </w:p>
    <w:p>
      <w:pPr>
        <w:sectPr>
          <w:pgSz w:w="11900" w:h="16885" w:orient="portrait"/>
          <w:cols w:equalWidth="0" w:num="1">
            <w:col w:w="11420"/>
          </w:cols>
          <w:pgMar w:left="240" w:top="121" w:right="239" w:bottom="0" w:gutter="0" w:footer="0" w:header="0"/>
        </w:sectPr>
      </w:pPr>
    </w:p>
    <w:bookmarkStart w:id="29" w:name="page30"/>
    <w:bookmarkEnd w:id="29"/>
    <w:p>
      <w:pPr>
        <w:spacing w:after="0" w:line="53" w:lineRule="exact"/>
        <w:rPr>
          <w:sz w:val="20"/>
          <w:szCs w:val="20"/>
          <w:color w:val="auto"/>
        </w:rPr>
      </w:pPr>
    </w:p>
    <w:p>
      <w:pPr>
        <w:ind w:left="440" w:right="20" w:hanging="432"/>
        <w:spacing w:after="0" w:line="248" w:lineRule="auto"/>
        <w:tabs>
          <w:tab w:leader="none" w:pos="4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Unfavorable regulations, including taxation requirements, product registration requirements, tariffs, trade restrictions, container size limitations and/or ingredient restrictions;</w:t>
      </w:r>
    </w:p>
    <w:p>
      <w:pPr>
        <w:spacing w:after="0" w:line="1" w:lineRule="exact"/>
        <w:rPr>
          <w:rFonts w:ascii="Arial" w:cs="Arial" w:eastAsia="Arial" w:hAnsi="Arial"/>
          <w:sz w:val="20"/>
          <w:szCs w:val="20"/>
          <w:color w:val="auto"/>
        </w:rPr>
      </w:pPr>
    </w:p>
    <w:p>
      <w:pPr>
        <w:jc w:val="both"/>
        <w:ind w:left="440" w:hanging="432"/>
        <w:spacing w:after="0" w:line="239" w:lineRule="auto"/>
        <w:tabs>
          <w:tab w:leader="none" w:pos="4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effect of inquiries from, and/or actions by, state attorneys general, the Federal Trade Commission (the “FTC”), the Food and Drug Administration (the “FDA”), municipalities, city attorneys, other government agencies, quasi-government agencies and/or government officials (including members of Congress), into the advertising, marketing, promotion, ingredients, sale and/or consumption of our energy drink products, including voluntary and/or required changes to our business practices;</w:t>
      </w:r>
    </w:p>
    <w:p>
      <w:pPr>
        <w:spacing w:after="0" w:line="2" w:lineRule="exact"/>
        <w:rPr>
          <w:rFonts w:ascii="Arial" w:cs="Arial" w:eastAsia="Arial" w:hAnsi="Arial"/>
          <w:sz w:val="20"/>
          <w:szCs w:val="20"/>
          <w:color w:val="auto"/>
        </w:rPr>
      </w:pPr>
    </w:p>
    <w:p>
      <w:pPr>
        <w:ind w:left="440" w:hanging="432"/>
        <w:spacing w:after="0"/>
        <w:tabs>
          <w:tab w:leader="none" w:pos="4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Our ability to achieve profitability from certain of our operations outside the United States;</w:t>
      </w:r>
    </w:p>
    <w:p>
      <w:pPr>
        <w:ind w:left="440" w:hanging="432"/>
        <w:spacing w:after="0" w:line="252" w:lineRule="auto"/>
        <w:tabs>
          <w:tab w:leader="none" w:pos="440" w:val="left"/>
        </w:tabs>
        <w:numPr>
          <w:ilvl w:val="0"/>
          <w:numId w:val="24"/>
        </w:numPr>
        <w:rPr>
          <w:rFonts w:ascii="Arial" w:cs="Arial" w:eastAsia="Arial" w:hAnsi="Arial"/>
          <w:sz w:val="19"/>
          <w:szCs w:val="19"/>
          <w:color w:val="auto"/>
        </w:rPr>
      </w:pPr>
      <w:r>
        <w:rPr>
          <w:rFonts w:ascii="Arial" w:cs="Arial" w:eastAsia="Arial" w:hAnsi="Arial"/>
          <w:sz w:val="19"/>
          <w:szCs w:val="19"/>
          <w:color w:val="auto"/>
        </w:rPr>
        <w:t>Our ability to manage legal and regulatory requirements in foreign jurisdictions, potential difficulties in staffing and managing foreign operations and potentially higher incidence of fraud or corruption and credit risk of foreign customers and/or distributors;</w:t>
      </w:r>
    </w:p>
    <w:p>
      <w:pPr>
        <w:ind w:left="440" w:hanging="432"/>
        <w:spacing w:after="0" w:line="239" w:lineRule="auto"/>
        <w:tabs>
          <w:tab w:leader="none" w:pos="4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Our ability to produce our products in international markets in which they are sold, thereby reducing freight costs and/or product damages;</w:t>
      </w:r>
    </w:p>
    <w:p>
      <w:pPr>
        <w:spacing w:after="0" w:line="1" w:lineRule="exact"/>
        <w:rPr>
          <w:rFonts w:ascii="Arial" w:cs="Arial" w:eastAsia="Arial" w:hAnsi="Arial"/>
          <w:sz w:val="20"/>
          <w:szCs w:val="20"/>
          <w:color w:val="auto"/>
        </w:rPr>
      </w:pPr>
    </w:p>
    <w:p>
      <w:pPr>
        <w:ind w:left="440" w:hanging="432"/>
        <w:spacing w:after="0"/>
        <w:tabs>
          <w:tab w:leader="none" w:pos="4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Our ability to effectively manage our inventories and/or our accounts receivables;</w:t>
      </w:r>
    </w:p>
    <w:p>
      <w:pPr>
        <w:ind w:left="440" w:hanging="432"/>
        <w:spacing w:after="0" w:line="239" w:lineRule="auto"/>
        <w:tabs>
          <w:tab w:leader="none" w:pos="4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Our foreign currency exchange rate risk with respect to our sales, expenses, profits, assets and liabilities denominated in currencies other than the U.S. dollar, which will continue to increase as foreign sales increase;</w:t>
      </w:r>
    </w:p>
    <w:p>
      <w:pPr>
        <w:spacing w:after="0" w:line="1" w:lineRule="exact"/>
        <w:rPr>
          <w:rFonts w:ascii="Arial" w:cs="Arial" w:eastAsia="Arial" w:hAnsi="Arial"/>
          <w:sz w:val="20"/>
          <w:szCs w:val="20"/>
          <w:color w:val="auto"/>
        </w:rPr>
      </w:pPr>
    </w:p>
    <w:p>
      <w:pPr>
        <w:ind w:left="440" w:hanging="432"/>
        <w:spacing w:after="0"/>
        <w:tabs>
          <w:tab w:leader="none" w:pos="4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Changes in accounting standards may affect our reported profitability;</w:t>
      </w:r>
    </w:p>
    <w:p>
      <w:pPr>
        <w:ind w:left="440" w:hanging="432"/>
        <w:spacing w:after="0" w:line="239" w:lineRule="auto"/>
        <w:tabs>
          <w:tab w:leader="none" w:pos="4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Any proceedings which may be brought against us by the Securities and Exchange Commission (the “SEC”), the FDA, the FTC or other governmental agencies or bodies;</w:t>
      </w:r>
    </w:p>
    <w:p>
      <w:pPr>
        <w:spacing w:after="0" w:line="1" w:lineRule="exact"/>
        <w:rPr>
          <w:rFonts w:ascii="Arial" w:cs="Arial" w:eastAsia="Arial" w:hAnsi="Arial"/>
          <w:sz w:val="20"/>
          <w:szCs w:val="20"/>
          <w:color w:val="auto"/>
        </w:rPr>
      </w:pPr>
    </w:p>
    <w:p>
      <w:pPr>
        <w:ind w:left="440" w:hanging="432"/>
        <w:spacing w:after="0" w:line="239" w:lineRule="auto"/>
        <w:tabs>
          <w:tab w:leader="none" w:pos="4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outcome and/or possibility of future shareholder derivative actions or shareholder securities litigation filed against us and/or against certain of our officers and directors, and the possibility of other private shareholder litigation;</w:t>
      </w:r>
    </w:p>
    <w:p>
      <w:pPr>
        <w:spacing w:after="0" w:line="1" w:lineRule="exact"/>
        <w:rPr>
          <w:rFonts w:ascii="Arial" w:cs="Arial" w:eastAsia="Arial" w:hAnsi="Arial"/>
          <w:sz w:val="20"/>
          <w:szCs w:val="20"/>
          <w:color w:val="auto"/>
        </w:rPr>
      </w:pPr>
    </w:p>
    <w:p>
      <w:pPr>
        <w:jc w:val="both"/>
        <w:ind w:left="440" w:right="20" w:hanging="432"/>
        <w:spacing w:after="0" w:line="239" w:lineRule="auto"/>
        <w:tabs>
          <w:tab w:leader="none" w:pos="4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outcome of product liability litigation and/or class action litigation regarding the safety of our products and/or the ingredients in and/or claims made in connection with our products and/or alleging false advertising, marketing and/or promotion, and the possibility of future product liability and/or class action lawsuits;</w:t>
      </w:r>
    </w:p>
    <w:p>
      <w:pPr>
        <w:spacing w:after="0" w:line="1" w:lineRule="exact"/>
        <w:rPr>
          <w:rFonts w:ascii="Arial" w:cs="Arial" w:eastAsia="Arial" w:hAnsi="Arial"/>
          <w:sz w:val="20"/>
          <w:szCs w:val="20"/>
          <w:color w:val="auto"/>
        </w:rPr>
      </w:pPr>
    </w:p>
    <w:p>
      <w:pPr>
        <w:ind w:left="440" w:hanging="432"/>
        <w:spacing w:after="0"/>
        <w:tabs>
          <w:tab w:leader="none" w:pos="4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outcome of any other litigation;</w:t>
      </w:r>
    </w:p>
    <w:p>
      <w:pPr>
        <w:ind w:left="440" w:hanging="432"/>
        <w:spacing w:after="0"/>
        <w:tabs>
          <w:tab w:leader="none" w:pos="4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Unfavorable resolution of tax matters;</w:t>
      </w:r>
    </w:p>
    <w:p>
      <w:pPr>
        <w:ind w:left="440" w:hanging="432"/>
        <w:spacing w:after="0"/>
        <w:tabs>
          <w:tab w:leader="none" w:pos="4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Uncertainty and volatility in the domestic and global economies;</w:t>
      </w:r>
    </w:p>
    <w:p>
      <w:pPr>
        <w:ind w:left="440" w:hanging="432"/>
        <w:spacing w:after="0"/>
        <w:tabs>
          <w:tab w:leader="none" w:pos="4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Our ability to address any significant deficiencies or material weakness in our internal controls over financial reporting;</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ind w:left="440" w:hanging="432"/>
        <w:spacing w:after="0"/>
        <w:tabs>
          <w:tab w:leader="none" w:pos="4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Our ability to continue to generate sufficient cash flows to support our expansion plans and general operating activities;</w:t>
      </w:r>
    </w:p>
    <w:p>
      <w:pPr>
        <w:spacing w:after="0" w:line="15" w:lineRule="exact"/>
        <w:rPr>
          <w:rFonts w:ascii="Arial" w:cs="Arial" w:eastAsia="Arial" w:hAnsi="Arial"/>
          <w:sz w:val="20"/>
          <w:szCs w:val="20"/>
          <w:color w:val="auto"/>
        </w:rPr>
      </w:pPr>
    </w:p>
    <w:p>
      <w:pPr>
        <w:jc w:val="both"/>
        <w:ind w:left="440" w:hanging="432"/>
        <w:spacing w:after="0" w:line="239" w:lineRule="auto"/>
        <w:tabs>
          <w:tab w:leader="none" w:pos="4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Decreased demand for our products resulting from changes in consumer preferences, obesity and other perceived health concerns, including concerns relating to certain ingredients in our products or packaging, product safety concerns and/or from decreased consumer discretionary spending power;</w:t>
      </w:r>
    </w:p>
    <w:p>
      <w:pPr>
        <w:spacing w:after="0" w:line="1" w:lineRule="exact"/>
        <w:rPr>
          <w:rFonts w:ascii="Arial" w:cs="Arial" w:eastAsia="Arial" w:hAnsi="Arial"/>
          <w:sz w:val="20"/>
          <w:szCs w:val="20"/>
          <w:color w:val="auto"/>
        </w:rPr>
      </w:pPr>
    </w:p>
    <w:p>
      <w:pPr>
        <w:ind w:left="440" w:hanging="432"/>
        <w:spacing w:after="0"/>
        <w:tabs>
          <w:tab w:leader="none" w:pos="4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Changes in demand that are weather related and/or for other reasons, including changes in product category consumption;</w:t>
      </w:r>
    </w:p>
    <w:p>
      <w:pPr>
        <w:ind w:left="440" w:hanging="432"/>
        <w:spacing w:after="0" w:line="239" w:lineRule="auto"/>
        <w:tabs>
          <w:tab w:leader="none" w:pos="4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impact on our business of competitive products and pricing pressures and our ability to gain or maintain our share of sales in the marketplace as a result of actions by competitors;</w:t>
      </w:r>
    </w:p>
    <w:p>
      <w:pPr>
        <w:spacing w:after="0" w:line="1" w:lineRule="exact"/>
        <w:rPr>
          <w:rFonts w:ascii="Arial" w:cs="Arial" w:eastAsia="Arial" w:hAnsi="Arial"/>
          <w:sz w:val="20"/>
          <w:szCs w:val="20"/>
          <w:color w:val="auto"/>
        </w:rPr>
      </w:pPr>
    </w:p>
    <w:p>
      <w:pPr>
        <w:ind w:left="440" w:hanging="432"/>
        <w:spacing w:after="0"/>
        <w:tabs>
          <w:tab w:leader="none" w:pos="4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Our ability to introduce new products;</w:t>
      </w:r>
    </w:p>
    <w:p>
      <w:pPr>
        <w:ind w:left="440" w:hanging="432"/>
        <w:spacing w:after="0"/>
        <w:tabs>
          <w:tab w:leader="none" w:pos="4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An inability to achieve volume growth through product and packaging initiatives;</w:t>
      </w:r>
    </w:p>
    <w:p>
      <w:pPr>
        <w:ind w:left="440" w:hanging="432"/>
        <w:spacing w:after="0" w:line="239" w:lineRule="auto"/>
        <w:tabs>
          <w:tab w:leader="none" w:pos="4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Our ability to sustain the current level of sales and/or achieve growth for our Monster Energy® brand energy drinks and/or our other products, including the Strategic Brands acquired from TCCC;</w:t>
      </w:r>
    </w:p>
    <w:p>
      <w:pPr>
        <w:spacing w:after="0" w:line="1" w:lineRule="exact"/>
        <w:rPr>
          <w:rFonts w:ascii="Arial" w:cs="Arial" w:eastAsia="Arial" w:hAnsi="Arial"/>
          <w:sz w:val="20"/>
          <w:szCs w:val="20"/>
          <w:color w:val="auto"/>
        </w:rPr>
      </w:pPr>
    </w:p>
    <w:p>
      <w:pPr>
        <w:jc w:val="both"/>
        <w:ind w:left="440" w:hanging="432"/>
        <w:spacing w:after="0" w:line="239" w:lineRule="auto"/>
        <w:tabs>
          <w:tab w:leader="none" w:pos="4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impact of criticism of our energy drink products and/or the energy drink market generally and/or legislation enacted (whether as a result of such criticism or otherwise) that restricts the sale of energy drinks (including prohibiting the sale of energy drinks at certain establishments or pursuant to certain governmental programs), limit caffeine content in beverages, require certain product labeling disclosures and/or warnings, impose excise and/or sales taxes, limit product sizes and/or impose age restrictions for the sale of energy drinks;</w:t>
      </w:r>
    </w:p>
    <w:p>
      <w:pPr>
        <w:spacing w:after="0" w:line="2" w:lineRule="exact"/>
        <w:rPr>
          <w:rFonts w:ascii="Arial" w:cs="Arial" w:eastAsia="Arial" w:hAnsi="Arial"/>
          <w:sz w:val="20"/>
          <w:szCs w:val="20"/>
          <w:color w:val="auto"/>
        </w:rPr>
      </w:pPr>
    </w:p>
    <w:p>
      <w:pPr>
        <w:jc w:val="both"/>
        <w:ind w:left="440" w:hanging="432"/>
        <w:spacing w:after="0" w:line="266" w:lineRule="auto"/>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comply with and/or resulting lower consumer demand for energy drinks due to proposed and/or future U.S. federal, state and local laws and regulations and/or proposed or existing laws and regulations in certain foreign jurisdictions and/or any changes therein, including changes in taxation requirements (including tax rate changes, new tax laws, new and/or increased excise, sales and/or other taxes on our products and revised tax law interpretations) and environmental laws, as well as the Federal Food Drug &amp; Cosmetic Act, as amended by the Dietary Supplement Health and Education Act, and regulations made thereunder or in connection therewith, as well as changes in any other food, drug or similar laws in the United States and internationally, especially those that may restrict the sale of energy drinks (including prohibiting the sale of energy drinks at certain establishments or pursuant to certain governmental programs), limit caffeine content in beverages, require certain product labeling disclosures and/or warnings, impose excise taxes, impose sugar taxes, limit product sizes, or impose age restrictions for the sale of energy drinks, as well as laws and regulations or rules made or enforced by the FDA, the Bureau of Alcohol, Tobacco and Firearms and Explosives and/or the FTC;</w:t>
      </w:r>
    </w:p>
    <w:p>
      <w:pPr>
        <w:spacing w:after="0" w:line="1" w:lineRule="exact"/>
        <w:rPr>
          <w:rFonts w:ascii="Arial" w:cs="Arial" w:eastAsia="Arial" w:hAnsi="Arial"/>
          <w:sz w:val="18"/>
          <w:szCs w:val="18"/>
          <w:color w:val="auto"/>
        </w:rPr>
      </w:pPr>
    </w:p>
    <w:p>
      <w:pPr>
        <w:jc w:val="both"/>
        <w:ind w:left="440" w:right="20" w:hanging="432"/>
        <w:spacing w:after="0" w:line="239" w:lineRule="auto"/>
        <w:tabs>
          <w:tab w:leader="none" w:pos="4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Our ability to satisfy all criteria set forth in any model energy drink guidelines, including, without limitation, those adopted by the American Beverage Association, of which the Company is a member, and/or any international beverage association and the impact on the Company of such guidelines;</w:t>
      </w:r>
    </w:p>
    <w:p>
      <w:pPr>
        <w:spacing w:after="0" w:line="1" w:lineRule="exact"/>
        <w:rPr>
          <w:rFonts w:ascii="Arial" w:cs="Arial" w:eastAsia="Arial" w:hAnsi="Arial"/>
          <w:sz w:val="20"/>
          <w:szCs w:val="20"/>
          <w:color w:val="auto"/>
        </w:rPr>
      </w:pPr>
    </w:p>
    <w:p>
      <w:pPr>
        <w:ind w:left="440" w:hanging="432"/>
        <w:spacing w:after="0"/>
        <w:tabs>
          <w:tab w:leader="none" w:pos="4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Disruptions in the timely import or export of our products and/or ingredients due to port strikes and related labor issues;</w:t>
      </w:r>
    </w:p>
    <w:p>
      <w:pPr>
        <w:ind w:left="440" w:hanging="432"/>
        <w:spacing w:after="0"/>
        <w:tabs>
          <w:tab w:leader="none" w:pos="4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effect of unfavorable or adverse public relations, press, articles, comments and/or media attention;</w:t>
      </w:r>
    </w:p>
    <w:p>
      <w:pPr>
        <w:jc w:val="both"/>
        <w:ind w:left="440" w:hanging="432"/>
        <w:spacing w:after="0" w:line="252" w:lineRule="auto"/>
        <w:tabs>
          <w:tab w:leader="none" w:pos="440" w:val="left"/>
        </w:tabs>
        <w:numPr>
          <w:ilvl w:val="0"/>
          <w:numId w:val="25"/>
        </w:numPr>
        <w:rPr>
          <w:rFonts w:ascii="Arial" w:cs="Arial" w:eastAsia="Arial" w:hAnsi="Arial"/>
          <w:sz w:val="19"/>
          <w:szCs w:val="19"/>
          <w:color w:val="auto"/>
        </w:rPr>
      </w:pPr>
      <w:r>
        <w:rPr>
          <w:rFonts w:ascii="Arial" w:cs="Arial" w:eastAsia="Arial" w:hAnsi="Arial"/>
          <w:sz w:val="19"/>
          <w:szCs w:val="19"/>
          <w:color w:val="auto"/>
        </w:rPr>
        <w:t>Changes in the cost, quality and availability of containers, packaging materials, aluminum, the Midwest and other premiums, raw materials and other ingredients and juice concentrates, and our ability to obtain and/or maintain favorable supply arrangements and relationships and procure timely and/or sufficient production of all or any of our products to meet customer demand;</w:t>
      </w:r>
    </w:p>
    <w:p>
      <w:pPr>
        <w:ind w:left="440" w:hanging="432"/>
        <w:spacing w:after="0" w:line="239" w:lineRule="auto"/>
        <w:tabs>
          <w:tab w:leader="none" w:pos="4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Any shortages that may be experienced in the procurement of containers and/or other raw materials including, without limitation, the PET containers used for our Monster Hydro</w:t>
      </w:r>
      <w:r>
        <w:rPr>
          <w:rFonts w:ascii="Arial" w:cs="Arial" w:eastAsia="Arial" w:hAnsi="Arial"/>
          <w:sz w:val="12"/>
          <w:szCs w:val="12"/>
          <w:color w:val="auto"/>
        </w:rPr>
        <w:t>TM</w:t>
      </w:r>
      <w:r>
        <w:rPr>
          <w:rFonts w:ascii="Arial" w:cs="Arial" w:eastAsia="Arial" w:hAnsi="Arial"/>
          <w:sz w:val="20"/>
          <w:szCs w:val="20"/>
          <w:color w:val="auto"/>
        </w:rPr>
        <w:t xml:space="preserve"> energy drinks;</w:t>
      </w:r>
    </w:p>
    <w:p>
      <w:pPr>
        <w:spacing w:after="0" w:line="1" w:lineRule="exact"/>
        <w:rPr>
          <w:rFonts w:ascii="Arial" w:cs="Arial" w:eastAsia="Arial" w:hAnsi="Arial"/>
          <w:sz w:val="20"/>
          <w:szCs w:val="20"/>
          <w:color w:val="auto"/>
        </w:rPr>
      </w:pPr>
    </w:p>
    <w:p>
      <w:pPr>
        <w:ind w:left="440" w:right="20" w:hanging="432"/>
        <w:spacing w:after="0" w:line="239" w:lineRule="auto"/>
        <w:tabs>
          <w:tab w:leader="none" w:pos="4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impact of corporate activity among the limited number of suppliers from whom we purchase certain raw materials on our cost of sales;</w:t>
      </w:r>
    </w:p>
    <w:p>
      <w:pPr>
        <w:spacing w:after="0" w:line="1" w:lineRule="exact"/>
        <w:rPr>
          <w:rFonts w:ascii="Arial" w:cs="Arial" w:eastAsia="Arial" w:hAnsi="Arial"/>
          <w:sz w:val="20"/>
          <w:szCs w:val="20"/>
          <w:color w:val="auto"/>
        </w:rPr>
      </w:pPr>
    </w:p>
    <w:p>
      <w:pPr>
        <w:ind w:left="440" w:right="20" w:hanging="432"/>
        <w:spacing w:after="0" w:line="244" w:lineRule="auto"/>
        <w:tabs>
          <w:tab w:leader="none" w:pos="4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Our ability to pass on to our customers all or a portion of any increases in the costs of raw materials, ingredients, commodities and/or other cost inputs affecting our business;</w:t>
      </w:r>
    </w:p>
    <w:p>
      <w:pPr>
        <w:sectPr>
          <w:pgSz w:w="11900" w:h="16892" w:orient="portrait"/>
          <w:cols w:equalWidth="0" w:num="1">
            <w:col w:w="11420"/>
          </w:cols>
          <w:pgMar w:left="240" w:top="121" w:right="239" w:bottom="0" w:gutter="0" w:footer="0" w:header="0"/>
        </w:sectPr>
      </w:pPr>
    </w:p>
    <w:bookmarkStart w:id="30" w:name="page31"/>
    <w:bookmarkEnd w:id="30"/>
    <w:p>
      <w:pPr>
        <w:jc w:val="both"/>
        <w:ind w:left="440" w:hanging="432"/>
        <w:spacing w:after="0" w:line="250" w:lineRule="auto"/>
        <w:tabs>
          <w:tab w:leader="none" w:pos="4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Our ability to achieve both internal domestic and international forecasts, which may be based on projected volumes and sales of many product types and/or new products, certain of which are more profitable than others; there can be no assurance that we will achieve projected levels of sales as well as forecasted product and/or geographic mixes;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ind w:left="440" w:hanging="432"/>
        <w:spacing w:after="0" w:line="247" w:lineRule="auto"/>
        <w:tabs>
          <w:tab w:leader="none" w:pos="4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Our ability to penetrate new domestic and/or international markets and/or gain approval or mitigate the delay in securing approval for the sale of our products in various countries;</w:t>
      </w:r>
    </w:p>
    <w:p>
      <w:pPr>
        <w:spacing w:after="0" w:line="1" w:lineRule="exact"/>
        <w:rPr>
          <w:rFonts w:ascii="Arial" w:cs="Arial" w:eastAsia="Arial" w:hAnsi="Arial"/>
          <w:sz w:val="20"/>
          <w:szCs w:val="20"/>
          <w:color w:val="auto"/>
        </w:rPr>
      </w:pPr>
    </w:p>
    <w:p>
      <w:pPr>
        <w:ind w:left="440" w:hanging="432"/>
        <w:spacing w:after="0"/>
        <w:tabs>
          <w:tab w:leader="none" w:pos="4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Economic or political instability in one or more of our international markets;</w:t>
      </w:r>
    </w:p>
    <w:p>
      <w:pPr>
        <w:ind w:left="440" w:hanging="432"/>
        <w:spacing w:after="0" w:line="239" w:lineRule="auto"/>
        <w:tabs>
          <w:tab w:leader="none" w:pos="4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effectiveness of sales and/or marketing efforts by us and/or by the full service bottlers/distributors of our products, most of whom distribute products that may be regarded as competitive with our products;</w:t>
      </w:r>
    </w:p>
    <w:p>
      <w:pPr>
        <w:spacing w:after="0" w:line="1" w:lineRule="exact"/>
        <w:rPr>
          <w:rFonts w:ascii="Arial" w:cs="Arial" w:eastAsia="Arial" w:hAnsi="Arial"/>
          <w:sz w:val="20"/>
          <w:szCs w:val="20"/>
          <w:color w:val="auto"/>
        </w:rPr>
      </w:pPr>
    </w:p>
    <w:p>
      <w:pPr>
        <w:jc w:val="both"/>
        <w:ind w:left="440" w:hanging="432"/>
        <w:spacing w:after="0" w:line="239" w:lineRule="auto"/>
        <w:tabs>
          <w:tab w:leader="none" w:pos="4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Unilateral decisions by full service bottlers/distributors, convenience chains, grocery chains, mass merchandisers, specialty chain stores, club stores and other customers to discontinue carrying all or any of our products that they are carrying at any time, restrict the range of our products they carry and/or devote less resources to the sale of our products;</w:t>
      </w:r>
    </w:p>
    <w:p>
      <w:pPr>
        <w:spacing w:after="0" w:line="1" w:lineRule="exact"/>
        <w:rPr>
          <w:rFonts w:ascii="Arial" w:cs="Arial" w:eastAsia="Arial" w:hAnsi="Arial"/>
          <w:sz w:val="20"/>
          <w:szCs w:val="20"/>
          <w:color w:val="auto"/>
        </w:rPr>
      </w:pPr>
    </w:p>
    <w:p>
      <w:pPr>
        <w:ind w:left="440" w:hanging="432"/>
        <w:spacing w:after="0"/>
        <w:tabs>
          <w:tab w:leader="none" w:pos="4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effects of retailer consolidation on our business;</w:t>
      </w:r>
    </w:p>
    <w:p>
      <w:pPr>
        <w:ind w:left="440" w:hanging="432"/>
        <w:spacing w:after="0"/>
        <w:tabs>
          <w:tab w:leader="none" w:pos="4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costs and/or effectiveness, now or in the future, of our advertising, marketing and promotional strategies;</w:t>
      </w:r>
    </w:p>
    <w:p>
      <w:pPr>
        <w:ind w:left="440" w:hanging="432"/>
        <w:spacing w:after="0"/>
        <w:tabs>
          <w:tab w:leader="none" w:pos="4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success of our sports marketing endeavors both domestically and internationally;</w:t>
      </w:r>
    </w:p>
    <w:p>
      <w:pPr>
        <w:ind w:left="440" w:hanging="432"/>
        <w:spacing w:after="0"/>
        <w:tabs>
          <w:tab w:leader="none" w:pos="4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Unforeseen economic and political changes and local or international catastrophic events;</w:t>
      </w:r>
    </w:p>
    <w:p>
      <w:pPr>
        <w:ind w:left="440" w:hanging="432"/>
        <w:spacing w:after="0"/>
        <w:tabs>
          <w:tab w:leader="none" w:pos="4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Possible recalls of our products and/or defective production;</w:t>
      </w:r>
    </w:p>
    <w:p>
      <w:pPr>
        <w:ind w:left="440" w:hanging="432"/>
        <w:spacing w:after="0" w:line="266" w:lineRule="auto"/>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make suitable arrangements for the co-packing of any of our products both domestically and internationally, the timely replacement of discontinued co-packing arrangements and/or limitations on co-packing availability, including for retort production;</w:t>
      </w:r>
    </w:p>
    <w:p>
      <w:pPr>
        <w:ind w:left="440" w:hanging="432"/>
        <w:spacing w:after="0"/>
        <w:tabs>
          <w:tab w:leader="none" w:pos="4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Our ability to make suitable arrangements for the timely procurement of non-defective raw materials;</w:t>
      </w:r>
    </w:p>
    <w:p>
      <w:pPr>
        <w:ind w:left="440" w:hanging="432"/>
        <w:spacing w:after="0" w:line="239" w:lineRule="auto"/>
        <w:tabs>
          <w:tab w:leader="none" w:pos="4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Our inability to protect and/or the loss of our intellectual property rights and/or our inability to use our trademarks, trade names or designs and/or trade dress in certain countries;</w:t>
      </w:r>
    </w:p>
    <w:p>
      <w:pPr>
        <w:spacing w:after="0" w:line="1" w:lineRule="exact"/>
        <w:rPr>
          <w:rFonts w:ascii="Arial" w:cs="Arial" w:eastAsia="Arial" w:hAnsi="Arial"/>
          <w:sz w:val="20"/>
          <w:szCs w:val="20"/>
          <w:color w:val="auto"/>
        </w:rPr>
      </w:pPr>
    </w:p>
    <w:p>
      <w:pPr>
        <w:ind w:left="440" w:hanging="432"/>
        <w:spacing w:after="0"/>
        <w:tabs>
          <w:tab w:leader="none" w:pos="4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Volatility of stock prices which may restrict stock sales, stock purchases or other opportunities;</w:t>
      </w:r>
    </w:p>
    <w:p>
      <w:pPr>
        <w:ind w:left="440" w:right="20" w:hanging="432"/>
        <w:spacing w:after="0" w:line="239" w:lineRule="auto"/>
        <w:tabs>
          <w:tab w:leader="none" w:pos="4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Provisions in our organizational documents and/or control by insiders which may prevent changes in control even if such changes would be beneficial to other stockholders;</w:t>
      </w:r>
    </w:p>
    <w:p>
      <w:pPr>
        <w:spacing w:after="0" w:line="1" w:lineRule="exact"/>
        <w:rPr>
          <w:rFonts w:ascii="Arial" w:cs="Arial" w:eastAsia="Arial" w:hAnsi="Arial"/>
          <w:sz w:val="20"/>
          <w:szCs w:val="20"/>
          <w:color w:val="auto"/>
        </w:rPr>
      </w:pPr>
    </w:p>
    <w:p>
      <w:pPr>
        <w:ind w:left="440" w:hanging="432"/>
        <w:spacing w:after="0"/>
        <w:tabs>
          <w:tab w:leader="none" w:pos="4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failure of our bottlers and/or contract packers to manufacture our products on a timely basis or at all;</w:t>
      </w:r>
    </w:p>
    <w:p>
      <w:pPr>
        <w:ind w:left="440" w:hanging="432"/>
        <w:spacing w:after="0"/>
        <w:tabs>
          <w:tab w:leader="none" w:pos="4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Exposure to significant liabilities due to litigation, legal or regulatory proceedings;</w:t>
      </w:r>
    </w:p>
    <w:p>
      <w:pPr>
        <w:ind w:left="440" w:hanging="432"/>
        <w:spacing w:after="0" w:line="239" w:lineRule="auto"/>
        <w:tabs>
          <w:tab w:leader="none" w:pos="4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Any disruption in and/or lack of effectiveness of our information technology systems, including a breach of cyber security, that disrupts our business or negatively impacts customer relationships; and</w:t>
      </w:r>
    </w:p>
    <w:p>
      <w:pPr>
        <w:spacing w:after="0" w:line="1" w:lineRule="exact"/>
        <w:rPr>
          <w:rFonts w:ascii="Arial" w:cs="Arial" w:eastAsia="Arial" w:hAnsi="Arial"/>
          <w:sz w:val="20"/>
          <w:szCs w:val="20"/>
          <w:color w:val="auto"/>
        </w:rPr>
      </w:pPr>
    </w:p>
    <w:p>
      <w:pPr>
        <w:ind w:left="440" w:hanging="432"/>
        <w:spacing w:after="0"/>
        <w:tabs>
          <w:tab w:leader="none" w:pos="4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Recruitment and retention of senior management, other key employees and our employee base in general.</w:t>
      </w:r>
    </w:p>
    <w:p>
      <w:pPr>
        <w:spacing w:after="0" w:line="21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foregoing list of important factors and other risks detailed from time to time in our reports filed with the SEC is not exhaustive. See the section entitled “Risk Factors” in our Form 10-K for a more complete discussion of these risks and uncertainties and for other risks and uncertainties. Those factors and the other risk factors described therein are not necessarily all of the important factors that could cause actual results or developments to differ materially from those expressed in any of our forward-looking statements. Other unknown or unpredictable factors also could harm our results. Consequently, our actual results could be materially different from the results described or anticipated by our forward-looking statements, due to the inherent uncertainty of estimates, forecasts and projections and may be better or worse than anticipated. Given these uncertainties, you should not rely on forward-looking statements. Forward-looking statements represent our estimates and assumptions only as of the date that they were made. We expressly disclaim any duty to provide updates to forward-looking statements, and the estimates and assumptions associated with them, after the date of this report, in order to reflect changes in circumstances or expectations or the occurrence of unanticipated events except to the extent required by applicable securities laws.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23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There have been no material changes in our market risk during the three-months ended September 30, 2017 compared with the disclosures in Part II, Item 7A of our Form 10-K.</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CONTROLS AND PROCEDURES</w:t>
      </w:r>
    </w:p>
    <w:p>
      <w:pPr>
        <w:spacing w:after="0" w:line="23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i w:val="1"/>
          <w:iCs w:val="1"/>
          <w:color w:val="auto"/>
        </w:rPr>
        <w:t xml:space="preserve">Evaluation of Disclosure Controls and Procedures </w:t>
      </w:r>
      <w:r>
        <w:rPr>
          <w:rFonts w:ascii="Arial" w:cs="Arial" w:eastAsia="Arial" w:hAnsi="Arial"/>
          <w:sz w:val="18"/>
          <w:szCs w:val="18"/>
          <w:color w:val="auto"/>
        </w:rPr>
        <w:t>— Under the supervision and with the participation of the Company’s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our Chief Executive Officer and Chief Financial Officer, we have evaluated the effectiveness of the design and operation of our disclosure controls and procedures (as defined in Rules 13(a)-15(e) and 15(d)-15(e) of the Exchange Act) as of the end of the period covered by this report. Based upon this evaluation, the Chief Executive Officer and Chief Financial Officer have concluded that our disclosure controls and procedures are adequate and effective to ensure that information we are required to disclose in reports that we file or submit under the Exchange Act is (1) recorded, processed, summarized and reported within the time periods specified in rules and forms of the SEC and</w:t>
      </w:r>
    </w:p>
    <w:p>
      <w:pPr>
        <w:spacing w:after="0" w:line="2" w:lineRule="exact"/>
        <w:rPr>
          <w:sz w:val="20"/>
          <w:szCs w:val="20"/>
          <w:color w:val="auto"/>
        </w:rPr>
      </w:pPr>
    </w:p>
    <w:p>
      <w:pPr>
        <w:ind w:firstLine="8"/>
        <w:spacing w:after="0" w:line="244" w:lineRule="auto"/>
        <w:tabs>
          <w:tab w:leader="none" w:pos="304" w:val="left"/>
        </w:tabs>
        <w:numPr>
          <w:ilvl w:val="0"/>
          <w:numId w:val="28"/>
        </w:numPr>
        <w:rPr>
          <w:rFonts w:ascii="Arial" w:cs="Arial" w:eastAsia="Arial" w:hAnsi="Arial"/>
          <w:sz w:val="20"/>
          <w:szCs w:val="20"/>
          <w:color w:val="auto"/>
        </w:rPr>
      </w:pPr>
      <w:r>
        <w:rPr>
          <w:rFonts w:ascii="Arial" w:cs="Arial" w:eastAsia="Arial" w:hAnsi="Arial"/>
          <w:sz w:val="20"/>
          <w:szCs w:val="20"/>
          <w:color w:val="auto"/>
        </w:rPr>
        <w:t>accumulated and communicated to our management, including its principal executive and principal financial officers, as appropriate, to allow timely decisions regarding required disclosures.</w:t>
      </w:r>
    </w:p>
    <w:p>
      <w:pPr>
        <w:spacing w:after="0" w:line="2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Changes in Internal Control Over Financial Reporting </w:t>
      </w:r>
      <w:r>
        <w:rPr>
          <w:rFonts w:ascii="Arial" w:cs="Arial" w:eastAsia="Arial" w:hAnsi="Arial"/>
          <w:sz w:val="20"/>
          <w:szCs w:val="20"/>
          <w:color w:val="auto"/>
        </w:rPr>
        <w:t>— There were no changes in the Company’s internal controls over financial</w:t>
      </w:r>
      <w:r>
        <w:rPr>
          <w:rFonts w:ascii="Arial" w:cs="Arial" w:eastAsia="Arial" w:hAnsi="Arial"/>
          <w:sz w:val="20"/>
          <w:szCs w:val="20"/>
          <w:i w:val="1"/>
          <w:iCs w:val="1"/>
          <w:color w:val="auto"/>
        </w:rPr>
        <w:t xml:space="preserve"> </w:t>
      </w:r>
      <w:r>
        <w:rPr>
          <w:rFonts w:ascii="Arial" w:cs="Arial" w:eastAsia="Arial" w:hAnsi="Arial"/>
          <w:sz w:val="20"/>
          <w:szCs w:val="20"/>
          <w:color w:val="auto"/>
        </w:rPr>
        <w:t>reporting during the quarter ended September 30, 2017, that have materially affected, or are reasonably likely to materially affect, our internal control over financial reporting.</w:t>
      </w:r>
    </w:p>
    <w:p>
      <w:pPr>
        <w:sectPr>
          <w:pgSz w:w="11900" w:h="16838" w:orient="portrait"/>
          <w:cols w:equalWidth="0" w:num="1">
            <w:col w:w="11420"/>
          </w:cols>
          <w:pgMar w:left="240" w:top="121" w:right="239" w:bottom="0" w:gutter="0" w:footer="0" w:header="0"/>
        </w:sectPr>
      </w:pPr>
    </w:p>
    <w:bookmarkStart w:id="31" w:name="page32"/>
    <w:bookmarkEnd w:id="31"/>
    <w:p>
      <w:pPr>
        <w:spacing w:after="0" w:line="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II - OTHER INFORMATION</w:t>
      </w:r>
    </w:p>
    <w:p>
      <w:pPr>
        <w:spacing w:after="0" w:line="230" w:lineRule="exact"/>
        <w:rPr>
          <w:sz w:val="20"/>
          <w:szCs w:val="20"/>
          <w:color w:val="auto"/>
        </w:rPr>
      </w:pPr>
    </w:p>
    <w:p>
      <w:pPr>
        <w:spacing w:after="0"/>
        <w:tabs>
          <w:tab w:leader="none" w:pos="1220" w:val="left"/>
        </w:tabs>
        <w:rPr>
          <w:sz w:val="20"/>
          <w:szCs w:val="20"/>
          <w:color w:val="auto"/>
        </w:rPr>
      </w:pPr>
      <w:r>
        <w:rPr>
          <w:rFonts w:ascii="Arial" w:cs="Arial" w:eastAsia="Arial" w:hAnsi="Arial"/>
          <w:sz w:val="20"/>
          <w:szCs w:val="20"/>
          <w:b w:val="1"/>
          <w:bCs w:val="1"/>
          <w:color w:val="auto"/>
        </w:rPr>
        <w:t>ITEM 1.</w:t>
      </w:r>
      <w:r>
        <w:rPr>
          <w:sz w:val="20"/>
          <w:szCs w:val="20"/>
          <w:color w:val="auto"/>
        </w:rPr>
        <w:tab/>
      </w:r>
      <w:r>
        <w:rPr>
          <w:rFonts w:ascii="Arial" w:cs="Arial" w:eastAsia="Arial" w:hAnsi="Arial"/>
          <w:sz w:val="19"/>
          <w:szCs w:val="19"/>
          <w:b w:val="1"/>
          <w:bCs w:val="1"/>
          <w:color w:val="auto"/>
        </w:rPr>
        <w:t>LEGAL PROCEEDINGS</w:t>
      </w:r>
    </w:p>
    <w:p>
      <w:pPr>
        <w:spacing w:after="0" w:line="23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 information required by this Item is incorporated herein by reference to the Notes to Condensed Consolidated Financial Statements —Note 10. Commitments and Contingencies: Legal Proceedings in Part I, Item 1, of this Quarterly Report on Form 10-Q.</w:t>
      </w:r>
    </w:p>
    <w:p>
      <w:pPr>
        <w:spacing w:after="0" w:line="160" w:lineRule="exact"/>
        <w:rPr>
          <w:sz w:val="20"/>
          <w:szCs w:val="20"/>
          <w:color w:val="auto"/>
        </w:rPr>
      </w:pPr>
    </w:p>
    <w:p>
      <w:pPr>
        <w:spacing w:after="0"/>
        <w:tabs>
          <w:tab w:leader="none" w:pos="1240" w:val="left"/>
        </w:tabs>
        <w:rPr>
          <w:sz w:val="20"/>
          <w:szCs w:val="20"/>
          <w:color w:val="auto"/>
        </w:rPr>
      </w:pPr>
      <w:r>
        <w:rPr>
          <w:rFonts w:ascii="Arial" w:cs="Arial" w:eastAsia="Arial" w:hAnsi="Arial"/>
          <w:sz w:val="20"/>
          <w:szCs w:val="20"/>
          <w:b w:val="1"/>
          <w:bCs w:val="1"/>
          <w:color w:val="auto"/>
        </w:rPr>
        <w:t>ITEM 1A.</w:t>
      </w:r>
      <w:r>
        <w:rPr>
          <w:sz w:val="20"/>
          <w:szCs w:val="20"/>
          <w:color w:val="auto"/>
        </w:rPr>
        <w:tab/>
      </w:r>
      <w:r>
        <w:rPr>
          <w:rFonts w:ascii="Arial" w:cs="Arial" w:eastAsia="Arial" w:hAnsi="Arial"/>
          <w:sz w:val="19"/>
          <w:szCs w:val="19"/>
          <w:b w:val="1"/>
          <w:bCs w:val="1"/>
          <w:color w:val="auto"/>
        </w:rPr>
        <w:t>RISK FACTORS</w:t>
      </w:r>
    </w:p>
    <w:p>
      <w:pPr>
        <w:spacing w:after="0" w:line="23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Our risk factors are discussed in our Form 10-K. There have been no material changes with respect to the risk factors disclosed in our Form 10-K.</w:t>
      </w:r>
    </w:p>
    <w:p>
      <w:pPr>
        <w:spacing w:after="0" w:line="184" w:lineRule="exact"/>
        <w:rPr>
          <w:sz w:val="20"/>
          <w:szCs w:val="20"/>
          <w:color w:val="auto"/>
        </w:rPr>
      </w:pPr>
    </w:p>
    <w:p>
      <w:pPr>
        <w:spacing w:after="0"/>
        <w:tabs>
          <w:tab w:leader="none" w:pos="1220" w:val="left"/>
        </w:tabs>
        <w:rPr>
          <w:sz w:val="20"/>
          <w:szCs w:val="20"/>
          <w:color w:val="auto"/>
        </w:rPr>
      </w:pPr>
      <w:r>
        <w:rPr>
          <w:rFonts w:ascii="Arial" w:cs="Arial" w:eastAsia="Arial" w:hAnsi="Arial"/>
          <w:sz w:val="20"/>
          <w:szCs w:val="20"/>
          <w:b w:val="1"/>
          <w:bCs w:val="1"/>
          <w:color w:val="auto"/>
        </w:rPr>
        <w:t>ITEM 2.</w:t>
      </w:r>
      <w:r>
        <w:rPr>
          <w:sz w:val="20"/>
          <w:szCs w:val="20"/>
          <w:color w:val="auto"/>
        </w:rPr>
        <w:tab/>
      </w:r>
      <w:r>
        <w:rPr>
          <w:rFonts w:ascii="Arial" w:cs="Arial" w:eastAsia="Arial" w:hAnsi="Arial"/>
          <w:sz w:val="19"/>
          <w:szCs w:val="19"/>
          <w:b w:val="1"/>
          <w:bCs w:val="1"/>
          <w:color w:val="auto"/>
        </w:rPr>
        <w:t>UNREGISTERED SALES OF EQUITY SECURITIES AND USE OF PROCEEDS</w:t>
      </w:r>
    </w:p>
    <w:p>
      <w:pPr>
        <w:spacing w:after="0" w:line="23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On February 28, 2017, the Company’s Board of Directors authorized a new share repurchase program for the purchase of up to $500.0 million of the Company’s outstanding common stock (the “February 2017 Repurchase Plan”). During the three-months ended September 30, 2017, the Company purchased 4.5 million shares of common stock at an average purchase price of $54.91 per share, for a total amount of $248.8 million (excluding broker commissions), under the February 2017 Repurchase Plan.</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tabular summary reflects the Company’s repurchase activity during the quarter ended September 30. 2017.</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jc w:val="center"/>
              <w:ind w:right="121"/>
              <w:spacing w:after="0"/>
              <w:rPr>
                <w:sz w:val="20"/>
                <w:szCs w:val="20"/>
                <w:color w:val="auto"/>
              </w:rPr>
            </w:pPr>
            <w:r>
              <w:rPr>
                <w:rFonts w:ascii="Arial" w:cs="Arial" w:eastAsia="Arial" w:hAnsi="Arial"/>
                <w:sz w:val="20"/>
                <w:szCs w:val="20"/>
                <w:color w:val="auto"/>
                <w:w w:val="93"/>
              </w:rPr>
              <w:t>Maximum Number (or</w:t>
            </w:r>
          </w:p>
        </w:tc>
      </w:tr>
      <w:tr>
        <w:trPr>
          <w:trHeight w:val="230"/>
        </w:trPr>
        <w:tc>
          <w:tcPr>
            <w:tcW w:w="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jc w:val="center"/>
              <w:ind w:right="121"/>
              <w:spacing w:after="0"/>
              <w:rPr>
                <w:sz w:val="20"/>
                <w:szCs w:val="20"/>
                <w:color w:val="auto"/>
              </w:rPr>
            </w:pPr>
            <w:r>
              <w:rPr>
                <w:rFonts w:ascii="Arial" w:cs="Arial" w:eastAsia="Arial" w:hAnsi="Arial"/>
                <w:sz w:val="20"/>
                <w:szCs w:val="20"/>
                <w:color w:val="auto"/>
                <w:w w:val="94"/>
              </w:rPr>
              <w:t>Approximate Dollar</w:t>
            </w:r>
          </w:p>
        </w:tc>
      </w:tr>
      <w:tr>
        <w:trPr>
          <w:trHeight w:val="230"/>
        </w:trPr>
        <w:tc>
          <w:tcPr>
            <w:tcW w:w="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20" w:type="dxa"/>
            <w:vAlign w:val="bottom"/>
            <w:gridSpan w:val="2"/>
          </w:tcPr>
          <w:p>
            <w:pPr>
              <w:jc w:val="center"/>
              <w:ind w:right="280"/>
              <w:spacing w:after="0"/>
              <w:rPr>
                <w:sz w:val="20"/>
                <w:szCs w:val="20"/>
                <w:color w:val="auto"/>
              </w:rPr>
            </w:pPr>
            <w:r>
              <w:rPr>
                <w:rFonts w:ascii="Arial" w:cs="Arial" w:eastAsia="Arial" w:hAnsi="Arial"/>
                <w:sz w:val="20"/>
                <w:szCs w:val="20"/>
                <w:color w:val="auto"/>
                <w:w w:val="92"/>
              </w:rPr>
              <w:t>Total Number of</w:t>
            </w:r>
          </w:p>
        </w:tc>
        <w:tc>
          <w:tcPr>
            <w:tcW w:w="200" w:type="dxa"/>
            <w:vAlign w:val="bottom"/>
          </w:tcPr>
          <w:p>
            <w:pPr>
              <w:spacing w:after="0"/>
              <w:rPr>
                <w:sz w:val="19"/>
                <w:szCs w:val="19"/>
                <w:color w:val="auto"/>
              </w:rPr>
            </w:pPr>
          </w:p>
        </w:tc>
        <w:tc>
          <w:tcPr>
            <w:tcW w:w="2060" w:type="dxa"/>
            <w:vAlign w:val="bottom"/>
          </w:tcPr>
          <w:p>
            <w:pPr>
              <w:jc w:val="center"/>
              <w:ind w:right="101"/>
              <w:spacing w:after="0"/>
              <w:rPr>
                <w:sz w:val="20"/>
                <w:szCs w:val="20"/>
                <w:color w:val="auto"/>
              </w:rPr>
            </w:pPr>
            <w:r>
              <w:rPr>
                <w:rFonts w:ascii="Arial" w:cs="Arial" w:eastAsia="Arial" w:hAnsi="Arial"/>
                <w:sz w:val="20"/>
                <w:szCs w:val="20"/>
                <w:color w:val="auto"/>
                <w:w w:val="88"/>
              </w:rPr>
              <w:t>Value) of Shares that</w:t>
            </w:r>
          </w:p>
        </w:tc>
      </w:tr>
      <w:tr>
        <w:trPr>
          <w:trHeight w:val="230"/>
        </w:trPr>
        <w:tc>
          <w:tcPr>
            <w:tcW w:w="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20" w:type="dxa"/>
            <w:vAlign w:val="bottom"/>
            <w:gridSpan w:val="2"/>
          </w:tcPr>
          <w:p>
            <w:pPr>
              <w:jc w:val="center"/>
              <w:ind w:right="280"/>
              <w:spacing w:after="0"/>
              <w:rPr>
                <w:sz w:val="20"/>
                <w:szCs w:val="20"/>
                <w:color w:val="auto"/>
              </w:rPr>
            </w:pPr>
            <w:r>
              <w:rPr>
                <w:rFonts w:ascii="Arial" w:cs="Arial" w:eastAsia="Arial" w:hAnsi="Arial"/>
                <w:sz w:val="20"/>
                <w:szCs w:val="20"/>
                <w:color w:val="auto"/>
                <w:w w:val="85"/>
              </w:rPr>
              <w:t>Shares Purchased</w:t>
            </w:r>
          </w:p>
        </w:tc>
        <w:tc>
          <w:tcPr>
            <w:tcW w:w="200" w:type="dxa"/>
            <w:vAlign w:val="bottom"/>
          </w:tcPr>
          <w:p>
            <w:pPr>
              <w:spacing w:after="0"/>
              <w:rPr>
                <w:sz w:val="19"/>
                <w:szCs w:val="19"/>
                <w:color w:val="auto"/>
              </w:rPr>
            </w:pPr>
          </w:p>
        </w:tc>
        <w:tc>
          <w:tcPr>
            <w:tcW w:w="2060" w:type="dxa"/>
            <w:vAlign w:val="bottom"/>
          </w:tcPr>
          <w:p>
            <w:pPr>
              <w:jc w:val="center"/>
              <w:ind w:right="121"/>
              <w:spacing w:after="0"/>
              <w:rPr>
                <w:sz w:val="20"/>
                <w:szCs w:val="20"/>
                <w:color w:val="auto"/>
              </w:rPr>
            </w:pPr>
            <w:r>
              <w:rPr>
                <w:rFonts w:ascii="Arial" w:cs="Arial" w:eastAsia="Arial" w:hAnsi="Arial"/>
                <w:sz w:val="20"/>
                <w:szCs w:val="20"/>
                <w:color w:val="auto"/>
                <w:w w:val="87"/>
              </w:rPr>
              <w:t>May Yet Be Purchased</w:t>
            </w:r>
          </w:p>
        </w:tc>
      </w:tr>
      <w:tr>
        <w:trPr>
          <w:trHeight w:val="230"/>
        </w:trPr>
        <w:tc>
          <w:tcPr>
            <w:tcW w:w="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Arial" w:cs="Arial" w:eastAsia="Arial" w:hAnsi="Arial"/>
                <w:sz w:val="20"/>
                <w:szCs w:val="20"/>
                <w:color w:val="auto"/>
                <w:w w:val="90"/>
              </w:rPr>
              <w:t>Total Number</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20" w:type="dxa"/>
            <w:vAlign w:val="bottom"/>
            <w:gridSpan w:val="2"/>
          </w:tcPr>
          <w:p>
            <w:pPr>
              <w:jc w:val="center"/>
              <w:ind w:right="300"/>
              <w:spacing w:after="0"/>
              <w:rPr>
                <w:sz w:val="20"/>
                <w:szCs w:val="20"/>
                <w:color w:val="auto"/>
              </w:rPr>
            </w:pPr>
            <w:r>
              <w:rPr>
                <w:rFonts w:ascii="Arial" w:cs="Arial" w:eastAsia="Arial" w:hAnsi="Arial"/>
                <w:sz w:val="20"/>
                <w:szCs w:val="20"/>
                <w:color w:val="auto"/>
                <w:w w:val="91"/>
              </w:rPr>
              <w:t>as Part of Publicly</w:t>
            </w:r>
          </w:p>
        </w:tc>
        <w:tc>
          <w:tcPr>
            <w:tcW w:w="200" w:type="dxa"/>
            <w:vAlign w:val="bottom"/>
          </w:tcPr>
          <w:p>
            <w:pPr>
              <w:spacing w:after="0"/>
              <w:rPr>
                <w:sz w:val="19"/>
                <w:szCs w:val="19"/>
                <w:color w:val="auto"/>
              </w:rPr>
            </w:pPr>
          </w:p>
        </w:tc>
        <w:tc>
          <w:tcPr>
            <w:tcW w:w="2060" w:type="dxa"/>
            <w:vAlign w:val="bottom"/>
          </w:tcPr>
          <w:p>
            <w:pPr>
              <w:jc w:val="center"/>
              <w:ind w:right="121"/>
              <w:spacing w:after="0"/>
              <w:rPr>
                <w:sz w:val="20"/>
                <w:szCs w:val="20"/>
                <w:color w:val="auto"/>
              </w:rPr>
            </w:pPr>
            <w:r>
              <w:rPr>
                <w:rFonts w:ascii="Arial" w:cs="Arial" w:eastAsia="Arial" w:hAnsi="Arial"/>
                <w:sz w:val="20"/>
                <w:szCs w:val="20"/>
                <w:color w:val="auto"/>
                <w:w w:val="88"/>
              </w:rPr>
              <w:t>Under the Plans or</w:t>
            </w:r>
          </w:p>
        </w:tc>
      </w:tr>
      <w:tr>
        <w:trPr>
          <w:trHeight w:val="230"/>
        </w:trPr>
        <w:tc>
          <w:tcPr>
            <w:tcW w:w="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Arial" w:cs="Arial" w:eastAsia="Arial" w:hAnsi="Arial"/>
                <w:sz w:val="20"/>
                <w:szCs w:val="20"/>
                <w:color w:val="auto"/>
                <w:w w:val="86"/>
              </w:rPr>
              <w:t>of Shares</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gridSpan w:val="2"/>
          </w:tcPr>
          <w:p>
            <w:pPr>
              <w:jc w:val="center"/>
              <w:ind w:right="540"/>
              <w:spacing w:after="0"/>
              <w:rPr>
                <w:sz w:val="20"/>
                <w:szCs w:val="20"/>
                <w:color w:val="auto"/>
              </w:rPr>
            </w:pPr>
            <w:r>
              <w:rPr>
                <w:rFonts w:ascii="Arial" w:cs="Arial" w:eastAsia="Arial" w:hAnsi="Arial"/>
                <w:sz w:val="20"/>
                <w:szCs w:val="20"/>
                <w:color w:val="auto"/>
                <w:w w:val="89"/>
              </w:rPr>
              <w:t>Average Price</w:t>
            </w:r>
          </w:p>
        </w:tc>
        <w:tc>
          <w:tcPr>
            <w:tcW w:w="2120" w:type="dxa"/>
            <w:vAlign w:val="bottom"/>
            <w:gridSpan w:val="2"/>
          </w:tcPr>
          <w:p>
            <w:pPr>
              <w:jc w:val="center"/>
              <w:ind w:right="280"/>
              <w:spacing w:after="0"/>
              <w:rPr>
                <w:sz w:val="20"/>
                <w:szCs w:val="20"/>
                <w:color w:val="auto"/>
              </w:rPr>
            </w:pPr>
            <w:r>
              <w:rPr>
                <w:rFonts w:ascii="Arial" w:cs="Arial" w:eastAsia="Arial" w:hAnsi="Arial"/>
                <w:sz w:val="20"/>
                <w:szCs w:val="20"/>
                <w:color w:val="auto"/>
                <w:w w:val="89"/>
              </w:rPr>
              <w:t>Announced Plans</w:t>
            </w:r>
          </w:p>
        </w:tc>
        <w:tc>
          <w:tcPr>
            <w:tcW w:w="200" w:type="dxa"/>
            <w:vAlign w:val="bottom"/>
          </w:tcPr>
          <w:p>
            <w:pPr>
              <w:spacing w:after="0"/>
              <w:rPr>
                <w:sz w:val="19"/>
                <w:szCs w:val="19"/>
                <w:color w:val="auto"/>
              </w:rPr>
            </w:pPr>
          </w:p>
        </w:tc>
        <w:tc>
          <w:tcPr>
            <w:tcW w:w="2060" w:type="dxa"/>
            <w:vAlign w:val="bottom"/>
          </w:tcPr>
          <w:p>
            <w:pPr>
              <w:jc w:val="center"/>
              <w:ind w:right="121"/>
              <w:spacing w:after="0"/>
              <w:rPr>
                <w:sz w:val="20"/>
                <w:szCs w:val="20"/>
                <w:color w:val="auto"/>
              </w:rPr>
            </w:pPr>
            <w:r>
              <w:rPr>
                <w:rFonts w:ascii="Arial" w:cs="Arial" w:eastAsia="Arial" w:hAnsi="Arial"/>
                <w:sz w:val="20"/>
                <w:szCs w:val="20"/>
                <w:color w:val="auto"/>
                <w:w w:val="89"/>
              </w:rPr>
              <w:t>Programs (In</w:t>
            </w:r>
          </w:p>
        </w:tc>
      </w:tr>
      <w:tr>
        <w:trPr>
          <w:trHeight w:val="246"/>
        </w:trPr>
        <w:tc>
          <w:tcPr>
            <w:tcW w:w="2820" w:type="dxa"/>
            <w:vAlign w:val="bottom"/>
            <w:gridSpan w:val="3"/>
          </w:tcPr>
          <w:p>
            <w:pPr>
              <w:spacing w:after="0"/>
              <w:rPr>
                <w:sz w:val="20"/>
                <w:szCs w:val="20"/>
                <w:color w:val="auto"/>
              </w:rPr>
            </w:pPr>
            <w:r>
              <w:rPr>
                <w:rFonts w:ascii="Arial" w:cs="Arial" w:eastAsia="Arial" w:hAnsi="Arial"/>
                <w:sz w:val="20"/>
                <w:szCs w:val="20"/>
                <w:color w:val="auto"/>
              </w:rPr>
              <w:t>Period</w:t>
            </w:r>
          </w:p>
        </w:tc>
        <w:tc>
          <w:tcPr>
            <w:tcW w:w="1840" w:type="dxa"/>
            <w:vAlign w:val="bottom"/>
          </w:tcPr>
          <w:p>
            <w:pPr>
              <w:jc w:val="center"/>
              <w:spacing w:after="0"/>
              <w:rPr>
                <w:sz w:val="20"/>
                <w:szCs w:val="20"/>
                <w:color w:val="auto"/>
              </w:rPr>
            </w:pPr>
            <w:r>
              <w:rPr>
                <w:rFonts w:ascii="Arial" w:cs="Arial" w:eastAsia="Arial" w:hAnsi="Arial"/>
                <w:sz w:val="20"/>
                <w:szCs w:val="20"/>
                <w:color w:val="auto"/>
                <w:w w:val="85"/>
              </w:rPr>
              <w:t>Purchased</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20" w:type="dxa"/>
            <w:vAlign w:val="bottom"/>
            <w:gridSpan w:val="2"/>
          </w:tcPr>
          <w:p>
            <w:pPr>
              <w:jc w:val="center"/>
              <w:ind w:right="560"/>
              <w:spacing w:after="0"/>
              <w:rPr>
                <w:sz w:val="20"/>
                <w:szCs w:val="20"/>
                <w:color w:val="auto"/>
              </w:rPr>
            </w:pPr>
            <w:r>
              <w:rPr>
                <w:rFonts w:ascii="Arial" w:cs="Arial" w:eastAsia="Arial" w:hAnsi="Arial"/>
                <w:sz w:val="20"/>
                <w:szCs w:val="20"/>
                <w:color w:val="auto"/>
                <w:w w:val="86"/>
              </w:rPr>
              <w:t>per Share¹</w:t>
            </w:r>
          </w:p>
        </w:tc>
        <w:tc>
          <w:tcPr>
            <w:tcW w:w="2120" w:type="dxa"/>
            <w:vAlign w:val="bottom"/>
            <w:gridSpan w:val="2"/>
          </w:tcPr>
          <w:p>
            <w:pPr>
              <w:jc w:val="center"/>
              <w:ind w:right="300"/>
              <w:spacing w:after="0"/>
              <w:rPr>
                <w:sz w:val="20"/>
                <w:szCs w:val="20"/>
                <w:color w:val="auto"/>
              </w:rPr>
            </w:pPr>
            <w:r>
              <w:rPr>
                <w:rFonts w:ascii="Arial" w:cs="Arial" w:eastAsia="Arial" w:hAnsi="Arial"/>
                <w:sz w:val="20"/>
                <w:szCs w:val="20"/>
                <w:color w:val="auto"/>
                <w:w w:val="89"/>
              </w:rPr>
              <w:t>or Programs</w:t>
            </w:r>
          </w:p>
        </w:tc>
        <w:tc>
          <w:tcPr>
            <w:tcW w:w="200" w:type="dxa"/>
            <w:vAlign w:val="bottom"/>
          </w:tcPr>
          <w:p>
            <w:pPr>
              <w:spacing w:after="0"/>
              <w:rPr>
                <w:sz w:val="21"/>
                <w:szCs w:val="21"/>
                <w:color w:val="auto"/>
              </w:rPr>
            </w:pPr>
          </w:p>
        </w:tc>
        <w:tc>
          <w:tcPr>
            <w:tcW w:w="2060" w:type="dxa"/>
            <w:vAlign w:val="bottom"/>
          </w:tcPr>
          <w:p>
            <w:pPr>
              <w:jc w:val="center"/>
              <w:ind w:right="121"/>
              <w:spacing w:after="0"/>
              <w:rPr>
                <w:sz w:val="20"/>
                <w:szCs w:val="20"/>
                <w:color w:val="auto"/>
              </w:rPr>
            </w:pPr>
            <w:r>
              <w:rPr>
                <w:rFonts w:ascii="Arial" w:cs="Arial" w:eastAsia="Arial" w:hAnsi="Arial"/>
                <w:sz w:val="20"/>
                <w:szCs w:val="20"/>
                <w:color w:val="auto"/>
                <w:w w:val="87"/>
              </w:rPr>
              <w:t>thousands)²</w:t>
            </w:r>
          </w:p>
        </w:tc>
      </w:tr>
      <w:tr>
        <w:trPr>
          <w:trHeight w:val="206"/>
        </w:trPr>
        <w:tc>
          <w:tcPr>
            <w:tcW w:w="20" w:type="dxa"/>
            <w:vAlign w:val="bottom"/>
          </w:tcPr>
          <w:p>
            <w:pPr>
              <w:spacing w:after="0"/>
              <w:rPr>
                <w:sz w:val="17"/>
                <w:szCs w:val="17"/>
                <w:color w:val="auto"/>
              </w:rPr>
            </w:pPr>
          </w:p>
        </w:tc>
        <w:tc>
          <w:tcPr>
            <w:tcW w:w="250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Jul 1 - Jul 31</w:t>
            </w:r>
          </w:p>
        </w:tc>
        <w:tc>
          <w:tcPr>
            <w:tcW w:w="300" w:type="dxa"/>
            <w:vAlign w:val="bottom"/>
          </w:tcPr>
          <w:p>
            <w:pPr>
              <w:spacing w:after="0"/>
              <w:rPr>
                <w:sz w:val="17"/>
                <w:szCs w:val="17"/>
                <w:color w:val="auto"/>
              </w:rPr>
            </w:pPr>
          </w:p>
        </w:tc>
        <w:tc>
          <w:tcPr>
            <w:tcW w:w="1840" w:type="dxa"/>
            <w:vAlign w:val="bottom"/>
            <w:tcBorders>
              <w:top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rPr>
              <w:t>-</w:t>
            </w:r>
          </w:p>
        </w:tc>
        <w:tc>
          <w:tcPr>
            <w:tcW w:w="300" w:type="dxa"/>
            <w:vAlign w:val="bottom"/>
          </w:tcPr>
          <w:p>
            <w:pPr>
              <w:spacing w:after="0"/>
              <w:rPr>
                <w:sz w:val="17"/>
                <w:szCs w:val="17"/>
                <w:color w:val="auto"/>
              </w:rPr>
            </w:pPr>
          </w:p>
        </w:tc>
        <w:tc>
          <w:tcPr>
            <w:tcW w:w="26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540" w:type="dxa"/>
            <w:vAlign w:val="bottom"/>
            <w:tcBorders>
              <w:top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rPr>
              <w:t>-</w:t>
            </w:r>
          </w:p>
        </w:tc>
        <w:tc>
          <w:tcPr>
            <w:tcW w:w="280" w:type="dxa"/>
            <w:vAlign w:val="bottom"/>
          </w:tcPr>
          <w:p>
            <w:pPr>
              <w:spacing w:after="0"/>
              <w:rPr>
                <w:sz w:val="17"/>
                <w:szCs w:val="17"/>
                <w:color w:val="auto"/>
              </w:rPr>
            </w:pPr>
          </w:p>
        </w:tc>
        <w:tc>
          <w:tcPr>
            <w:tcW w:w="182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w:t>
            </w:r>
          </w:p>
        </w:tc>
        <w:tc>
          <w:tcPr>
            <w:tcW w:w="300" w:type="dxa"/>
            <w:vAlign w:val="bottom"/>
          </w:tcPr>
          <w:p>
            <w:pPr>
              <w:spacing w:after="0"/>
              <w:rPr>
                <w:sz w:val="17"/>
                <w:szCs w:val="17"/>
                <w:color w:val="auto"/>
              </w:rPr>
            </w:pPr>
          </w:p>
        </w:tc>
        <w:tc>
          <w:tcPr>
            <w:tcW w:w="20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2060" w:type="dxa"/>
            <w:vAlign w:val="bottom"/>
            <w:tcBorders>
              <w:top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rPr>
              <w:t>500,000</w:t>
            </w:r>
          </w:p>
        </w:tc>
      </w:tr>
      <w:tr>
        <w:trPr>
          <w:trHeight w:val="230"/>
        </w:trPr>
        <w:tc>
          <w:tcPr>
            <w:tcW w:w="2820" w:type="dxa"/>
            <w:vAlign w:val="bottom"/>
            <w:gridSpan w:val="3"/>
          </w:tcPr>
          <w:p>
            <w:pPr>
              <w:spacing w:after="0"/>
              <w:rPr>
                <w:sz w:val="20"/>
                <w:szCs w:val="20"/>
                <w:color w:val="auto"/>
              </w:rPr>
            </w:pPr>
            <w:r>
              <w:rPr>
                <w:rFonts w:ascii="Arial" w:cs="Arial" w:eastAsia="Arial" w:hAnsi="Arial"/>
                <w:sz w:val="20"/>
                <w:szCs w:val="20"/>
                <w:color w:val="auto"/>
              </w:rPr>
              <w:t>Aug 1 - Aug 31</w:t>
            </w:r>
          </w:p>
        </w:tc>
        <w:tc>
          <w:tcPr>
            <w:tcW w:w="1840" w:type="dxa"/>
            <w:vAlign w:val="bottom"/>
          </w:tcPr>
          <w:p>
            <w:pPr>
              <w:jc w:val="right"/>
              <w:ind w:right="21"/>
              <w:spacing w:after="0"/>
              <w:rPr>
                <w:sz w:val="20"/>
                <w:szCs w:val="20"/>
                <w:color w:val="auto"/>
              </w:rPr>
            </w:pPr>
            <w:r>
              <w:rPr>
                <w:rFonts w:ascii="Arial" w:cs="Arial" w:eastAsia="Arial" w:hAnsi="Arial"/>
                <w:sz w:val="20"/>
                <w:szCs w:val="20"/>
                <w:color w:val="auto"/>
              </w:rPr>
              <w:t>902,683</w:t>
            </w:r>
          </w:p>
        </w:tc>
        <w:tc>
          <w:tcPr>
            <w:tcW w:w="5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540" w:type="dxa"/>
            <w:vAlign w:val="bottom"/>
          </w:tcPr>
          <w:p>
            <w:pPr>
              <w:jc w:val="right"/>
              <w:ind w:right="21"/>
              <w:spacing w:after="0"/>
              <w:rPr>
                <w:sz w:val="20"/>
                <w:szCs w:val="20"/>
                <w:color w:val="auto"/>
              </w:rPr>
            </w:pPr>
            <w:r>
              <w:rPr>
                <w:rFonts w:ascii="Arial" w:cs="Arial" w:eastAsia="Arial" w:hAnsi="Arial"/>
                <w:sz w:val="20"/>
                <w:szCs w:val="20"/>
                <w:color w:val="auto"/>
              </w:rPr>
              <w:t>54.53</w:t>
            </w:r>
          </w:p>
        </w:tc>
        <w:tc>
          <w:tcPr>
            <w:tcW w:w="280" w:type="dxa"/>
            <w:vAlign w:val="bottom"/>
          </w:tcPr>
          <w:p>
            <w:pPr>
              <w:spacing w:after="0"/>
              <w:rPr>
                <w:sz w:val="19"/>
                <w:szCs w:val="19"/>
                <w:color w:val="auto"/>
              </w:rPr>
            </w:pPr>
          </w:p>
        </w:tc>
        <w:tc>
          <w:tcPr>
            <w:tcW w:w="1820" w:type="dxa"/>
            <w:vAlign w:val="bottom"/>
          </w:tcPr>
          <w:p>
            <w:pPr>
              <w:jc w:val="right"/>
              <w:ind w:right="1"/>
              <w:spacing w:after="0"/>
              <w:rPr>
                <w:sz w:val="20"/>
                <w:szCs w:val="20"/>
                <w:color w:val="auto"/>
              </w:rPr>
            </w:pPr>
            <w:r>
              <w:rPr>
                <w:rFonts w:ascii="Arial" w:cs="Arial" w:eastAsia="Arial" w:hAnsi="Arial"/>
                <w:sz w:val="20"/>
                <w:szCs w:val="20"/>
                <w:color w:val="auto"/>
              </w:rPr>
              <w:t>902,683</w:t>
            </w:r>
          </w:p>
        </w:tc>
        <w:tc>
          <w:tcPr>
            <w:tcW w:w="3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2060" w:type="dxa"/>
            <w:vAlign w:val="bottom"/>
          </w:tcPr>
          <w:p>
            <w:pPr>
              <w:jc w:val="right"/>
              <w:ind w:right="21"/>
              <w:spacing w:after="0"/>
              <w:rPr>
                <w:sz w:val="20"/>
                <w:szCs w:val="20"/>
                <w:color w:val="auto"/>
              </w:rPr>
            </w:pPr>
            <w:r>
              <w:rPr>
                <w:rFonts w:ascii="Arial" w:cs="Arial" w:eastAsia="Arial" w:hAnsi="Arial"/>
                <w:sz w:val="20"/>
                <w:szCs w:val="20"/>
                <w:color w:val="auto"/>
              </w:rPr>
              <w:t>450,760</w:t>
            </w:r>
          </w:p>
        </w:tc>
      </w:tr>
      <w:tr>
        <w:trPr>
          <w:trHeight w:val="240"/>
        </w:trPr>
        <w:tc>
          <w:tcPr>
            <w:tcW w:w="2820" w:type="dxa"/>
            <w:vAlign w:val="bottom"/>
            <w:gridSpan w:val="3"/>
          </w:tcPr>
          <w:p>
            <w:pPr>
              <w:spacing w:after="0"/>
              <w:rPr>
                <w:sz w:val="20"/>
                <w:szCs w:val="20"/>
                <w:color w:val="auto"/>
              </w:rPr>
            </w:pPr>
            <w:r>
              <w:rPr>
                <w:rFonts w:ascii="Arial" w:cs="Arial" w:eastAsia="Arial" w:hAnsi="Arial"/>
                <w:sz w:val="20"/>
                <w:szCs w:val="20"/>
                <w:color w:val="auto"/>
              </w:rPr>
              <w:t>Sept 1 - Sept 30</w:t>
            </w:r>
          </w:p>
        </w:tc>
        <w:tc>
          <w:tcPr>
            <w:tcW w:w="18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3,629,075</w:t>
            </w:r>
          </w:p>
        </w:tc>
        <w:tc>
          <w:tcPr>
            <w:tcW w:w="5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540" w:type="dxa"/>
            <w:vAlign w:val="bottom"/>
          </w:tcPr>
          <w:p>
            <w:pPr>
              <w:jc w:val="right"/>
              <w:ind w:right="21"/>
              <w:spacing w:after="0"/>
              <w:rPr>
                <w:sz w:val="20"/>
                <w:szCs w:val="20"/>
                <w:color w:val="auto"/>
              </w:rPr>
            </w:pPr>
            <w:r>
              <w:rPr>
                <w:rFonts w:ascii="Arial" w:cs="Arial" w:eastAsia="Arial" w:hAnsi="Arial"/>
                <w:sz w:val="20"/>
                <w:szCs w:val="20"/>
                <w:color w:val="auto"/>
              </w:rPr>
              <w:t>55.00</w:t>
            </w:r>
          </w:p>
        </w:tc>
        <w:tc>
          <w:tcPr>
            <w:tcW w:w="280" w:type="dxa"/>
            <w:vAlign w:val="bottom"/>
          </w:tcPr>
          <w:p>
            <w:pPr>
              <w:spacing w:after="0"/>
              <w:rPr>
                <w:sz w:val="20"/>
                <w:szCs w:val="20"/>
                <w:color w:val="auto"/>
              </w:rPr>
            </w:pPr>
          </w:p>
        </w:tc>
        <w:tc>
          <w:tcPr>
            <w:tcW w:w="1820" w:type="dxa"/>
            <w:vAlign w:val="bottom"/>
          </w:tcPr>
          <w:p>
            <w:pPr>
              <w:jc w:val="right"/>
              <w:ind w:right="1"/>
              <w:spacing w:after="0"/>
              <w:rPr>
                <w:sz w:val="20"/>
                <w:szCs w:val="20"/>
                <w:color w:val="auto"/>
              </w:rPr>
            </w:pPr>
            <w:r>
              <w:rPr>
                <w:rFonts w:ascii="Arial" w:cs="Arial" w:eastAsia="Arial" w:hAnsi="Arial"/>
                <w:sz w:val="20"/>
                <w:szCs w:val="20"/>
                <w:color w:val="auto"/>
              </w:rPr>
              <w:t>4,531,758</w:t>
            </w:r>
          </w:p>
        </w:tc>
        <w:tc>
          <w:tcPr>
            <w:tcW w:w="3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2060" w:type="dxa"/>
            <w:vAlign w:val="bottom"/>
          </w:tcPr>
          <w:p>
            <w:pPr>
              <w:jc w:val="right"/>
              <w:ind w:right="21"/>
              <w:spacing w:after="0"/>
              <w:rPr>
                <w:sz w:val="20"/>
                <w:szCs w:val="20"/>
                <w:color w:val="auto"/>
              </w:rPr>
            </w:pPr>
            <w:r>
              <w:rPr>
                <w:rFonts w:ascii="Arial" w:cs="Arial" w:eastAsia="Arial" w:hAnsi="Arial"/>
                <w:sz w:val="20"/>
                <w:szCs w:val="20"/>
                <w:color w:val="auto"/>
              </w:rPr>
              <w:t>251,107</w:t>
            </w:r>
          </w:p>
        </w:tc>
      </w:tr>
      <w:tr>
        <w:trPr>
          <w:trHeight w:val="230"/>
        </w:trPr>
        <w:tc>
          <w:tcPr>
            <w:tcW w:w="20" w:type="dxa"/>
            <w:vAlign w:val="bottom"/>
          </w:tcPr>
          <w:p>
            <w:pPr>
              <w:spacing w:after="0"/>
              <w:rPr>
                <w:sz w:val="19"/>
                <w:szCs w:val="19"/>
                <w:color w:val="auto"/>
              </w:rPr>
            </w:pPr>
          </w:p>
        </w:tc>
        <w:tc>
          <w:tcPr>
            <w:tcW w:w="2800" w:type="dxa"/>
            <w:vAlign w:val="bottom"/>
            <w:gridSpan w:val="2"/>
          </w:tcPr>
          <w:p>
            <w:pPr>
              <w:ind w:left="1040"/>
              <w:spacing w:after="0" w:line="220" w:lineRule="exact"/>
              <w:rPr>
                <w:sz w:val="20"/>
                <w:szCs w:val="20"/>
                <w:color w:val="auto"/>
              </w:rPr>
            </w:pPr>
            <w:r>
              <w:rPr>
                <w:rFonts w:ascii="Arial" w:cs="Arial" w:eastAsia="Arial" w:hAnsi="Arial"/>
                <w:sz w:val="20"/>
                <w:szCs w:val="20"/>
                <w:color w:val="auto"/>
              </w:rPr>
              <w:t>Total</w:t>
            </w:r>
          </w:p>
        </w:tc>
        <w:tc>
          <w:tcPr>
            <w:tcW w:w="18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4,531,758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bl>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¹Excluding broker commissions paid.</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²Net of broker commissions paid.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During the three-months ended September 30, 2017, 892 shares were purchased from employees in lieu of cash payments for options exercised or withholding taxes due, for a total amount of $0.05 million. While such purchases are considered common stock repurchases, they are not counted as purchases against the Company’s authorized share repurchase programs.</w:t>
      </w:r>
    </w:p>
    <w:p>
      <w:pPr>
        <w:spacing w:after="0" w:line="178" w:lineRule="exact"/>
        <w:rPr>
          <w:sz w:val="20"/>
          <w:szCs w:val="20"/>
          <w:color w:val="auto"/>
        </w:rPr>
      </w:pPr>
    </w:p>
    <w:p>
      <w:pPr>
        <w:spacing w:after="0"/>
        <w:tabs>
          <w:tab w:leader="none" w:pos="122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9"/>
          <w:szCs w:val="19"/>
          <w:b w:val="1"/>
          <w:bCs w:val="1"/>
          <w:color w:val="auto"/>
        </w:rPr>
        <w:t>DEFAULTS UPON SENIOR SECURITIES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None.</w:t>
      </w:r>
    </w:p>
    <w:p>
      <w:pPr>
        <w:spacing w:after="0" w:line="223" w:lineRule="exact"/>
        <w:rPr>
          <w:sz w:val="20"/>
          <w:szCs w:val="20"/>
          <w:color w:val="auto"/>
        </w:rPr>
      </w:pPr>
    </w:p>
    <w:p>
      <w:pPr>
        <w:spacing w:after="0"/>
        <w:tabs>
          <w:tab w:leader="none" w:pos="122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9"/>
          <w:szCs w:val="19"/>
          <w:b w:val="1"/>
          <w:bCs w:val="1"/>
          <w:color w:val="auto"/>
        </w:rPr>
        <w:t>MINE SAFETY DISCLOSURES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180" w:type="dxa"/>
            <w:vAlign w:val="bottom"/>
          </w:tcPr>
          <w:p>
            <w:pPr>
              <w:spacing w:after="0"/>
              <w:rPr>
                <w:sz w:val="20"/>
                <w:szCs w:val="20"/>
                <w:color w:val="auto"/>
              </w:rPr>
            </w:pPr>
            <w:r>
              <w:rPr>
                <w:rFonts w:ascii="Arial" w:cs="Arial" w:eastAsia="Arial" w:hAnsi="Arial"/>
                <w:sz w:val="20"/>
                <w:szCs w:val="20"/>
                <w:b w:val="1"/>
                <w:bCs w:val="1"/>
                <w:color w:val="auto"/>
              </w:rPr>
              <w:t>ITEM 5.</w:t>
            </w:r>
          </w:p>
        </w:tc>
        <w:tc>
          <w:tcPr>
            <w:tcW w:w="10240" w:type="dxa"/>
            <w:vAlign w:val="bottom"/>
            <w:gridSpan w:val="7"/>
          </w:tcPr>
          <w:p>
            <w:pPr>
              <w:ind w:left="60"/>
              <w:spacing w:after="0"/>
              <w:rPr>
                <w:sz w:val="20"/>
                <w:szCs w:val="20"/>
                <w:color w:val="auto"/>
              </w:rPr>
            </w:pPr>
            <w:r>
              <w:rPr>
                <w:rFonts w:ascii="Arial" w:cs="Arial" w:eastAsia="Arial" w:hAnsi="Arial"/>
                <w:sz w:val="20"/>
                <w:szCs w:val="20"/>
                <w:b w:val="1"/>
                <w:bCs w:val="1"/>
                <w:color w:val="auto"/>
              </w:rPr>
              <w:t>OTHER INFORMATION</w:t>
            </w:r>
          </w:p>
        </w:tc>
      </w:tr>
      <w:tr>
        <w:trPr>
          <w:trHeight w:val="459"/>
        </w:trPr>
        <w:tc>
          <w:tcPr>
            <w:tcW w:w="1180" w:type="dxa"/>
            <w:vAlign w:val="bottom"/>
          </w:tcPr>
          <w:p>
            <w:pPr>
              <w:ind w:left="660"/>
              <w:spacing w:after="0"/>
              <w:rPr>
                <w:sz w:val="20"/>
                <w:szCs w:val="20"/>
                <w:color w:val="auto"/>
              </w:rPr>
            </w:pPr>
            <w:r>
              <w:rPr>
                <w:rFonts w:ascii="Arial" w:cs="Arial" w:eastAsia="Arial" w:hAnsi="Arial"/>
                <w:sz w:val="20"/>
                <w:szCs w:val="20"/>
                <w:color w:val="auto"/>
                <w:w w:val="93"/>
              </w:rPr>
              <w:t>None.</w:t>
            </w:r>
          </w:p>
        </w:tc>
        <w:tc>
          <w:tcPr>
            <w:tcW w:w="4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1180" w:type="dxa"/>
            <w:vAlign w:val="bottom"/>
          </w:tcPr>
          <w:p>
            <w:pPr>
              <w:spacing w:after="0"/>
              <w:rPr>
                <w:sz w:val="20"/>
                <w:szCs w:val="20"/>
                <w:color w:val="auto"/>
              </w:rPr>
            </w:pPr>
            <w:r>
              <w:rPr>
                <w:rFonts w:ascii="Arial" w:cs="Arial" w:eastAsia="Arial" w:hAnsi="Arial"/>
                <w:sz w:val="20"/>
                <w:szCs w:val="20"/>
                <w:b w:val="1"/>
                <w:bCs w:val="1"/>
                <w:color w:val="auto"/>
              </w:rPr>
              <w:t>ITEM 6.</w:t>
            </w:r>
          </w:p>
        </w:tc>
        <w:tc>
          <w:tcPr>
            <w:tcW w:w="10240" w:type="dxa"/>
            <w:vAlign w:val="bottom"/>
            <w:gridSpan w:val="7"/>
          </w:tcPr>
          <w:p>
            <w:pPr>
              <w:ind w:left="60"/>
              <w:spacing w:after="0"/>
              <w:rPr>
                <w:sz w:val="20"/>
                <w:szCs w:val="20"/>
                <w:color w:val="auto"/>
              </w:rPr>
            </w:pPr>
            <w:r>
              <w:rPr>
                <w:rFonts w:ascii="Arial" w:cs="Arial" w:eastAsia="Arial" w:hAnsi="Arial"/>
                <w:sz w:val="20"/>
                <w:szCs w:val="20"/>
                <w:b w:val="1"/>
                <w:bCs w:val="1"/>
                <w:color w:val="auto"/>
              </w:rPr>
              <w:t>EXHIBITS</w:t>
            </w:r>
          </w:p>
        </w:tc>
      </w:tr>
      <w:tr>
        <w:trPr>
          <w:trHeight w:val="415"/>
        </w:trPr>
        <w:tc>
          <w:tcPr>
            <w:tcW w:w="1180" w:type="dxa"/>
            <w:vAlign w:val="bottom"/>
          </w:tcPr>
          <w:p>
            <w:pPr>
              <w:spacing w:after="0"/>
              <w:rPr>
                <w:sz w:val="20"/>
                <w:szCs w:val="20"/>
                <w:color w:val="auto"/>
              </w:rPr>
            </w:pPr>
            <w:r>
              <w:rPr>
                <w:rFonts w:ascii="Arial" w:cs="Arial" w:eastAsia="Arial" w:hAnsi="Arial"/>
                <w:sz w:val="20"/>
                <w:szCs w:val="20"/>
                <w:color w:val="auto"/>
              </w:rPr>
              <w:t>31.1*</w:t>
            </w:r>
          </w:p>
        </w:tc>
        <w:tc>
          <w:tcPr>
            <w:tcW w:w="400" w:type="dxa"/>
            <w:vAlign w:val="bottom"/>
          </w:tcPr>
          <w:p>
            <w:pPr>
              <w:spacing w:after="0"/>
              <w:rPr>
                <w:sz w:val="24"/>
                <w:szCs w:val="24"/>
                <w:color w:val="auto"/>
              </w:rPr>
            </w:pPr>
          </w:p>
        </w:tc>
        <w:tc>
          <w:tcPr>
            <w:tcW w:w="7920" w:type="dxa"/>
            <w:vAlign w:val="bottom"/>
            <w:tcBorders>
              <w:bottom w:val="single" w:sz="8" w:color="0000EE"/>
            </w:tcBorders>
            <w:gridSpan w:val="4"/>
          </w:tcPr>
          <w:p>
            <w:pPr>
              <w:spacing w:after="0"/>
              <w:rPr>
                <w:rFonts w:ascii="Arial" w:cs="Arial" w:eastAsia="Arial" w:hAnsi="Arial"/>
                <w:sz w:val="20"/>
                <w:szCs w:val="20"/>
                <w:color w:val="0000EE"/>
                <w:w w:val="91"/>
              </w:rPr>
            </w:pPr>
            <w:hyperlink w:anchor="page34">
              <w:r>
                <w:rPr>
                  <w:rFonts w:ascii="Arial" w:cs="Arial" w:eastAsia="Arial" w:hAnsi="Arial"/>
                  <w:sz w:val="20"/>
                  <w:szCs w:val="20"/>
                  <w:color w:val="0000EE"/>
                  <w:w w:val="91"/>
                </w:rPr>
                <w:t>Certification of Chief Executive Officer Pursuant to Section 302 of the Sarbanes-Oxley Act of 2002</w:t>
              </w:r>
            </w:hyperlink>
          </w:p>
        </w:tc>
        <w:tc>
          <w:tcPr>
            <w:tcW w:w="1920" w:type="dxa"/>
            <w:vAlign w:val="bottom"/>
            <w:gridSpan w:val="2"/>
          </w:tcPr>
          <w:p>
            <w:pPr>
              <w:spacing w:after="0"/>
              <w:rPr>
                <w:sz w:val="24"/>
                <w:szCs w:val="24"/>
                <w:color w:val="auto"/>
              </w:rPr>
            </w:pPr>
          </w:p>
        </w:tc>
      </w:tr>
      <w:tr>
        <w:trPr>
          <w:trHeight w:val="426"/>
        </w:trPr>
        <w:tc>
          <w:tcPr>
            <w:tcW w:w="1180" w:type="dxa"/>
            <w:vAlign w:val="bottom"/>
          </w:tcPr>
          <w:p>
            <w:pPr>
              <w:spacing w:after="0"/>
              <w:rPr>
                <w:sz w:val="20"/>
                <w:szCs w:val="20"/>
                <w:color w:val="auto"/>
              </w:rPr>
            </w:pPr>
            <w:r>
              <w:rPr>
                <w:rFonts w:ascii="Arial" w:cs="Arial" w:eastAsia="Arial" w:hAnsi="Arial"/>
                <w:sz w:val="20"/>
                <w:szCs w:val="20"/>
                <w:color w:val="auto"/>
              </w:rPr>
              <w:t>31.2*</w:t>
            </w:r>
          </w:p>
        </w:tc>
        <w:tc>
          <w:tcPr>
            <w:tcW w:w="400" w:type="dxa"/>
            <w:vAlign w:val="bottom"/>
          </w:tcPr>
          <w:p>
            <w:pPr>
              <w:spacing w:after="0"/>
              <w:rPr>
                <w:sz w:val="24"/>
                <w:szCs w:val="24"/>
                <w:color w:val="auto"/>
              </w:rPr>
            </w:pPr>
          </w:p>
        </w:tc>
        <w:tc>
          <w:tcPr>
            <w:tcW w:w="9840" w:type="dxa"/>
            <w:vAlign w:val="bottom"/>
            <w:gridSpan w:val="6"/>
          </w:tcPr>
          <w:p>
            <w:pPr>
              <w:spacing w:after="0"/>
              <w:rPr>
                <w:rFonts w:ascii="Arial" w:cs="Arial" w:eastAsia="Arial" w:hAnsi="Arial"/>
                <w:sz w:val="20"/>
                <w:szCs w:val="20"/>
                <w:color w:val="0000EE"/>
              </w:rPr>
            </w:pPr>
            <w:hyperlink w:anchor="page35">
              <w:r>
                <w:rPr>
                  <w:rFonts w:ascii="Arial" w:cs="Arial" w:eastAsia="Arial" w:hAnsi="Arial"/>
                  <w:sz w:val="20"/>
                  <w:szCs w:val="20"/>
                  <w:color w:val="0000EE"/>
                </w:rPr>
                <w:t>Certification of Chief Financial Officer Pursuant to Section 302 of the Sarbanes-Oxley Act of 2002</w:t>
              </w:r>
            </w:hyperlink>
          </w:p>
        </w:tc>
      </w:tr>
      <w:tr>
        <w:trPr>
          <w:trHeight w:val="20"/>
        </w:trPr>
        <w:tc>
          <w:tcPr>
            <w:tcW w:w="1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580" w:type="dxa"/>
            <w:vAlign w:val="bottom"/>
            <w:shd w:val="clear" w:color="auto" w:fill="0000EE"/>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6"/>
        </w:trPr>
        <w:tc>
          <w:tcPr>
            <w:tcW w:w="1180" w:type="dxa"/>
            <w:vAlign w:val="bottom"/>
          </w:tcPr>
          <w:p>
            <w:pPr>
              <w:spacing w:after="0"/>
              <w:rPr>
                <w:sz w:val="20"/>
                <w:szCs w:val="20"/>
                <w:color w:val="auto"/>
              </w:rPr>
            </w:pPr>
            <w:r>
              <w:rPr>
                <w:rFonts w:ascii="Arial" w:cs="Arial" w:eastAsia="Arial" w:hAnsi="Arial"/>
                <w:sz w:val="20"/>
                <w:szCs w:val="20"/>
                <w:color w:val="auto"/>
              </w:rPr>
              <w:t>32.1*</w:t>
            </w:r>
          </w:p>
        </w:tc>
        <w:tc>
          <w:tcPr>
            <w:tcW w:w="400" w:type="dxa"/>
            <w:vAlign w:val="bottom"/>
          </w:tcPr>
          <w:p>
            <w:pPr>
              <w:spacing w:after="0"/>
              <w:rPr>
                <w:sz w:val="24"/>
                <w:szCs w:val="24"/>
                <w:color w:val="auto"/>
              </w:rPr>
            </w:pPr>
          </w:p>
        </w:tc>
        <w:tc>
          <w:tcPr>
            <w:tcW w:w="9840" w:type="dxa"/>
            <w:vAlign w:val="bottom"/>
            <w:tcBorders>
              <w:bottom w:val="single" w:sz="8" w:color="0000EE"/>
            </w:tcBorders>
            <w:gridSpan w:val="6"/>
          </w:tcPr>
          <w:p>
            <w:pPr>
              <w:spacing w:after="0"/>
              <w:rPr>
                <w:rFonts w:ascii="Arial" w:cs="Arial" w:eastAsia="Arial" w:hAnsi="Arial"/>
                <w:sz w:val="20"/>
                <w:szCs w:val="20"/>
                <w:color w:val="0000EE"/>
                <w:w w:val="93"/>
              </w:rPr>
            </w:pPr>
            <w:hyperlink w:anchor="page36">
              <w:r>
                <w:rPr>
                  <w:rFonts w:ascii="Arial" w:cs="Arial" w:eastAsia="Arial" w:hAnsi="Arial"/>
                  <w:sz w:val="20"/>
                  <w:szCs w:val="20"/>
                  <w:color w:val="0000EE"/>
                  <w:w w:val="93"/>
                </w:rPr>
                <w:t>Certification of Chief Executive Officer Pursuant to 18 U.S.C. Section 1350, as Adopted Pursuant to Section 906 of the</w:t>
              </w:r>
            </w:hyperlink>
          </w:p>
        </w:tc>
      </w:tr>
      <w:tr>
        <w:trPr>
          <w:trHeight w:val="210"/>
        </w:trPr>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80" w:type="dxa"/>
            <w:vAlign w:val="bottom"/>
            <w:tcBorders>
              <w:bottom w:val="single" w:sz="8" w:color="0000EE"/>
            </w:tcBorders>
            <w:gridSpan w:val="2"/>
          </w:tcPr>
          <w:p>
            <w:pPr>
              <w:spacing w:after="0" w:line="209" w:lineRule="exact"/>
              <w:rPr>
                <w:rFonts w:ascii="Arial" w:cs="Arial" w:eastAsia="Arial" w:hAnsi="Arial"/>
                <w:sz w:val="20"/>
                <w:szCs w:val="20"/>
                <w:color w:val="0000EE"/>
                <w:w w:val="90"/>
              </w:rPr>
            </w:pPr>
            <w:hyperlink w:anchor="page36">
              <w:r>
                <w:rPr>
                  <w:rFonts w:ascii="Arial" w:cs="Arial" w:eastAsia="Arial" w:hAnsi="Arial"/>
                  <w:sz w:val="20"/>
                  <w:szCs w:val="20"/>
                  <w:color w:val="0000EE"/>
                  <w:w w:val="90"/>
                </w:rPr>
                <w:t>Sarbanes-Oxley Act of 2002</w:t>
              </w:r>
            </w:hyperlink>
          </w:p>
        </w:tc>
        <w:tc>
          <w:tcPr>
            <w:tcW w:w="7560" w:type="dxa"/>
            <w:vAlign w:val="bottom"/>
            <w:gridSpan w:val="4"/>
          </w:tcPr>
          <w:p>
            <w:pPr>
              <w:spacing w:after="0"/>
              <w:rPr>
                <w:sz w:val="18"/>
                <w:szCs w:val="18"/>
                <w:color w:val="auto"/>
              </w:rPr>
            </w:pPr>
          </w:p>
        </w:tc>
      </w:tr>
      <w:tr>
        <w:trPr>
          <w:trHeight w:val="426"/>
        </w:trPr>
        <w:tc>
          <w:tcPr>
            <w:tcW w:w="1180" w:type="dxa"/>
            <w:vAlign w:val="bottom"/>
          </w:tcPr>
          <w:p>
            <w:pPr>
              <w:spacing w:after="0"/>
              <w:rPr>
                <w:sz w:val="20"/>
                <w:szCs w:val="20"/>
                <w:color w:val="auto"/>
              </w:rPr>
            </w:pPr>
            <w:r>
              <w:rPr>
                <w:rFonts w:ascii="Arial" w:cs="Arial" w:eastAsia="Arial" w:hAnsi="Arial"/>
                <w:sz w:val="20"/>
                <w:szCs w:val="20"/>
                <w:color w:val="auto"/>
              </w:rPr>
              <w:t>32.2*</w:t>
            </w:r>
          </w:p>
        </w:tc>
        <w:tc>
          <w:tcPr>
            <w:tcW w:w="400" w:type="dxa"/>
            <w:vAlign w:val="bottom"/>
          </w:tcPr>
          <w:p>
            <w:pPr>
              <w:spacing w:after="0"/>
              <w:rPr>
                <w:sz w:val="24"/>
                <w:szCs w:val="24"/>
                <w:color w:val="auto"/>
              </w:rPr>
            </w:pPr>
          </w:p>
        </w:tc>
        <w:tc>
          <w:tcPr>
            <w:tcW w:w="9840" w:type="dxa"/>
            <w:vAlign w:val="bottom"/>
            <w:gridSpan w:val="6"/>
          </w:tcPr>
          <w:p>
            <w:pPr>
              <w:spacing w:after="0"/>
              <w:rPr>
                <w:rFonts w:ascii="Arial" w:cs="Arial" w:eastAsia="Arial" w:hAnsi="Arial"/>
                <w:sz w:val="20"/>
                <w:szCs w:val="20"/>
                <w:color w:val="0000EE"/>
                <w:w w:val="94"/>
              </w:rPr>
            </w:pPr>
            <w:hyperlink w:anchor="page37">
              <w:r>
                <w:rPr>
                  <w:rFonts w:ascii="Arial" w:cs="Arial" w:eastAsia="Arial" w:hAnsi="Arial"/>
                  <w:sz w:val="20"/>
                  <w:szCs w:val="20"/>
                  <w:color w:val="0000EE"/>
                  <w:w w:val="94"/>
                </w:rPr>
                <w:t>Certification by Chief Financial Officer Pursuant to 18 U.S.C. Section 1350, as Adopted Pursuant to Section 906 of the</w:t>
              </w:r>
            </w:hyperlink>
          </w:p>
        </w:tc>
      </w:tr>
      <w:tr>
        <w:trPr>
          <w:trHeight w:val="210"/>
        </w:trPr>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20" w:type="dxa"/>
            <w:vAlign w:val="bottom"/>
            <w:tcBorders>
              <w:top w:val="single" w:sz="8" w:color="0000EE"/>
            </w:tcBorders>
            <w:gridSpan w:val="5"/>
          </w:tcPr>
          <w:p>
            <w:pPr>
              <w:spacing w:after="0" w:line="209" w:lineRule="exact"/>
              <w:rPr>
                <w:rFonts w:ascii="Arial" w:cs="Arial" w:eastAsia="Arial" w:hAnsi="Arial"/>
                <w:sz w:val="20"/>
                <w:szCs w:val="20"/>
                <w:color w:val="0000EE"/>
              </w:rPr>
            </w:pPr>
            <w:hyperlink w:anchor="page37">
              <w:r>
                <w:rPr>
                  <w:rFonts w:ascii="Arial" w:cs="Arial" w:eastAsia="Arial" w:hAnsi="Arial"/>
                  <w:sz w:val="20"/>
                  <w:szCs w:val="20"/>
                  <w:color w:val="0000EE"/>
                </w:rPr>
                <w:t>Sarbanes-Oxley Act of 2002</w:t>
              </w:r>
            </w:hyperlink>
          </w:p>
        </w:tc>
        <w:tc>
          <w:tcPr>
            <w:tcW w:w="20" w:type="dxa"/>
            <w:vAlign w:val="bottom"/>
          </w:tcPr>
          <w:p>
            <w:pPr>
              <w:spacing w:after="0"/>
              <w:rPr>
                <w:sz w:val="18"/>
                <w:szCs w:val="18"/>
                <w:color w:val="auto"/>
              </w:rPr>
            </w:pPr>
          </w:p>
        </w:tc>
      </w:tr>
      <w:tr>
        <w:trPr>
          <w:trHeight w:val="20"/>
        </w:trPr>
        <w:tc>
          <w:tcPr>
            <w:tcW w:w="1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7580" w:type="dxa"/>
            <w:vAlign w:val="bottom"/>
            <w:gridSpan w:val="5"/>
          </w:tcPr>
          <w:p>
            <w:pPr>
              <w:spacing w:after="0" w:line="20" w:lineRule="exact"/>
              <w:rPr>
                <w:sz w:val="1"/>
                <w:szCs w:val="1"/>
                <w:color w:val="auto"/>
              </w:rPr>
            </w:pPr>
          </w:p>
        </w:tc>
      </w:tr>
      <w:tr>
        <w:trPr>
          <w:trHeight w:val="449"/>
        </w:trPr>
        <w:tc>
          <w:tcPr>
            <w:tcW w:w="1180" w:type="dxa"/>
            <w:vAlign w:val="bottom"/>
          </w:tcPr>
          <w:p>
            <w:pPr>
              <w:spacing w:after="0"/>
              <w:rPr>
                <w:sz w:val="20"/>
                <w:szCs w:val="20"/>
                <w:color w:val="auto"/>
              </w:rPr>
            </w:pPr>
            <w:r>
              <w:rPr>
                <w:rFonts w:ascii="Arial" w:cs="Arial" w:eastAsia="Arial" w:hAnsi="Arial"/>
                <w:sz w:val="20"/>
                <w:szCs w:val="20"/>
                <w:color w:val="auto"/>
              </w:rPr>
              <w:t>101*</w:t>
            </w:r>
          </w:p>
        </w:tc>
        <w:tc>
          <w:tcPr>
            <w:tcW w:w="400" w:type="dxa"/>
            <w:vAlign w:val="bottom"/>
          </w:tcPr>
          <w:p>
            <w:pPr>
              <w:spacing w:after="0"/>
              <w:rPr>
                <w:sz w:val="24"/>
                <w:szCs w:val="24"/>
                <w:color w:val="auto"/>
              </w:rPr>
            </w:pPr>
          </w:p>
        </w:tc>
        <w:tc>
          <w:tcPr>
            <w:tcW w:w="9840" w:type="dxa"/>
            <w:vAlign w:val="bottom"/>
            <w:gridSpan w:val="6"/>
          </w:tcPr>
          <w:p>
            <w:pPr>
              <w:spacing w:after="0"/>
              <w:rPr>
                <w:sz w:val="20"/>
                <w:szCs w:val="20"/>
                <w:color w:val="auto"/>
              </w:rPr>
            </w:pPr>
            <w:r>
              <w:rPr>
                <w:rFonts w:ascii="Arial" w:cs="Arial" w:eastAsia="Arial" w:hAnsi="Arial"/>
                <w:sz w:val="20"/>
                <w:szCs w:val="20"/>
                <w:color w:val="auto"/>
                <w:w w:val="93"/>
              </w:rPr>
              <w:t>The following financial information from Monster Beverage Corporation’s Quarterly Report on Form 10-Q for the quarter</w:t>
            </w:r>
          </w:p>
        </w:tc>
      </w:tr>
      <w:tr>
        <w:trPr>
          <w:trHeight w:val="230"/>
        </w:trPr>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40" w:type="dxa"/>
            <w:vAlign w:val="bottom"/>
            <w:gridSpan w:val="6"/>
          </w:tcPr>
          <w:p>
            <w:pPr>
              <w:spacing w:after="0"/>
              <w:rPr>
                <w:sz w:val="20"/>
                <w:szCs w:val="20"/>
                <w:color w:val="auto"/>
              </w:rPr>
            </w:pPr>
            <w:r>
              <w:rPr>
                <w:rFonts w:ascii="Arial" w:cs="Arial" w:eastAsia="Arial" w:hAnsi="Arial"/>
                <w:sz w:val="20"/>
                <w:szCs w:val="20"/>
                <w:color w:val="auto"/>
                <w:w w:val="92"/>
              </w:rPr>
              <w:t>ended September 30, 2017, formatted in XBRL (eXtensible Business Reporting Language): (i) Condensed Consolidated</w:t>
            </w:r>
          </w:p>
        </w:tc>
      </w:tr>
      <w:tr>
        <w:trPr>
          <w:trHeight w:val="250"/>
        </w:trPr>
        <w:tc>
          <w:tcPr>
            <w:tcW w:w="1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40" w:type="dxa"/>
            <w:vAlign w:val="bottom"/>
            <w:gridSpan w:val="6"/>
          </w:tcPr>
          <w:p>
            <w:pPr>
              <w:spacing w:after="0"/>
              <w:rPr>
                <w:sz w:val="20"/>
                <w:szCs w:val="20"/>
                <w:color w:val="auto"/>
              </w:rPr>
            </w:pPr>
            <w:r>
              <w:rPr>
                <w:rFonts w:ascii="Arial" w:cs="Arial" w:eastAsia="Arial" w:hAnsi="Arial"/>
                <w:sz w:val="20"/>
                <w:szCs w:val="20"/>
                <w:color w:val="auto"/>
                <w:w w:val="90"/>
              </w:rPr>
              <w:t>Balance Sheets as of September 30, 2017 and December 31, 2016, (ii) Condensed Consolidated Statements of Income for</w:t>
            </w:r>
          </w:p>
        </w:tc>
      </w:tr>
    </w:tbl>
    <w:p>
      <w:pPr>
        <w:sectPr>
          <w:pgSz w:w="11900" w:h="16888" w:orient="portrait"/>
          <w:cols w:equalWidth="0" w:num="1">
            <w:col w:w="11420"/>
          </w:cols>
          <w:pgMar w:left="240" w:top="115" w:right="239" w:bottom="0" w:gutter="0" w:footer="0" w:header="0"/>
        </w:sectPr>
      </w:pPr>
    </w:p>
    <w:bookmarkStart w:id="32" w:name="page33"/>
    <w:bookmarkEnd w:id="32"/>
    <w:p>
      <w:pPr>
        <w:jc w:val="both"/>
        <w:ind w:left="1580" w:right="40"/>
        <w:spacing w:after="0" w:line="247" w:lineRule="auto"/>
        <w:rPr>
          <w:sz w:val="20"/>
          <w:szCs w:val="20"/>
          <w:color w:val="auto"/>
        </w:rPr>
      </w:pPr>
      <w:r>
        <w:rPr>
          <w:rFonts w:ascii="Arial" w:cs="Arial" w:eastAsia="Arial" w:hAnsi="Arial"/>
          <w:sz w:val="20"/>
          <w:szCs w:val="20"/>
          <w:color w:val="auto"/>
        </w:rPr>
        <w:t>the three- and nine-months ended September 30, 2017 and 2016, (iii) Condensed Consolidated Statements of Comprehensive Income for the three- and nine-months ended September 30, 2017 and 2016, (iv) Condensed Consolidated Statements of Cash Flows for the nine-months ended September 30, 2017 and 2016, and (v) the Notes to Condensed Consolidated Financial Statements.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Filed herewith</w:t>
      </w: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SIGNATURES</w:t>
      </w:r>
    </w:p>
    <w:p>
      <w:pPr>
        <w:spacing w:after="0" w:line="235"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Arial" w:cs="Arial" w:eastAsia="Arial" w:hAnsi="Arial"/>
                <w:sz w:val="20"/>
                <w:szCs w:val="20"/>
                <w:color w:val="auto"/>
              </w:rPr>
              <w:t>MONSTER BEVERAGE CORPORATION</w:t>
            </w:r>
          </w:p>
        </w:tc>
      </w:tr>
      <w:tr>
        <w:trPr>
          <w:trHeight w:val="250"/>
        </w:trPr>
        <w:tc>
          <w:tcPr>
            <w:tcW w:w="38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5740" w:type="dxa"/>
            <w:vAlign w:val="bottom"/>
            <w:gridSpan w:val="2"/>
          </w:tcPr>
          <w:p>
            <w:pPr>
              <w:spacing w:after="0"/>
              <w:rPr>
                <w:sz w:val="20"/>
                <w:szCs w:val="20"/>
                <w:color w:val="auto"/>
              </w:rPr>
            </w:pPr>
            <w:r>
              <w:rPr>
                <w:rFonts w:ascii="Arial" w:cs="Arial" w:eastAsia="Arial" w:hAnsi="Arial"/>
                <w:sz w:val="20"/>
                <w:szCs w:val="20"/>
                <w:color w:val="auto"/>
              </w:rPr>
              <w:t>Registrant</w:t>
            </w:r>
          </w:p>
        </w:tc>
      </w:tr>
      <w:tr>
        <w:trPr>
          <w:trHeight w:val="644"/>
        </w:trPr>
        <w:tc>
          <w:tcPr>
            <w:tcW w:w="3800" w:type="dxa"/>
            <w:vAlign w:val="bottom"/>
          </w:tcPr>
          <w:p>
            <w:pPr>
              <w:spacing w:after="0"/>
              <w:rPr>
                <w:sz w:val="20"/>
                <w:szCs w:val="20"/>
                <w:color w:val="auto"/>
              </w:rPr>
            </w:pPr>
            <w:r>
              <w:rPr>
                <w:rFonts w:ascii="Arial" w:cs="Arial" w:eastAsia="Arial" w:hAnsi="Arial"/>
                <w:sz w:val="20"/>
                <w:szCs w:val="20"/>
                <w:color w:val="auto"/>
              </w:rPr>
              <w:t>Date: November 8, 2017</w:t>
            </w:r>
          </w:p>
        </w:tc>
        <w:tc>
          <w:tcPr>
            <w:tcW w:w="1920" w:type="dxa"/>
            <w:vAlign w:val="bottom"/>
          </w:tcPr>
          <w:p>
            <w:pPr>
              <w:spacing w:after="0"/>
              <w:rPr>
                <w:sz w:val="24"/>
                <w:szCs w:val="24"/>
                <w:color w:val="auto"/>
              </w:rPr>
            </w:pPr>
          </w:p>
        </w:tc>
        <w:tc>
          <w:tcPr>
            <w:tcW w:w="5740" w:type="dxa"/>
            <w:vAlign w:val="bottom"/>
            <w:gridSpan w:val="2"/>
          </w:tcPr>
          <w:p>
            <w:pPr>
              <w:spacing w:after="0"/>
              <w:rPr>
                <w:sz w:val="20"/>
                <w:szCs w:val="20"/>
                <w:color w:val="auto"/>
              </w:rPr>
            </w:pPr>
            <w:r>
              <w:rPr>
                <w:rFonts w:ascii="Arial" w:cs="Arial" w:eastAsia="Arial" w:hAnsi="Arial"/>
                <w:sz w:val="20"/>
                <w:szCs w:val="20"/>
                <w:color w:val="auto"/>
              </w:rPr>
              <w:t>/s/ RODNEY C. SACKS</w:t>
            </w:r>
          </w:p>
        </w:tc>
      </w:tr>
      <w:tr>
        <w:trPr>
          <w:trHeight w:val="233"/>
        </w:trPr>
        <w:tc>
          <w:tcPr>
            <w:tcW w:w="38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98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Rodney C. Sacks</w:t>
            </w:r>
          </w:p>
        </w:tc>
        <w:tc>
          <w:tcPr>
            <w:tcW w:w="3760" w:type="dxa"/>
            <w:vAlign w:val="bottom"/>
          </w:tcPr>
          <w:p>
            <w:pPr>
              <w:spacing w:after="0"/>
              <w:rPr>
                <w:sz w:val="20"/>
                <w:szCs w:val="20"/>
                <w:color w:val="auto"/>
              </w:rPr>
            </w:pPr>
          </w:p>
        </w:tc>
      </w:tr>
      <w:tr>
        <w:trPr>
          <w:trHeight w:val="230"/>
        </w:trPr>
        <w:tc>
          <w:tcPr>
            <w:tcW w:w="38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Arial" w:cs="Arial" w:eastAsia="Arial" w:hAnsi="Arial"/>
                <w:sz w:val="20"/>
                <w:szCs w:val="20"/>
                <w:color w:val="auto"/>
              </w:rPr>
              <w:t>Chairman of the Board of Directors</w:t>
            </w:r>
          </w:p>
        </w:tc>
      </w:tr>
      <w:tr>
        <w:trPr>
          <w:trHeight w:val="250"/>
        </w:trPr>
        <w:tc>
          <w:tcPr>
            <w:tcW w:w="38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5740" w:type="dxa"/>
            <w:vAlign w:val="bottom"/>
            <w:gridSpan w:val="2"/>
          </w:tcPr>
          <w:p>
            <w:pPr>
              <w:spacing w:after="0"/>
              <w:rPr>
                <w:sz w:val="20"/>
                <w:szCs w:val="20"/>
                <w:color w:val="auto"/>
              </w:rPr>
            </w:pPr>
            <w:r>
              <w:rPr>
                <w:rFonts w:ascii="Arial" w:cs="Arial" w:eastAsia="Arial" w:hAnsi="Arial"/>
                <w:sz w:val="20"/>
                <w:szCs w:val="20"/>
                <w:color w:val="auto"/>
              </w:rPr>
              <w:t>and Chief Executive Officer</w:t>
            </w:r>
          </w:p>
        </w:tc>
      </w:tr>
      <w:tr>
        <w:trPr>
          <w:trHeight w:val="428"/>
        </w:trPr>
        <w:tc>
          <w:tcPr>
            <w:tcW w:w="3800" w:type="dxa"/>
            <w:vAlign w:val="bottom"/>
          </w:tcPr>
          <w:p>
            <w:pPr>
              <w:spacing w:after="0"/>
              <w:rPr>
                <w:sz w:val="24"/>
                <w:szCs w:val="24"/>
                <w:color w:val="auto"/>
              </w:rPr>
            </w:pPr>
          </w:p>
        </w:tc>
        <w:tc>
          <w:tcPr>
            <w:tcW w:w="3900" w:type="dxa"/>
            <w:vAlign w:val="bottom"/>
            <w:gridSpan w:val="2"/>
          </w:tcPr>
          <w:p>
            <w:pPr>
              <w:jc w:val="right"/>
              <w:ind w:right="1801"/>
              <w:spacing w:after="0"/>
              <w:rPr>
                <w:sz w:val="20"/>
                <w:szCs w:val="20"/>
                <w:color w:val="auto"/>
              </w:rPr>
            </w:pPr>
            <w:r>
              <w:rPr>
                <w:rFonts w:ascii="Arial" w:cs="Arial" w:eastAsia="Arial" w:hAnsi="Arial"/>
                <w:sz w:val="18"/>
                <w:szCs w:val="18"/>
                <w:color w:val="auto"/>
              </w:rPr>
              <w:t>49</w:t>
            </w:r>
          </w:p>
        </w:tc>
        <w:tc>
          <w:tcPr>
            <w:tcW w:w="3760" w:type="dxa"/>
            <w:vAlign w:val="bottom"/>
          </w:tcPr>
          <w:p>
            <w:pPr>
              <w:spacing w:after="0"/>
              <w:rPr>
                <w:sz w:val="24"/>
                <w:szCs w:val="24"/>
                <w:color w:val="auto"/>
              </w:rPr>
            </w:pPr>
          </w:p>
        </w:tc>
      </w:tr>
      <w:tr>
        <w:trPr>
          <w:trHeight w:val="132"/>
        </w:trPr>
        <w:tc>
          <w:tcPr>
            <w:tcW w:w="3800" w:type="dxa"/>
            <w:vAlign w:val="bottom"/>
            <w:tcBorders>
              <w:bottom w:val="single" w:sz="8" w:color="808080"/>
            </w:tcBorders>
          </w:tcPr>
          <w:p>
            <w:pPr>
              <w:spacing w:after="0"/>
              <w:rPr>
                <w:sz w:val="11"/>
                <w:szCs w:val="11"/>
                <w:color w:val="auto"/>
              </w:rPr>
            </w:pPr>
          </w:p>
        </w:tc>
        <w:tc>
          <w:tcPr>
            <w:tcW w:w="1920" w:type="dxa"/>
            <w:vAlign w:val="bottom"/>
            <w:tcBorders>
              <w:bottom w:val="single" w:sz="8" w:color="808080"/>
            </w:tcBorders>
          </w:tcPr>
          <w:p>
            <w:pPr>
              <w:spacing w:after="0"/>
              <w:rPr>
                <w:sz w:val="11"/>
                <w:szCs w:val="11"/>
                <w:color w:val="auto"/>
              </w:rPr>
            </w:pPr>
          </w:p>
        </w:tc>
        <w:tc>
          <w:tcPr>
            <w:tcW w:w="1980" w:type="dxa"/>
            <w:vAlign w:val="bottom"/>
            <w:tcBorders>
              <w:bottom w:val="single" w:sz="8" w:color="808080"/>
            </w:tcBorders>
          </w:tcPr>
          <w:p>
            <w:pPr>
              <w:spacing w:after="0"/>
              <w:rPr>
                <w:sz w:val="11"/>
                <w:szCs w:val="11"/>
                <w:color w:val="auto"/>
              </w:rPr>
            </w:pPr>
          </w:p>
        </w:tc>
        <w:tc>
          <w:tcPr>
            <w:tcW w:w="37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3" w:name="page34"/>
    <w:bookmarkEnd w:id="33"/>
    <w:p>
      <w:pPr>
        <w:jc w:val="right"/>
        <w:ind w:right="40"/>
        <w:spacing w:after="0"/>
        <w:rPr>
          <w:sz w:val="20"/>
          <w:szCs w:val="20"/>
          <w:color w:val="auto"/>
        </w:rPr>
      </w:pPr>
      <w:r>
        <w:rPr>
          <w:rFonts w:ascii="Arial" w:cs="Arial" w:eastAsia="Arial" w:hAnsi="Arial"/>
          <w:sz w:val="22"/>
          <w:szCs w:val="22"/>
          <w:b w:val="1"/>
          <w:bCs w:val="1"/>
          <w:color w:val="auto"/>
        </w:rPr>
        <w:t>EXHIBIT 31.1</w:t>
      </w:r>
    </w:p>
    <w:p>
      <w:pPr>
        <w:spacing w:after="0" w:line="231" w:lineRule="exact"/>
        <w:rPr>
          <w:sz w:val="20"/>
          <w:szCs w:val="20"/>
          <w:color w:val="auto"/>
        </w:rPr>
      </w:pPr>
    </w:p>
    <w:p>
      <w:pPr>
        <w:jc w:val="center"/>
        <w:ind w:right="40"/>
        <w:spacing w:after="0" w:line="250" w:lineRule="auto"/>
        <w:rPr>
          <w:sz w:val="20"/>
          <w:szCs w:val="20"/>
          <w:color w:val="auto"/>
        </w:rPr>
      </w:pPr>
      <w:r>
        <w:rPr>
          <w:rFonts w:ascii="Arial" w:cs="Arial" w:eastAsia="Arial" w:hAnsi="Arial"/>
          <w:sz w:val="20"/>
          <w:szCs w:val="20"/>
          <w:color w:val="auto"/>
        </w:rPr>
        <w:t>CERTIFICATION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I, Rodney Sacks, certify that:</w:t>
      </w:r>
    </w:p>
    <w:p>
      <w:pPr>
        <w:spacing w:after="0" w:line="229" w:lineRule="exact"/>
        <w:rPr>
          <w:sz w:val="20"/>
          <w:szCs w:val="20"/>
          <w:color w:val="auto"/>
        </w:rPr>
      </w:pPr>
    </w:p>
    <w:p>
      <w:pPr>
        <w:ind w:left="320" w:hanging="312"/>
        <w:spacing w:after="0"/>
        <w:tabs>
          <w:tab w:leader="none" w:pos="320" w:val="left"/>
        </w:tabs>
        <w:numPr>
          <w:ilvl w:val="0"/>
          <w:numId w:val="29"/>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Monster Beverage Corporation;</w:t>
      </w:r>
    </w:p>
    <w:p>
      <w:pPr>
        <w:spacing w:after="0" w:line="229" w:lineRule="exact"/>
        <w:rPr>
          <w:rFonts w:ascii="Arial" w:cs="Arial" w:eastAsia="Arial" w:hAnsi="Arial"/>
          <w:sz w:val="20"/>
          <w:szCs w:val="20"/>
          <w:color w:val="auto"/>
        </w:rPr>
      </w:pPr>
    </w:p>
    <w:p>
      <w:pPr>
        <w:jc w:val="both"/>
        <w:ind w:left="340" w:right="40" w:hanging="332"/>
        <w:spacing w:after="0" w:line="250" w:lineRule="auto"/>
        <w:tabs>
          <w:tab w:leader="none" w:pos="434" w:val="left"/>
        </w:tabs>
        <w:numPr>
          <w:ilvl w:val="0"/>
          <w:numId w:val="29"/>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left="340" w:right="60" w:hanging="332"/>
        <w:spacing w:after="0" w:line="316" w:lineRule="auto"/>
        <w:tabs>
          <w:tab w:leader="none" w:pos="529"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340" w:right="40" w:hanging="332"/>
        <w:spacing w:after="0" w:line="250" w:lineRule="auto"/>
        <w:tabs>
          <w:tab w:leader="none" w:pos="502"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1620" w:right="40" w:hanging="315"/>
        <w:spacing w:after="0" w:line="291" w:lineRule="auto"/>
        <w:tabs>
          <w:tab w:leader="none" w:pos="1663"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jc w:val="both"/>
        <w:ind w:left="1620" w:right="40" w:hanging="315"/>
        <w:spacing w:after="0" w:line="291" w:lineRule="auto"/>
        <w:tabs>
          <w:tab w:leader="none" w:pos="1863"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8"/>
          <w:szCs w:val="18"/>
          <w:color w:val="auto"/>
        </w:rPr>
      </w:pPr>
    </w:p>
    <w:p>
      <w:pPr>
        <w:jc w:val="both"/>
        <w:ind w:left="1620" w:right="40" w:hanging="315"/>
        <w:spacing w:after="0" w:line="250" w:lineRule="auto"/>
        <w:tabs>
          <w:tab w:leader="none" w:pos="2027" w:val="left"/>
        </w:tabs>
        <w:numPr>
          <w:ilvl w:val="1"/>
          <w:numId w:val="29"/>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1620" w:right="40" w:hanging="315"/>
        <w:spacing w:after="0" w:line="291" w:lineRule="auto"/>
        <w:tabs>
          <w:tab w:leader="none" w:pos="1809"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8"/>
          <w:szCs w:val="18"/>
          <w:color w:val="auto"/>
        </w:rPr>
      </w:pPr>
    </w:p>
    <w:p>
      <w:pPr>
        <w:jc w:val="both"/>
        <w:ind w:left="340" w:right="40" w:hanging="332"/>
        <w:spacing w:after="0" w:line="250" w:lineRule="auto"/>
        <w:tabs>
          <w:tab w:leader="none" w:pos="542"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99" w:lineRule="exact"/>
        <w:rPr>
          <w:rFonts w:ascii="Arial" w:cs="Arial" w:eastAsia="Arial" w:hAnsi="Arial"/>
          <w:sz w:val="20"/>
          <w:szCs w:val="20"/>
          <w:color w:val="auto"/>
        </w:rPr>
      </w:pPr>
    </w:p>
    <w:p>
      <w:pPr>
        <w:jc w:val="both"/>
        <w:ind w:left="1620" w:right="40" w:hanging="315"/>
        <w:spacing w:after="0" w:line="250" w:lineRule="auto"/>
        <w:tabs>
          <w:tab w:leader="none" w:pos="1717" w:val="left"/>
        </w:tabs>
        <w:numPr>
          <w:ilvl w:val="1"/>
          <w:numId w:val="29"/>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1620" w:right="40" w:hanging="315"/>
        <w:spacing w:after="0" w:line="260" w:lineRule="auto"/>
        <w:tabs>
          <w:tab w:leader="none" w:pos="1863" w:val="left"/>
        </w:tabs>
        <w:numPr>
          <w:ilvl w:val="1"/>
          <w:numId w:val="29"/>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20" w:type="dxa"/>
            <w:vAlign w:val="bottom"/>
          </w:tcPr>
          <w:p>
            <w:pPr>
              <w:spacing w:after="0"/>
              <w:rPr>
                <w:sz w:val="20"/>
                <w:szCs w:val="20"/>
                <w:color w:val="auto"/>
              </w:rPr>
            </w:pPr>
            <w:r>
              <w:rPr>
                <w:rFonts w:ascii="Arial" w:cs="Arial" w:eastAsia="Arial" w:hAnsi="Arial"/>
                <w:sz w:val="20"/>
                <w:szCs w:val="20"/>
                <w:color w:val="auto"/>
              </w:rPr>
              <w:t>Date:</w:t>
            </w:r>
          </w:p>
        </w:tc>
        <w:tc>
          <w:tcPr>
            <w:tcW w:w="4980" w:type="dxa"/>
            <w:vAlign w:val="bottom"/>
          </w:tcPr>
          <w:p>
            <w:pPr>
              <w:ind w:left="400"/>
              <w:spacing w:after="0"/>
              <w:rPr>
                <w:sz w:val="20"/>
                <w:szCs w:val="20"/>
                <w:color w:val="auto"/>
              </w:rPr>
            </w:pPr>
            <w:r>
              <w:rPr>
                <w:rFonts w:ascii="Arial" w:cs="Arial" w:eastAsia="Arial" w:hAnsi="Arial"/>
                <w:sz w:val="20"/>
                <w:szCs w:val="20"/>
                <w:color w:val="auto"/>
              </w:rPr>
              <w:t>November 8, 2017</w:t>
            </w:r>
          </w:p>
        </w:tc>
        <w:tc>
          <w:tcPr>
            <w:tcW w:w="562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/s/Rodney C. Sacks</w:t>
            </w:r>
          </w:p>
        </w:tc>
        <w:tc>
          <w:tcPr>
            <w:tcW w:w="40" w:type="dxa"/>
            <w:vAlign w:val="bottom"/>
          </w:tcPr>
          <w:p>
            <w:pPr>
              <w:spacing w:after="0"/>
              <w:rPr>
                <w:sz w:val="21"/>
                <w:szCs w:val="21"/>
                <w:color w:val="auto"/>
              </w:rPr>
            </w:pPr>
          </w:p>
        </w:tc>
      </w:tr>
      <w:tr>
        <w:trPr>
          <w:trHeight w:val="206"/>
        </w:trPr>
        <w:tc>
          <w:tcPr>
            <w:tcW w:w="82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5620" w:type="dxa"/>
            <w:vAlign w:val="bottom"/>
          </w:tcPr>
          <w:p>
            <w:pPr>
              <w:ind w:left="60"/>
              <w:spacing w:after="0" w:line="207" w:lineRule="exact"/>
              <w:rPr>
                <w:sz w:val="20"/>
                <w:szCs w:val="20"/>
                <w:color w:val="auto"/>
              </w:rPr>
            </w:pPr>
            <w:r>
              <w:rPr>
                <w:rFonts w:ascii="Arial" w:cs="Arial" w:eastAsia="Arial" w:hAnsi="Arial"/>
                <w:sz w:val="20"/>
                <w:szCs w:val="20"/>
                <w:color w:val="auto"/>
              </w:rPr>
              <w:t>Rodney C. Sacks</w:t>
            </w:r>
          </w:p>
        </w:tc>
        <w:tc>
          <w:tcPr>
            <w:tcW w:w="40" w:type="dxa"/>
            <w:vAlign w:val="bottom"/>
          </w:tcPr>
          <w:p>
            <w:pPr>
              <w:spacing w:after="0"/>
              <w:rPr>
                <w:sz w:val="17"/>
                <w:szCs w:val="17"/>
                <w:color w:val="auto"/>
              </w:rPr>
            </w:pPr>
          </w:p>
        </w:tc>
      </w:tr>
      <w:tr>
        <w:trPr>
          <w:trHeight w:val="230"/>
        </w:trPr>
        <w:tc>
          <w:tcPr>
            <w:tcW w:w="8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5620" w:type="dxa"/>
            <w:vAlign w:val="bottom"/>
          </w:tcPr>
          <w:p>
            <w:pPr>
              <w:ind w:left="60"/>
              <w:spacing w:after="0"/>
              <w:rPr>
                <w:sz w:val="20"/>
                <w:szCs w:val="20"/>
                <w:color w:val="auto"/>
              </w:rPr>
            </w:pPr>
            <w:r>
              <w:rPr>
                <w:rFonts w:ascii="Arial" w:cs="Arial" w:eastAsia="Arial" w:hAnsi="Arial"/>
                <w:sz w:val="20"/>
                <w:szCs w:val="20"/>
                <w:color w:val="auto"/>
              </w:rPr>
              <w:t>Chairman of the Board of Directors</w:t>
            </w:r>
          </w:p>
        </w:tc>
        <w:tc>
          <w:tcPr>
            <w:tcW w:w="40" w:type="dxa"/>
            <w:vAlign w:val="bottom"/>
          </w:tcPr>
          <w:p>
            <w:pPr>
              <w:spacing w:after="0"/>
              <w:rPr>
                <w:sz w:val="19"/>
                <w:szCs w:val="19"/>
                <w:color w:val="auto"/>
              </w:rPr>
            </w:pPr>
          </w:p>
        </w:tc>
      </w:tr>
      <w:tr>
        <w:trPr>
          <w:trHeight w:val="250"/>
        </w:trPr>
        <w:tc>
          <w:tcPr>
            <w:tcW w:w="820" w:type="dxa"/>
            <w:vAlign w:val="bottom"/>
          </w:tcPr>
          <w:p>
            <w:pPr>
              <w:spacing w:after="0"/>
              <w:rPr>
                <w:sz w:val="21"/>
                <w:szCs w:val="21"/>
                <w:color w:val="auto"/>
              </w:rPr>
            </w:pPr>
          </w:p>
        </w:tc>
        <w:tc>
          <w:tcPr>
            <w:tcW w:w="4980" w:type="dxa"/>
            <w:vAlign w:val="bottom"/>
          </w:tcPr>
          <w:p>
            <w:pPr>
              <w:spacing w:after="0"/>
              <w:rPr>
                <w:sz w:val="21"/>
                <w:szCs w:val="21"/>
                <w:color w:val="auto"/>
              </w:rPr>
            </w:pPr>
          </w:p>
        </w:tc>
        <w:tc>
          <w:tcPr>
            <w:tcW w:w="5620" w:type="dxa"/>
            <w:vAlign w:val="bottom"/>
          </w:tcPr>
          <w:p>
            <w:pPr>
              <w:ind w:left="60"/>
              <w:spacing w:after="0"/>
              <w:rPr>
                <w:sz w:val="20"/>
                <w:szCs w:val="20"/>
                <w:color w:val="auto"/>
              </w:rPr>
            </w:pPr>
            <w:r>
              <w:rPr>
                <w:rFonts w:ascii="Arial" w:cs="Arial" w:eastAsia="Arial" w:hAnsi="Arial"/>
                <w:sz w:val="20"/>
                <w:szCs w:val="20"/>
                <w:color w:val="auto"/>
              </w:rPr>
              <w:t>and Chief Executive Officer</w:t>
            </w:r>
          </w:p>
        </w:tc>
        <w:tc>
          <w:tcPr>
            <w:tcW w:w="40" w:type="dxa"/>
            <w:vAlign w:val="bottom"/>
          </w:tcPr>
          <w:p>
            <w:pPr>
              <w:spacing w:after="0"/>
              <w:rPr>
                <w:sz w:val="21"/>
                <w:szCs w:val="21"/>
                <w:color w:val="auto"/>
              </w:rPr>
            </w:pPr>
          </w:p>
        </w:tc>
      </w:tr>
      <w:tr>
        <w:trPr>
          <w:trHeight w:val="357"/>
        </w:trPr>
        <w:tc>
          <w:tcPr>
            <w:tcW w:w="820" w:type="dxa"/>
            <w:vAlign w:val="bottom"/>
            <w:tcBorders>
              <w:bottom w:val="single" w:sz="8" w:color="808080"/>
            </w:tcBorders>
          </w:tcPr>
          <w:p>
            <w:pPr>
              <w:spacing w:after="0"/>
              <w:rPr>
                <w:sz w:val="24"/>
                <w:szCs w:val="24"/>
                <w:color w:val="auto"/>
              </w:rPr>
            </w:pPr>
          </w:p>
        </w:tc>
        <w:tc>
          <w:tcPr>
            <w:tcW w:w="4980" w:type="dxa"/>
            <w:vAlign w:val="bottom"/>
            <w:tcBorders>
              <w:bottom w:val="single" w:sz="8" w:color="808080"/>
            </w:tcBorders>
          </w:tcPr>
          <w:p>
            <w:pPr>
              <w:spacing w:after="0"/>
              <w:rPr>
                <w:sz w:val="24"/>
                <w:szCs w:val="24"/>
                <w:color w:val="auto"/>
              </w:rPr>
            </w:pPr>
          </w:p>
        </w:tc>
        <w:tc>
          <w:tcPr>
            <w:tcW w:w="56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1" w:right="199" w:bottom="1440" w:gutter="0" w:footer="0" w:header="0"/>
        </w:sectPr>
      </w:pPr>
    </w:p>
    <w:bookmarkStart w:id="34" w:name="page35"/>
    <w:bookmarkEnd w:id="34"/>
    <w:p>
      <w:pPr>
        <w:jc w:val="right"/>
        <w:ind w:right="40"/>
        <w:spacing w:after="0"/>
        <w:rPr>
          <w:sz w:val="20"/>
          <w:szCs w:val="20"/>
          <w:color w:val="auto"/>
        </w:rPr>
      </w:pPr>
      <w:r>
        <w:rPr>
          <w:rFonts w:ascii="Arial" w:cs="Arial" w:eastAsia="Arial" w:hAnsi="Arial"/>
          <w:sz w:val="22"/>
          <w:szCs w:val="22"/>
          <w:b w:val="1"/>
          <w:bCs w:val="1"/>
          <w:color w:val="auto"/>
        </w:rPr>
        <w:t>EXHIBIT 31.2</w:t>
      </w:r>
    </w:p>
    <w:p>
      <w:pPr>
        <w:spacing w:after="0" w:line="231" w:lineRule="exact"/>
        <w:rPr>
          <w:sz w:val="20"/>
          <w:szCs w:val="20"/>
          <w:color w:val="auto"/>
        </w:rPr>
      </w:pPr>
    </w:p>
    <w:p>
      <w:pPr>
        <w:jc w:val="center"/>
        <w:ind w:right="40"/>
        <w:spacing w:after="0" w:line="250" w:lineRule="auto"/>
        <w:rPr>
          <w:sz w:val="20"/>
          <w:szCs w:val="20"/>
          <w:color w:val="auto"/>
        </w:rPr>
      </w:pPr>
      <w:r>
        <w:rPr>
          <w:rFonts w:ascii="Arial" w:cs="Arial" w:eastAsia="Arial" w:hAnsi="Arial"/>
          <w:sz w:val="20"/>
          <w:szCs w:val="20"/>
          <w:color w:val="auto"/>
        </w:rPr>
        <w:t>CERTIFICATION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I, Hilton Schlosberg, certify that:</w:t>
      </w:r>
    </w:p>
    <w:p>
      <w:pPr>
        <w:spacing w:after="0" w:line="229" w:lineRule="exact"/>
        <w:rPr>
          <w:sz w:val="20"/>
          <w:szCs w:val="20"/>
          <w:color w:val="auto"/>
        </w:rPr>
      </w:pPr>
    </w:p>
    <w:p>
      <w:pPr>
        <w:ind w:left="320" w:hanging="312"/>
        <w:spacing w:after="0"/>
        <w:tabs>
          <w:tab w:leader="none" w:pos="320" w:val="left"/>
        </w:tabs>
        <w:numPr>
          <w:ilvl w:val="0"/>
          <w:numId w:val="30"/>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Monster Beverage Corporation;</w:t>
      </w:r>
    </w:p>
    <w:p>
      <w:pPr>
        <w:spacing w:after="0" w:line="229" w:lineRule="exact"/>
        <w:rPr>
          <w:rFonts w:ascii="Arial" w:cs="Arial" w:eastAsia="Arial" w:hAnsi="Arial"/>
          <w:sz w:val="20"/>
          <w:szCs w:val="20"/>
          <w:color w:val="auto"/>
        </w:rPr>
      </w:pPr>
    </w:p>
    <w:p>
      <w:pPr>
        <w:jc w:val="both"/>
        <w:ind w:left="340" w:right="40" w:hanging="332"/>
        <w:spacing w:after="0" w:line="250" w:lineRule="auto"/>
        <w:tabs>
          <w:tab w:leader="none" w:pos="434" w:val="left"/>
        </w:tabs>
        <w:numPr>
          <w:ilvl w:val="0"/>
          <w:numId w:val="30"/>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left="340" w:right="60" w:hanging="332"/>
        <w:spacing w:after="0" w:line="316" w:lineRule="auto"/>
        <w:tabs>
          <w:tab w:leader="none" w:pos="529"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340" w:right="40" w:hanging="332"/>
        <w:spacing w:after="0" w:line="250" w:lineRule="auto"/>
        <w:tabs>
          <w:tab w:leader="none" w:pos="502"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1620" w:right="40" w:hanging="315"/>
        <w:spacing w:after="0" w:line="291" w:lineRule="auto"/>
        <w:tabs>
          <w:tab w:leader="none" w:pos="1663"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jc w:val="both"/>
        <w:ind w:left="1620" w:right="40" w:hanging="315"/>
        <w:spacing w:after="0" w:line="291" w:lineRule="auto"/>
        <w:tabs>
          <w:tab w:leader="none" w:pos="1863"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8"/>
          <w:szCs w:val="18"/>
          <w:color w:val="auto"/>
        </w:rPr>
      </w:pPr>
    </w:p>
    <w:p>
      <w:pPr>
        <w:jc w:val="both"/>
        <w:ind w:left="1620" w:right="40" w:hanging="315"/>
        <w:spacing w:after="0" w:line="250" w:lineRule="auto"/>
        <w:tabs>
          <w:tab w:leader="none" w:pos="2027" w:val="left"/>
        </w:tabs>
        <w:numPr>
          <w:ilvl w:val="1"/>
          <w:numId w:val="30"/>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1620" w:right="40" w:hanging="315"/>
        <w:spacing w:after="0" w:line="291" w:lineRule="auto"/>
        <w:tabs>
          <w:tab w:leader="none" w:pos="1809"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8"/>
          <w:szCs w:val="18"/>
          <w:color w:val="auto"/>
        </w:rPr>
      </w:pPr>
    </w:p>
    <w:p>
      <w:pPr>
        <w:jc w:val="both"/>
        <w:ind w:left="340" w:right="40" w:hanging="332"/>
        <w:spacing w:after="0" w:line="250" w:lineRule="auto"/>
        <w:tabs>
          <w:tab w:leader="none" w:pos="542"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99" w:lineRule="exact"/>
        <w:rPr>
          <w:rFonts w:ascii="Arial" w:cs="Arial" w:eastAsia="Arial" w:hAnsi="Arial"/>
          <w:sz w:val="20"/>
          <w:szCs w:val="20"/>
          <w:color w:val="auto"/>
        </w:rPr>
      </w:pPr>
    </w:p>
    <w:p>
      <w:pPr>
        <w:jc w:val="both"/>
        <w:ind w:left="1620" w:right="40" w:hanging="315"/>
        <w:spacing w:after="0" w:line="250" w:lineRule="auto"/>
        <w:tabs>
          <w:tab w:leader="none" w:pos="1717" w:val="left"/>
        </w:tabs>
        <w:numPr>
          <w:ilvl w:val="1"/>
          <w:numId w:val="30"/>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1620" w:right="40" w:hanging="315"/>
        <w:spacing w:after="0" w:line="260" w:lineRule="auto"/>
        <w:tabs>
          <w:tab w:leader="none" w:pos="1863" w:val="left"/>
        </w:tabs>
        <w:numPr>
          <w:ilvl w:val="1"/>
          <w:numId w:val="30"/>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40" w:type="dxa"/>
            <w:vAlign w:val="bottom"/>
          </w:tcPr>
          <w:p>
            <w:pPr>
              <w:spacing w:after="0"/>
              <w:rPr>
                <w:sz w:val="20"/>
                <w:szCs w:val="20"/>
                <w:color w:val="auto"/>
              </w:rPr>
            </w:pPr>
            <w:r>
              <w:rPr>
                <w:rFonts w:ascii="Arial" w:cs="Arial" w:eastAsia="Arial" w:hAnsi="Arial"/>
                <w:sz w:val="20"/>
                <w:szCs w:val="20"/>
                <w:color w:val="auto"/>
              </w:rPr>
              <w:t>Date:</w:t>
            </w:r>
          </w:p>
        </w:tc>
        <w:tc>
          <w:tcPr>
            <w:tcW w:w="4940" w:type="dxa"/>
            <w:vAlign w:val="bottom"/>
          </w:tcPr>
          <w:p>
            <w:pPr>
              <w:ind w:left="420"/>
              <w:spacing w:after="0"/>
              <w:rPr>
                <w:sz w:val="20"/>
                <w:szCs w:val="20"/>
                <w:color w:val="auto"/>
              </w:rPr>
            </w:pPr>
            <w:r>
              <w:rPr>
                <w:rFonts w:ascii="Arial" w:cs="Arial" w:eastAsia="Arial" w:hAnsi="Arial"/>
                <w:sz w:val="20"/>
                <w:szCs w:val="20"/>
                <w:color w:val="auto"/>
              </w:rPr>
              <w:t>November 8, 2017</w:t>
            </w:r>
          </w:p>
        </w:tc>
        <w:tc>
          <w:tcPr>
            <w:tcW w:w="564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/s/ Hilton H. Schlosberg</w:t>
            </w:r>
          </w:p>
        </w:tc>
        <w:tc>
          <w:tcPr>
            <w:tcW w:w="40" w:type="dxa"/>
            <w:vAlign w:val="bottom"/>
          </w:tcPr>
          <w:p>
            <w:pPr>
              <w:spacing w:after="0"/>
              <w:rPr>
                <w:sz w:val="21"/>
                <w:szCs w:val="21"/>
                <w:color w:val="auto"/>
              </w:rPr>
            </w:pPr>
          </w:p>
        </w:tc>
      </w:tr>
      <w:tr>
        <w:trPr>
          <w:trHeight w:val="206"/>
        </w:trPr>
        <w:tc>
          <w:tcPr>
            <w:tcW w:w="84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5640" w:type="dxa"/>
            <w:vAlign w:val="bottom"/>
          </w:tcPr>
          <w:p>
            <w:pPr>
              <w:ind w:left="80"/>
              <w:spacing w:after="0" w:line="207" w:lineRule="exact"/>
              <w:rPr>
                <w:sz w:val="20"/>
                <w:szCs w:val="20"/>
                <w:color w:val="auto"/>
              </w:rPr>
            </w:pPr>
            <w:r>
              <w:rPr>
                <w:rFonts w:ascii="Arial" w:cs="Arial" w:eastAsia="Arial" w:hAnsi="Arial"/>
                <w:sz w:val="20"/>
                <w:szCs w:val="20"/>
                <w:color w:val="auto"/>
              </w:rPr>
              <w:t>Hilton H. Schlosberg</w:t>
            </w:r>
          </w:p>
        </w:tc>
        <w:tc>
          <w:tcPr>
            <w:tcW w:w="40" w:type="dxa"/>
            <w:vAlign w:val="bottom"/>
          </w:tcPr>
          <w:p>
            <w:pPr>
              <w:spacing w:after="0"/>
              <w:rPr>
                <w:sz w:val="17"/>
                <w:szCs w:val="17"/>
                <w:color w:val="auto"/>
              </w:rPr>
            </w:pPr>
          </w:p>
        </w:tc>
      </w:tr>
      <w:tr>
        <w:trPr>
          <w:trHeight w:val="230"/>
        </w:trPr>
        <w:tc>
          <w:tcPr>
            <w:tcW w:w="84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5640" w:type="dxa"/>
            <w:vAlign w:val="bottom"/>
          </w:tcPr>
          <w:p>
            <w:pPr>
              <w:ind w:left="80"/>
              <w:spacing w:after="0"/>
              <w:rPr>
                <w:sz w:val="20"/>
                <w:szCs w:val="20"/>
                <w:color w:val="auto"/>
              </w:rPr>
            </w:pPr>
            <w:r>
              <w:rPr>
                <w:rFonts w:ascii="Arial" w:cs="Arial" w:eastAsia="Arial" w:hAnsi="Arial"/>
                <w:sz w:val="20"/>
                <w:szCs w:val="20"/>
                <w:color w:val="auto"/>
              </w:rPr>
              <w:t>Vice Chairman of the Board of Directors,</w:t>
            </w:r>
          </w:p>
        </w:tc>
        <w:tc>
          <w:tcPr>
            <w:tcW w:w="40" w:type="dxa"/>
            <w:vAlign w:val="bottom"/>
          </w:tcPr>
          <w:p>
            <w:pPr>
              <w:spacing w:after="0"/>
              <w:rPr>
                <w:sz w:val="19"/>
                <w:szCs w:val="19"/>
                <w:color w:val="auto"/>
              </w:rPr>
            </w:pPr>
          </w:p>
        </w:tc>
      </w:tr>
      <w:tr>
        <w:trPr>
          <w:trHeight w:val="230"/>
        </w:trPr>
        <w:tc>
          <w:tcPr>
            <w:tcW w:w="84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5640" w:type="dxa"/>
            <w:vAlign w:val="bottom"/>
          </w:tcPr>
          <w:p>
            <w:pPr>
              <w:ind w:left="80"/>
              <w:spacing w:after="0"/>
              <w:rPr>
                <w:sz w:val="20"/>
                <w:szCs w:val="20"/>
                <w:color w:val="auto"/>
              </w:rPr>
            </w:pPr>
            <w:r>
              <w:rPr>
                <w:rFonts w:ascii="Arial" w:cs="Arial" w:eastAsia="Arial" w:hAnsi="Arial"/>
                <w:sz w:val="20"/>
                <w:szCs w:val="20"/>
                <w:color w:val="auto"/>
              </w:rPr>
              <w:t>President, Chief Operating Officer, Chief</w:t>
            </w:r>
          </w:p>
        </w:tc>
        <w:tc>
          <w:tcPr>
            <w:tcW w:w="40" w:type="dxa"/>
            <w:vAlign w:val="bottom"/>
          </w:tcPr>
          <w:p>
            <w:pPr>
              <w:spacing w:after="0"/>
              <w:rPr>
                <w:sz w:val="19"/>
                <w:szCs w:val="19"/>
                <w:color w:val="auto"/>
              </w:rPr>
            </w:pPr>
          </w:p>
        </w:tc>
      </w:tr>
      <w:tr>
        <w:trPr>
          <w:trHeight w:val="250"/>
        </w:trPr>
        <w:tc>
          <w:tcPr>
            <w:tcW w:w="840" w:type="dxa"/>
            <w:vAlign w:val="bottom"/>
          </w:tcPr>
          <w:p>
            <w:pPr>
              <w:spacing w:after="0"/>
              <w:rPr>
                <w:sz w:val="21"/>
                <w:szCs w:val="21"/>
                <w:color w:val="auto"/>
              </w:rPr>
            </w:pPr>
          </w:p>
        </w:tc>
        <w:tc>
          <w:tcPr>
            <w:tcW w:w="4940" w:type="dxa"/>
            <w:vAlign w:val="bottom"/>
          </w:tcPr>
          <w:p>
            <w:pPr>
              <w:spacing w:after="0"/>
              <w:rPr>
                <w:sz w:val="21"/>
                <w:szCs w:val="21"/>
                <w:color w:val="auto"/>
              </w:rPr>
            </w:pPr>
          </w:p>
        </w:tc>
        <w:tc>
          <w:tcPr>
            <w:tcW w:w="5640" w:type="dxa"/>
            <w:vAlign w:val="bottom"/>
          </w:tcPr>
          <w:p>
            <w:pPr>
              <w:ind w:left="80"/>
              <w:spacing w:after="0"/>
              <w:rPr>
                <w:sz w:val="20"/>
                <w:szCs w:val="20"/>
                <w:color w:val="auto"/>
              </w:rPr>
            </w:pPr>
            <w:r>
              <w:rPr>
                <w:rFonts w:ascii="Arial" w:cs="Arial" w:eastAsia="Arial" w:hAnsi="Arial"/>
                <w:sz w:val="20"/>
                <w:szCs w:val="20"/>
                <w:color w:val="auto"/>
              </w:rPr>
              <w:t>Financial Officer and Secretary</w:t>
            </w:r>
          </w:p>
        </w:tc>
        <w:tc>
          <w:tcPr>
            <w:tcW w:w="40" w:type="dxa"/>
            <w:vAlign w:val="bottom"/>
          </w:tcPr>
          <w:p>
            <w:pPr>
              <w:spacing w:after="0"/>
              <w:rPr>
                <w:sz w:val="21"/>
                <w:szCs w:val="21"/>
                <w:color w:val="auto"/>
              </w:rPr>
            </w:pPr>
          </w:p>
        </w:tc>
      </w:tr>
      <w:tr>
        <w:trPr>
          <w:trHeight w:val="357"/>
        </w:trPr>
        <w:tc>
          <w:tcPr>
            <w:tcW w:w="840" w:type="dxa"/>
            <w:vAlign w:val="bottom"/>
            <w:tcBorders>
              <w:bottom w:val="single" w:sz="8" w:color="808080"/>
            </w:tcBorders>
          </w:tcPr>
          <w:p>
            <w:pPr>
              <w:spacing w:after="0"/>
              <w:rPr>
                <w:sz w:val="24"/>
                <w:szCs w:val="24"/>
                <w:color w:val="auto"/>
              </w:rPr>
            </w:pPr>
          </w:p>
        </w:tc>
        <w:tc>
          <w:tcPr>
            <w:tcW w:w="4940" w:type="dxa"/>
            <w:vAlign w:val="bottom"/>
            <w:tcBorders>
              <w:bottom w:val="single" w:sz="8" w:color="808080"/>
            </w:tcBorders>
          </w:tcPr>
          <w:p>
            <w:pPr>
              <w:spacing w:after="0"/>
              <w:rPr>
                <w:sz w:val="24"/>
                <w:szCs w:val="24"/>
                <w:color w:val="auto"/>
              </w:rPr>
            </w:pPr>
          </w:p>
        </w:tc>
        <w:tc>
          <w:tcPr>
            <w:tcW w:w="56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2" w:right="199" w:bottom="1440" w:gutter="0" w:footer="0" w:header="0"/>
        </w:sectPr>
      </w:pPr>
    </w:p>
    <w:bookmarkStart w:id="35" w:name="page36"/>
    <w:bookmarkEnd w:id="35"/>
    <w:p>
      <w:pPr>
        <w:jc w:val="right"/>
        <w:ind w:right="40"/>
        <w:spacing w:after="0"/>
        <w:rPr>
          <w:sz w:val="20"/>
          <w:szCs w:val="20"/>
          <w:color w:val="auto"/>
        </w:rPr>
      </w:pPr>
      <w:r>
        <w:rPr>
          <w:rFonts w:ascii="Arial" w:cs="Arial" w:eastAsia="Arial" w:hAnsi="Arial"/>
          <w:sz w:val="22"/>
          <w:szCs w:val="22"/>
          <w:b w:val="1"/>
          <w:bCs w:val="1"/>
          <w:color w:val="auto"/>
        </w:rPr>
        <w:t>EXHIBIT 32.1</w:t>
      </w: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CERTIFICATION PURSUANT TO</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18 U.S.C. SECTION 1350,</w:t>
      </w:r>
    </w:p>
    <w:p>
      <w:pPr>
        <w:jc w:val="center"/>
        <w:ind w:right="40"/>
        <w:spacing w:after="0"/>
        <w:rPr>
          <w:sz w:val="20"/>
          <w:szCs w:val="20"/>
          <w:color w:val="auto"/>
        </w:rPr>
      </w:pPr>
      <w:r>
        <w:rPr>
          <w:rFonts w:ascii="Arial" w:cs="Arial" w:eastAsia="Arial" w:hAnsi="Arial"/>
          <w:sz w:val="20"/>
          <w:szCs w:val="20"/>
          <w:color w:val="auto"/>
        </w:rPr>
        <w:t>AS ADOPTED PURSUANT TO</w:t>
      </w:r>
    </w:p>
    <w:p>
      <w:pPr>
        <w:jc w:val="center"/>
        <w:ind w:right="40"/>
        <w:spacing w:after="0"/>
        <w:rPr>
          <w:sz w:val="20"/>
          <w:szCs w:val="20"/>
          <w:color w:val="auto"/>
        </w:rPr>
      </w:pPr>
      <w:r>
        <w:rPr>
          <w:rFonts w:ascii="Arial" w:cs="Arial" w:eastAsia="Arial" w:hAnsi="Arial"/>
          <w:sz w:val="20"/>
          <w:szCs w:val="20"/>
          <w:color w:val="auto"/>
        </w:rPr>
        <w:t>SECTION 906 OF THE SARBANES-OXLEY ACT OF 2002</w:t>
      </w:r>
    </w:p>
    <w:p>
      <w:pPr>
        <w:spacing w:after="0" w:line="213" w:lineRule="exact"/>
        <w:rPr>
          <w:sz w:val="20"/>
          <w:szCs w:val="20"/>
          <w:color w:val="auto"/>
        </w:rPr>
      </w:pPr>
    </w:p>
    <w:p>
      <w:pPr>
        <w:jc w:val="both"/>
        <w:ind w:right="40"/>
        <w:spacing w:after="0" w:line="246" w:lineRule="auto"/>
        <w:rPr>
          <w:sz w:val="20"/>
          <w:szCs w:val="20"/>
          <w:color w:val="auto"/>
        </w:rPr>
      </w:pPr>
      <w:r>
        <w:rPr>
          <w:rFonts w:ascii="Arial" w:cs="Arial" w:eastAsia="Arial" w:hAnsi="Arial"/>
          <w:sz w:val="20"/>
          <w:szCs w:val="20"/>
          <w:color w:val="auto"/>
        </w:rPr>
        <w:t>In connection with the quarterly report of Monster Beverage Corporation (the “Company”) on Form 10-Q for the quarter ended September 30, 2017 as filed with the Securities and Exchange Commission (the “Report”), the undersigned, Rodney C. Sacks, Chairman of the Board of Directors and Chief Executive Officer of the Company, certifies, pursuant to 18 U.S.C. 1350, as adopted pursuant to Section 906 of the Sarbanes-Oxley Act of 2002, that:</w:t>
      </w:r>
    </w:p>
    <w:p>
      <w:pPr>
        <w:spacing w:after="0" w:line="205" w:lineRule="exact"/>
        <w:rPr>
          <w:sz w:val="20"/>
          <w:szCs w:val="20"/>
          <w:color w:val="auto"/>
        </w:rPr>
      </w:pPr>
    </w:p>
    <w:p>
      <w:pPr>
        <w:ind w:left="960" w:hanging="304"/>
        <w:spacing w:after="0"/>
        <w:tabs>
          <w:tab w:leader="none" w:pos="9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29" w:lineRule="exact"/>
        <w:rPr>
          <w:rFonts w:ascii="Arial" w:cs="Arial" w:eastAsia="Arial" w:hAnsi="Arial"/>
          <w:sz w:val="20"/>
          <w:szCs w:val="20"/>
          <w:color w:val="auto"/>
        </w:rPr>
      </w:pPr>
    </w:p>
    <w:p>
      <w:pPr>
        <w:ind w:left="980" w:right="40" w:hanging="324"/>
        <w:spacing w:after="0" w:line="260" w:lineRule="auto"/>
        <w:tabs>
          <w:tab w:leader="none" w:pos="1007"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80" w:type="dxa"/>
            <w:vAlign w:val="bottom"/>
          </w:tcPr>
          <w:p>
            <w:pPr>
              <w:spacing w:after="0"/>
              <w:rPr>
                <w:sz w:val="20"/>
                <w:szCs w:val="20"/>
                <w:color w:val="auto"/>
              </w:rPr>
            </w:pPr>
            <w:r>
              <w:rPr>
                <w:rFonts w:ascii="Arial" w:cs="Arial" w:eastAsia="Arial" w:hAnsi="Arial"/>
                <w:sz w:val="20"/>
                <w:szCs w:val="20"/>
                <w:color w:val="auto"/>
              </w:rPr>
              <w:t>Date:</w:t>
            </w:r>
          </w:p>
        </w:tc>
        <w:tc>
          <w:tcPr>
            <w:tcW w:w="5040" w:type="dxa"/>
            <w:vAlign w:val="bottom"/>
          </w:tcPr>
          <w:p>
            <w:pPr>
              <w:ind w:left="340"/>
              <w:spacing w:after="0"/>
              <w:rPr>
                <w:sz w:val="20"/>
                <w:szCs w:val="20"/>
                <w:color w:val="auto"/>
              </w:rPr>
            </w:pPr>
            <w:r>
              <w:rPr>
                <w:rFonts w:ascii="Arial" w:cs="Arial" w:eastAsia="Arial" w:hAnsi="Arial"/>
                <w:sz w:val="20"/>
                <w:szCs w:val="20"/>
                <w:color w:val="auto"/>
              </w:rPr>
              <w:t>November 8, 2017</w:t>
            </w:r>
          </w:p>
        </w:tc>
        <w:tc>
          <w:tcPr>
            <w:tcW w:w="560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/s/ Rodney C. Sacks</w:t>
            </w:r>
          </w:p>
        </w:tc>
        <w:tc>
          <w:tcPr>
            <w:tcW w:w="40" w:type="dxa"/>
            <w:vAlign w:val="bottom"/>
          </w:tcPr>
          <w:p>
            <w:pPr>
              <w:spacing w:after="0"/>
              <w:rPr>
                <w:sz w:val="21"/>
                <w:szCs w:val="21"/>
                <w:color w:val="auto"/>
              </w:rPr>
            </w:pPr>
          </w:p>
        </w:tc>
      </w:tr>
      <w:tr>
        <w:trPr>
          <w:trHeight w:val="206"/>
        </w:trPr>
        <w:tc>
          <w:tcPr>
            <w:tcW w:w="78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5600" w:type="dxa"/>
            <w:vAlign w:val="bottom"/>
          </w:tcPr>
          <w:p>
            <w:pPr>
              <w:ind w:left="60"/>
              <w:spacing w:after="0" w:line="207" w:lineRule="exact"/>
              <w:rPr>
                <w:sz w:val="20"/>
                <w:szCs w:val="20"/>
                <w:color w:val="auto"/>
              </w:rPr>
            </w:pPr>
            <w:r>
              <w:rPr>
                <w:rFonts w:ascii="Arial" w:cs="Arial" w:eastAsia="Arial" w:hAnsi="Arial"/>
                <w:sz w:val="20"/>
                <w:szCs w:val="20"/>
                <w:color w:val="auto"/>
              </w:rPr>
              <w:t>Rodney C. Sacks</w:t>
            </w:r>
          </w:p>
        </w:tc>
        <w:tc>
          <w:tcPr>
            <w:tcW w:w="40" w:type="dxa"/>
            <w:vAlign w:val="bottom"/>
          </w:tcPr>
          <w:p>
            <w:pPr>
              <w:spacing w:after="0"/>
              <w:rPr>
                <w:sz w:val="17"/>
                <w:szCs w:val="17"/>
                <w:color w:val="auto"/>
              </w:rPr>
            </w:pPr>
          </w:p>
        </w:tc>
      </w:tr>
      <w:tr>
        <w:trPr>
          <w:trHeight w:val="230"/>
        </w:trPr>
        <w:tc>
          <w:tcPr>
            <w:tcW w:w="78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5600" w:type="dxa"/>
            <w:vAlign w:val="bottom"/>
          </w:tcPr>
          <w:p>
            <w:pPr>
              <w:ind w:left="60"/>
              <w:spacing w:after="0"/>
              <w:rPr>
                <w:sz w:val="20"/>
                <w:szCs w:val="20"/>
                <w:color w:val="auto"/>
              </w:rPr>
            </w:pPr>
            <w:r>
              <w:rPr>
                <w:rFonts w:ascii="Arial" w:cs="Arial" w:eastAsia="Arial" w:hAnsi="Arial"/>
                <w:sz w:val="20"/>
                <w:szCs w:val="20"/>
                <w:color w:val="auto"/>
              </w:rPr>
              <w:t>Chairman of the Board of Directors</w:t>
            </w:r>
          </w:p>
        </w:tc>
        <w:tc>
          <w:tcPr>
            <w:tcW w:w="40" w:type="dxa"/>
            <w:vAlign w:val="bottom"/>
          </w:tcPr>
          <w:p>
            <w:pPr>
              <w:spacing w:after="0"/>
              <w:rPr>
                <w:sz w:val="19"/>
                <w:szCs w:val="19"/>
                <w:color w:val="auto"/>
              </w:rPr>
            </w:pPr>
          </w:p>
        </w:tc>
      </w:tr>
      <w:tr>
        <w:trPr>
          <w:trHeight w:val="250"/>
        </w:trPr>
        <w:tc>
          <w:tcPr>
            <w:tcW w:w="780" w:type="dxa"/>
            <w:vAlign w:val="bottom"/>
          </w:tcPr>
          <w:p>
            <w:pPr>
              <w:spacing w:after="0"/>
              <w:rPr>
                <w:sz w:val="21"/>
                <w:szCs w:val="21"/>
                <w:color w:val="auto"/>
              </w:rPr>
            </w:pPr>
          </w:p>
        </w:tc>
        <w:tc>
          <w:tcPr>
            <w:tcW w:w="5040" w:type="dxa"/>
            <w:vAlign w:val="bottom"/>
          </w:tcPr>
          <w:p>
            <w:pPr>
              <w:spacing w:after="0"/>
              <w:rPr>
                <w:sz w:val="21"/>
                <w:szCs w:val="21"/>
                <w:color w:val="auto"/>
              </w:rPr>
            </w:pPr>
          </w:p>
        </w:tc>
        <w:tc>
          <w:tcPr>
            <w:tcW w:w="5600" w:type="dxa"/>
            <w:vAlign w:val="bottom"/>
          </w:tcPr>
          <w:p>
            <w:pPr>
              <w:ind w:left="60"/>
              <w:spacing w:after="0"/>
              <w:rPr>
                <w:sz w:val="20"/>
                <w:szCs w:val="20"/>
                <w:color w:val="auto"/>
              </w:rPr>
            </w:pPr>
            <w:r>
              <w:rPr>
                <w:rFonts w:ascii="Arial" w:cs="Arial" w:eastAsia="Arial" w:hAnsi="Arial"/>
                <w:sz w:val="20"/>
                <w:szCs w:val="20"/>
                <w:color w:val="auto"/>
              </w:rPr>
              <w:t>and Chief Executive Officer</w:t>
            </w:r>
          </w:p>
        </w:tc>
        <w:tc>
          <w:tcPr>
            <w:tcW w:w="40" w:type="dxa"/>
            <w:vAlign w:val="bottom"/>
          </w:tcPr>
          <w:p>
            <w:pPr>
              <w:spacing w:after="0"/>
              <w:rPr>
                <w:sz w:val="21"/>
                <w:szCs w:val="21"/>
                <w:color w:val="auto"/>
              </w:rPr>
            </w:pPr>
          </w:p>
        </w:tc>
      </w:tr>
      <w:tr>
        <w:trPr>
          <w:trHeight w:val="357"/>
        </w:trPr>
        <w:tc>
          <w:tcPr>
            <w:tcW w:w="780" w:type="dxa"/>
            <w:vAlign w:val="bottom"/>
            <w:tcBorders>
              <w:bottom w:val="single" w:sz="8" w:color="808080"/>
            </w:tcBorders>
          </w:tcPr>
          <w:p>
            <w:pPr>
              <w:spacing w:after="0"/>
              <w:rPr>
                <w:sz w:val="24"/>
                <w:szCs w:val="24"/>
                <w:color w:val="auto"/>
              </w:rPr>
            </w:pPr>
          </w:p>
        </w:tc>
        <w:tc>
          <w:tcPr>
            <w:tcW w:w="5040" w:type="dxa"/>
            <w:vAlign w:val="bottom"/>
            <w:tcBorders>
              <w:bottom w:val="single" w:sz="8" w:color="808080"/>
            </w:tcBorders>
          </w:tcPr>
          <w:p>
            <w:pPr>
              <w:spacing w:after="0"/>
              <w:rPr>
                <w:sz w:val="24"/>
                <w:szCs w:val="24"/>
                <w:color w:val="auto"/>
              </w:rPr>
            </w:pPr>
          </w:p>
        </w:tc>
        <w:tc>
          <w:tcPr>
            <w:tcW w:w="56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1" w:right="199" w:bottom="1440" w:gutter="0" w:footer="0" w:header="0"/>
        </w:sectPr>
      </w:pPr>
    </w:p>
    <w:bookmarkStart w:id="36" w:name="page37"/>
    <w:bookmarkEnd w:id="36"/>
    <w:p>
      <w:pPr>
        <w:jc w:val="right"/>
        <w:ind w:right="40"/>
        <w:spacing w:after="0"/>
        <w:rPr>
          <w:sz w:val="20"/>
          <w:szCs w:val="20"/>
          <w:color w:val="auto"/>
        </w:rPr>
      </w:pPr>
      <w:r>
        <w:rPr>
          <w:rFonts w:ascii="Arial" w:cs="Arial" w:eastAsia="Arial" w:hAnsi="Arial"/>
          <w:sz w:val="22"/>
          <w:szCs w:val="22"/>
          <w:b w:val="1"/>
          <w:bCs w:val="1"/>
          <w:color w:val="auto"/>
        </w:rPr>
        <w:t>EXHIBIT 32.2</w:t>
      </w: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CERTIFICATION PURSUANT TO</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18 U.S.C. SECTION 1350,</w:t>
      </w:r>
    </w:p>
    <w:p>
      <w:pPr>
        <w:jc w:val="center"/>
        <w:ind w:right="40"/>
        <w:spacing w:after="0"/>
        <w:rPr>
          <w:sz w:val="20"/>
          <w:szCs w:val="20"/>
          <w:color w:val="auto"/>
        </w:rPr>
      </w:pPr>
      <w:r>
        <w:rPr>
          <w:rFonts w:ascii="Arial" w:cs="Arial" w:eastAsia="Arial" w:hAnsi="Arial"/>
          <w:sz w:val="20"/>
          <w:szCs w:val="20"/>
          <w:color w:val="auto"/>
        </w:rPr>
        <w:t>AS ADOPTED PURSUANT TO</w:t>
      </w:r>
    </w:p>
    <w:p>
      <w:pPr>
        <w:jc w:val="center"/>
        <w:ind w:right="40"/>
        <w:spacing w:after="0"/>
        <w:rPr>
          <w:sz w:val="20"/>
          <w:szCs w:val="20"/>
          <w:color w:val="auto"/>
        </w:rPr>
      </w:pPr>
      <w:r>
        <w:rPr>
          <w:rFonts w:ascii="Arial" w:cs="Arial" w:eastAsia="Arial" w:hAnsi="Arial"/>
          <w:sz w:val="20"/>
          <w:szCs w:val="20"/>
          <w:color w:val="auto"/>
        </w:rPr>
        <w:t>SECTION 906 OF THE SARBANES-OXLEY ACT OF 2002</w:t>
      </w:r>
    </w:p>
    <w:p>
      <w:pPr>
        <w:spacing w:after="0" w:line="213" w:lineRule="exact"/>
        <w:rPr>
          <w:sz w:val="20"/>
          <w:szCs w:val="20"/>
          <w:color w:val="auto"/>
        </w:rPr>
      </w:pPr>
    </w:p>
    <w:p>
      <w:pPr>
        <w:jc w:val="both"/>
        <w:ind w:right="40"/>
        <w:spacing w:after="0" w:line="246" w:lineRule="auto"/>
        <w:rPr>
          <w:sz w:val="20"/>
          <w:szCs w:val="20"/>
          <w:color w:val="auto"/>
        </w:rPr>
      </w:pPr>
      <w:r>
        <w:rPr>
          <w:rFonts w:ascii="Arial" w:cs="Arial" w:eastAsia="Arial" w:hAnsi="Arial"/>
          <w:sz w:val="20"/>
          <w:szCs w:val="20"/>
          <w:color w:val="auto"/>
        </w:rPr>
        <w:t>In connection with the quarterly report of Monster Beverage Corporation (the “Company”) on Form 10-Q for the quarter ended September 30, 2017 as filed with the Securities and Exchange Commission (the “Report”), the undersigned, Hilton H. Schlosberg, Vice Chairman of the Board of Directors, President, Chief Operating Officer, Chief Financial Officer and Secretary of the Company, certifies, pursuant to 18 U.S.C. 1350, as adopted pursuant to Section 906 of the Sarbanes-Oxley Act of 2002, that:</w:t>
      </w:r>
    </w:p>
    <w:p>
      <w:pPr>
        <w:spacing w:after="0" w:line="205" w:lineRule="exact"/>
        <w:rPr>
          <w:sz w:val="20"/>
          <w:szCs w:val="20"/>
          <w:color w:val="auto"/>
        </w:rPr>
      </w:pPr>
    </w:p>
    <w:p>
      <w:pPr>
        <w:ind w:left="960" w:hanging="304"/>
        <w:spacing w:after="0"/>
        <w:tabs>
          <w:tab w:leader="none" w:pos="9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29" w:lineRule="exact"/>
        <w:rPr>
          <w:rFonts w:ascii="Arial" w:cs="Arial" w:eastAsia="Arial" w:hAnsi="Arial"/>
          <w:sz w:val="20"/>
          <w:szCs w:val="20"/>
          <w:color w:val="auto"/>
        </w:rPr>
      </w:pPr>
    </w:p>
    <w:p>
      <w:pPr>
        <w:ind w:left="980" w:right="40" w:hanging="324"/>
        <w:spacing w:after="0" w:line="260" w:lineRule="auto"/>
        <w:tabs>
          <w:tab w:leader="none" w:pos="1007"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20" w:type="dxa"/>
            <w:vAlign w:val="bottom"/>
          </w:tcPr>
          <w:p>
            <w:pPr>
              <w:spacing w:after="0"/>
              <w:rPr>
                <w:sz w:val="20"/>
                <w:szCs w:val="20"/>
                <w:color w:val="auto"/>
              </w:rPr>
            </w:pPr>
            <w:r>
              <w:rPr>
                <w:rFonts w:ascii="Arial" w:cs="Arial" w:eastAsia="Arial" w:hAnsi="Arial"/>
                <w:sz w:val="20"/>
                <w:szCs w:val="20"/>
                <w:color w:val="auto"/>
              </w:rPr>
              <w:t>Date:</w:t>
            </w:r>
          </w:p>
        </w:tc>
        <w:tc>
          <w:tcPr>
            <w:tcW w:w="4920" w:type="dxa"/>
            <w:vAlign w:val="bottom"/>
          </w:tcPr>
          <w:p>
            <w:pPr>
              <w:ind w:left="400"/>
              <w:spacing w:after="0"/>
              <w:rPr>
                <w:sz w:val="20"/>
                <w:szCs w:val="20"/>
                <w:color w:val="auto"/>
              </w:rPr>
            </w:pPr>
            <w:r>
              <w:rPr>
                <w:rFonts w:ascii="Arial" w:cs="Arial" w:eastAsia="Arial" w:hAnsi="Arial"/>
                <w:sz w:val="20"/>
                <w:szCs w:val="20"/>
                <w:color w:val="auto"/>
              </w:rPr>
              <w:t>November 8, 2017</w:t>
            </w:r>
          </w:p>
        </w:tc>
        <w:tc>
          <w:tcPr>
            <w:tcW w:w="568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/s/ Hilton H. Schlosberg</w:t>
            </w:r>
          </w:p>
        </w:tc>
        <w:tc>
          <w:tcPr>
            <w:tcW w:w="40" w:type="dxa"/>
            <w:vAlign w:val="bottom"/>
          </w:tcPr>
          <w:p>
            <w:pPr>
              <w:spacing w:after="0"/>
              <w:rPr>
                <w:sz w:val="21"/>
                <w:szCs w:val="21"/>
                <w:color w:val="auto"/>
              </w:rPr>
            </w:pPr>
          </w:p>
        </w:tc>
      </w:tr>
      <w:tr>
        <w:trPr>
          <w:trHeight w:val="206"/>
        </w:trPr>
        <w:tc>
          <w:tcPr>
            <w:tcW w:w="82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5680" w:type="dxa"/>
            <w:vAlign w:val="bottom"/>
          </w:tcPr>
          <w:p>
            <w:pPr>
              <w:ind w:left="80"/>
              <w:spacing w:after="0" w:line="207" w:lineRule="exact"/>
              <w:rPr>
                <w:sz w:val="20"/>
                <w:szCs w:val="20"/>
                <w:color w:val="auto"/>
              </w:rPr>
            </w:pPr>
            <w:r>
              <w:rPr>
                <w:rFonts w:ascii="Arial" w:cs="Arial" w:eastAsia="Arial" w:hAnsi="Arial"/>
                <w:sz w:val="20"/>
                <w:szCs w:val="20"/>
                <w:color w:val="auto"/>
              </w:rPr>
              <w:t>Hilton H. Schlosberg</w:t>
            </w:r>
          </w:p>
        </w:tc>
        <w:tc>
          <w:tcPr>
            <w:tcW w:w="40" w:type="dxa"/>
            <w:vAlign w:val="bottom"/>
          </w:tcPr>
          <w:p>
            <w:pPr>
              <w:spacing w:after="0"/>
              <w:rPr>
                <w:sz w:val="17"/>
                <w:szCs w:val="17"/>
                <w:color w:val="auto"/>
              </w:rPr>
            </w:pPr>
          </w:p>
        </w:tc>
      </w:tr>
      <w:tr>
        <w:trPr>
          <w:trHeight w:val="230"/>
        </w:trPr>
        <w:tc>
          <w:tcPr>
            <w:tcW w:w="8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5680" w:type="dxa"/>
            <w:vAlign w:val="bottom"/>
          </w:tcPr>
          <w:p>
            <w:pPr>
              <w:ind w:left="80"/>
              <w:spacing w:after="0"/>
              <w:rPr>
                <w:sz w:val="20"/>
                <w:szCs w:val="20"/>
                <w:color w:val="auto"/>
              </w:rPr>
            </w:pPr>
            <w:r>
              <w:rPr>
                <w:rFonts w:ascii="Arial" w:cs="Arial" w:eastAsia="Arial" w:hAnsi="Arial"/>
                <w:sz w:val="20"/>
                <w:szCs w:val="20"/>
                <w:color w:val="auto"/>
              </w:rPr>
              <w:t>Vice Chairman of the Board of Directors,</w:t>
            </w:r>
          </w:p>
        </w:tc>
        <w:tc>
          <w:tcPr>
            <w:tcW w:w="40" w:type="dxa"/>
            <w:vAlign w:val="bottom"/>
          </w:tcPr>
          <w:p>
            <w:pPr>
              <w:spacing w:after="0"/>
              <w:rPr>
                <w:sz w:val="19"/>
                <w:szCs w:val="19"/>
                <w:color w:val="auto"/>
              </w:rPr>
            </w:pPr>
          </w:p>
        </w:tc>
      </w:tr>
      <w:tr>
        <w:trPr>
          <w:trHeight w:val="230"/>
        </w:trPr>
        <w:tc>
          <w:tcPr>
            <w:tcW w:w="8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5680" w:type="dxa"/>
            <w:vAlign w:val="bottom"/>
          </w:tcPr>
          <w:p>
            <w:pPr>
              <w:ind w:left="80"/>
              <w:spacing w:after="0"/>
              <w:rPr>
                <w:sz w:val="20"/>
                <w:szCs w:val="20"/>
                <w:color w:val="auto"/>
              </w:rPr>
            </w:pPr>
            <w:r>
              <w:rPr>
                <w:rFonts w:ascii="Arial" w:cs="Arial" w:eastAsia="Arial" w:hAnsi="Arial"/>
                <w:sz w:val="20"/>
                <w:szCs w:val="20"/>
                <w:color w:val="auto"/>
              </w:rPr>
              <w:t>President, Chief Operating Officer, Chief</w:t>
            </w:r>
          </w:p>
        </w:tc>
        <w:tc>
          <w:tcPr>
            <w:tcW w:w="40" w:type="dxa"/>
            <w:vAlign w:val="bottom"/>
          </w:tcPr>
          <w:p>
            <w:pPr>
              <w:spacing w:after="0"/>
              <w:rPr>
                <w:sz w:val="19"/>
                <w:szCs w:val="19"/>
                <w:color w:val="auto"/>
              </w:rPr>
            </w:pPr>
          </w:p>
        </w:tc>
      </w:tr>
      <w:tr>
        <w:trPr>
          <w:trHeight w:val="250"/>
        </w:trPr>
        <w:tc>
          <w:tcPr>
            <w:tcW w:w="82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5680" w:type="dxa"/>
            <w:vAlign w:val="bottom"/>
          </w:tcPr>
          <w:p>
            <w:pPr>
              <w:ind w:left="80"/>
              <w:spacing w:after="0"/>
              <w:rPr>
                <w:sz w:val="20"/>
                <w:szCs w:val="20"/>
                <w:color w:val="auto"/>
              </w:rPr>
            </w:pPr>
            <w:r>
              <w:rPr>
                <w:rFonts w:ascii="Arial" w:cs="Arial" w:eastAsia="Arial" w:hAnsi="Arial"/>
                <w:sz w:val="20"/>
                <w:szCs w:val="20"/>
                <w:color w:val="auto"/>
              </w:rPr>
              <w:t>Financial Officer and Secretary</w:t>
            </w:r>
          </w:p>
        </w:tc>
        <w:tc>
          <w:tcPr>
            <w:tcW w:w="40" w:type="dxa"/>
            <w:vAlign w:val="bottom"/>
          </w:tcPr>
          <w:p>
            <w:pPr>
              <w:spacing w:after="0"/>
              <w:rPr>
                <w:sz w:val="21"/>
                <w:szCs w:val="21"/>
                <w:color w:val="auto"/>
              </w:rPr>
            </w:pPr>
          </w:p>
        </w:tc>
      </w:tr>
      <w:tr>
        <w:trPr>
          <w:trHeight w:val="357"/>
        </w:trPr>
        <w:tc>
          <w:tcPr>
            <w:tcW w:w="820" w:type="dxa"/>
            <w:vAlign w:val="bottom"/>
            <w:tcBorders>
              <w:bottom w:val="single" w:sz="8" w:color="808080"/>
            </w:tcBorders>
          </w:tcPr>
          <w:p>
            <w:pPr>
              <w:spacing w:after="0"/>
              <w:rPr>
                <w:sz w:val="24"/>
                <w:szCs w:val="24"/>
                <w:color w:val="auto"/>
              </w:rPr>
            </w:pPr>
          </w:p>
        </w:tc>
        <w:tc>
          <w:tcPr>
            <w:tcW w:w="4920" w:type="dxa"/>
            <w:vAlign w:val="bottom"/>
            <w:tcBorders>
              <w:bottom w:val="single" w:sz="8" w:color="808080"/>
            </w:tcBorders>
          </w:tcPr>
          <w:p>
            <w:pPr>
              <w:spacing w:after="0"/>
              <w:rPr>
                <w:sz w:val="24"/>
                <w:szCs w:val="24"/>
                <w:color w:val="auto"/>
              </w:rPr>
            </w:pPr>
          </w:p>
        </w:tc>
        <w:tc>
          <w:tcPr>
            <w:tcW w:w="56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1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decimal"/>
      <w:start w:val="1"/>
    </w:lvl>
  </w:abstractNum>
  <w:abstractNum w:abstractNumId="1">
    <w:nsid w:val="25E45D32"/>
    <w:multiLevelType w:val="hybridMultilevel"/>
    <w:lvl w:ilvl="0">
      <w:lvlJc w:val="left"/>
      <w:lvlText w:val="%1."/>
      <w:numFmt w:val="decimal"/>
      <w:start w:val="2"/>
    </w:lvl>
  </w:abstractNum>
  <w:abstractNum w:abstractNumId="2">
    <w:nsid w:val="519B500D"/>
    <w:multiLevelType w:val="hybridMultilevel"/>
    <w:lvl w:ilvl="0">
      <w:lvlJc w:val="left"/>
      <w:lvlText w:val="%1."/>
      <w:numFmt w:val="decimal"/>
      <w:start w:val="3"/>
    </w:lvl>
  </w:abstractNum>
  <w:abstractNum w:abstractNumId="3">
    <w:nsid w:val="431BD7B7"/>
    <w:multiLevelType w:val="hybridMultilevel"/>
    <w:lvl w:ilvl="0">
      <w:lvlJc w:val="left"/>
      <w:lvlText w:val="%1."/>
      <w:numFmt w:val="decimal"/>
      <w:start w:val="4"/>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1."/>
      <w:numFmt w:val="decimal"/>
      <w:start w:val="5"/>
    </w:lvl>
  </w:abstractNum>
  <w:abstractNum w:abstractNumId="6">
    <w:nsid w:val="257130A3"/>
    <w:multiLevelType w:val="hybridMultilevel"/>
    <w:lvl w:ilvl="0">
      <w:lvlJc w:val="left"/>
      <w:lvlText w:val="%1."/>
      <w:numFmt w:val="decimal"/>
      <w:start w:val="6"/>
    </w:lvl>
  </w:abstractNum>
  <w:abstractNum w:abstractNumId="7">
    <w:nsid w:val="62BBD95A"/>
    <w:multiLevelType w:val="hybridMultilevel"/>
    <w:lvl w:ilvl="0">
      <w:lvlJc w:val="left"/>
      <w:lvlText w:val="%1."/>
      <w:numFmt w:val="decimal"/>
      <w:start w:val="7"/>
    </w:lvl>
  </w:abstractNum>
  <w:abstractNum w:abstractNumId="8">
    <w:nsid w:val="436C6125"/>
    <w:multiLevelType w:val="hybridMultilevel"/>
    <w:lvl w:ilvl="0">
      <w:lvlJc w:val="left"/>
      <w:lvlText w:val="%1."/>
      <w:numFmt w:val="decimal"/>
      <w:start w:val="8"/>
    </w:lvl>
  </w:abstractNum>
  <w:abstractNum w:abstractNumId="9">
    <w:nsid w:val="628C895D"/>
    <w:multiLevelType w:val="hybridMultilevel"/>
    <w:lvl w:ilvl="0">
      <w:lvlJc w:val="left"/>
      <w:lvlText w:val="%1."/>
      <w:numFmt w:val="decimal"/>
      <w:start w:val="9"/>
    </w:lvl>
  </w:abstractNum>
  <w:abstractNum w:abstractNumId="10">
    <w:nsid w:val="333AB105"/>
    <w:multiLevelType w:val="hybridMultilevel"/>
    <w:lvl w:ilvl="0">
      <w:lvlJc w:val="left"/>
      <w:lvlText w:val="%1."/>
      <w:numFmt w:val="decimal"/>
      <w:start w:val="10"/>
    </w:lvl>
  </w:abstractNum>
  <w:abstractNum w:abstractNumId="11">
    <w:nsid w:val="721DA317"/>
    <w:multiLevelType w:val="hybridMultilevel"/>
    <w:lvl w:ilvl="0">
      <w:lvlJc w:val="left"/>
      <w:lvlText w:val="%1."/>
      <w:numFmt w:val="decimal"/>
      <w:start w:val="11"/>
    </w:lvl>
  </w:abstractNum>
  <w:abstractNum w:abstractNumId="12">
    <w:nsid w:val="2443A858"/>
    <w:multiLevelType w:val="hybridMultilevel"/>
    <w:lvl w:ilvl="0">
      <w:lvlJc w:val="left"/>
      <w:lvlText w:val="%1."/>
      <w:numFmt w:val="decimal"/>
      <w:start w:val="12"/>
    </w:lvl>
  </w:abstractNum>
  <w:abstractNum w:abstractNumId="13">
    <w:nsid w:val="2D1D5AE9"/>
    <w:multiLevelType w:val="hybridMultilevel"/>
    <w:lvl w:ilvl="0">
      <w:lvlJc w:val="left"/>
      <w:lvlText w:val="%1."/>
      <w:numFmt w:val="decimal"/>
      <w:start w:val="13"/>
    </w:lvl>
  </w:abstractNum>
  <w:abstractNum w:abstractNumId="14">
    <w:nsid w:val="6763845E"/>
    <w:multiLevelType w:val="hybridMultilevel"/>
    <w:lvl w:ilvl="0">
      <w:lvlJc w:val="left"/>
      <w:lvlText w:val="%1."/>
      <w:numFmt w:val="decimal"/>
      <w:start w:val="14"/>
    </w:lvl>
  </w:abstractNum>
  <w:abstractNum w:abstractNumId="15">
    <w:nsid w:val="75A2A8D4"/>
    <w:multiLevelType w:val="hybridMultilevel"/>
    <w:lvl w:ilvl="0">
      <w:lvlJc w:val="left"/>
      <w:lvlText w:val="%1."/>
      <w:numFmt w:val="decimal"/>
      <w:start w:val="15"/>
    </w:lvl>
  </w:abstractNum>
  <w:abstractNum w:abstractNumId="16">
    <w:nsid w:val="8EDBDAB"/>
    <w:multiLevelType w:val="hybridMultilevel"/>
    <w:lvl w:ilvl="0">
      <w:lvlJc w:val="left"/>
      <w:lvlText w:val="%1."/>
      <w:numFmt w:val="decimal"/>
      <w:start w:val="16"/>
    </w:lvl>
  </w:abstractNum>
  <w:abstractNum w:abstractNumId="17">
    <w:nsid w:val="79838CB2"/>
    <w:multiLevelType w:val="hybridMultilevel"/>
    <w:lvl w:ilvl="0">
      <w:lvlJc w:val="left"/>
      <w:lvlText w:val="(%1)"/>
      <w:numFmt w:val="decimal"/>
      <w:start w:val="1"/>
    </w:lvl>
  </w:abstractNum>
  <w:abstractNum w:abstractNumId="18">
    <w:nsid w:val="4353D0CD"/>
    <w:multiLevelType w:val="hybridMultilevel"/>
    <w:lvl w:ilvl="0">
      <w:lvlJc w:val="left"/>
      <w:lvlText w:val="%1."/>
      <w:numFmt w:val="decimal"/>
      <w:start w:val="17"/>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1)"/>
      <w:numFmt w:val="lowerRoman"/>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1)"/>
      <w:numFmt w:val="decimal"/>
      <w:start w:val="2"/>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2019-12-29T03:14:25Z</dcterms:created>
  <dcterms:modified xsi:type="dcterms:W3CDTF">2019-12-29T03:14:25Z</dcterms:modified>
</cp:coreProperties>
</file>